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Auditoria – Compliance</w:t>
      </w:r>
    </w:p>
    <w:p>
      <w:r>
        <w:t>Data: 10/11/2024</w:t>
        <w:br/>
        <w:br/>
        <w:t>Durante a auditoria trimestral foram identificados três pontos de atenção: ausência de assinatura em dois contratos, prazo vencido em uma renovação e inconsistência nos registros de acesso. Todos os itens devem ser analisados e regularizados antes da próxima revisão do conselho.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