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caracteres entre 5 e 100;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conter no mínimo duas palavras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dígitos ou caracteres especiais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dígitos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caracteres especiais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Apenas dígitos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3 e 30 caracteres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caracteres especiais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3 e 30 caracteres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caracteres especiais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1 e 5 dígitos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Apenas dígitos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caracteres especiais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3 e 50 dígitos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Apenas letras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caracteres especiais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dígitos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Apenas dígitos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Possível DDD - 3 ou 2 dígitos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Possível 9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nulo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7 e 64 caracteres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Mínimo de 2 caracteres antes e depois do caracter “@”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Mínimo de 1 caracter “.”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Mínimo 1 caracter após “.”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caracteres especiais além de {@ (arroba), .(ponto), -(hífen), _(sublinhado)}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válido -&gt; Gustavo Aguilar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válido -&gt; João Guilherme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válido -&gt; Aline Rudsit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inválido -&gt; Ana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inválido -&gt; null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inválido -&gt; Gustav0 Resend3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inválido -&gt; Aline Bini João Squinelato de Melo Gustavo Aguilar Resende Luis Gustavo Lucas Akio Fagner Onesko Vitor Gregório Rudsit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inválido -&gt; Aguilar/ Resend+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válido -&gt; 40840899967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válido -&gt; 19119191919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válido -&gt; 26343284634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inválido -&gt; null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inválido -&gt; 928345367289384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inválido -&gt; l3tra5n0cpf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inválido -&gt; 1-2.5,7/800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RUA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Violetas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Goiás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15 de novembro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 -&gt; null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 -&gt; Ue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 -&gt; 15 de novembro santo alberto minas gerais mato grosso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 -&gt; G01AS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Vale Florido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Bela Vista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Centro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null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Oi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Centro Cornelio Procopio Bela Vista Nove Esperança Estoril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B3la V15ta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5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611-11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9999999999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null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357A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273$8&amp;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Bauru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Itu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válido-&gt; Cornélio Procópio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null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 Ai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C0rn3li0 Pr0c0p10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inválido-&gt; Cornélio Procópio Curitiba Foz do Iguaçu Toledo Londrina Pato Branco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014998765426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04398763524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93847564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993847564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null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inválido-&gt; 93847564534231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inválido-&gt; 9dh56v6242ckd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aalineb@gmail.com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oi@io.c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válido-&gt; abc@abc.abc.ab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null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alinebinijoaoguilhermegustavoaguilar@gustavoresende.luisgustavo.br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i@i.i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a@a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oiio.c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inválido-&gt; aksi*is(i)@i&amp;ss.%$.!!!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Nome do produto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VENDA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CPF do cliente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Forma de pagamento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Código do Produto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Quantidade dos produtos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CREDIÁRIO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Parcelamento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Limite de crédito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CPF do cliente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NOTAS FISCAIS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