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aps/>
          <w:color w:val="0A1628"/>
          <w:sz w:val="72"/>
          <w:szCs w:val="72"/>
        </w:rPr>
        <w:t xml:space="preserve">AERELION SYSTEMS</w:t>
      </w:r>
    </w:p>
    <w:p>
      <w:pPr>
        <w:spacing w:before="0" w:after="120"/>
        <w:jc w:val="center"/>
      </w:pPr>
      <w:r>
        <w:rPr>
          <w:rFonts w:ascii="Arial" w:cs="Arial" w:eastAsia="Arial" w:hAnsi="Arial"/>
          <w:b w:val="false"/>
          <w:bCs w:val="false"/>
          <w:caps/>
          <w:color w:val="1B6CA8"/>
          <w:sz w:val="36"/>
          <w:szCs w:val="36"/>
        </w:rPr>
        <w:t xml:space="preserve">ELITE BUSINESS PLAN</w:t>
      </w:r>
    </w:p>
    <w:p>
      <w:pPr>
        <w:spacing w:before="0" w:after="600"/>
        <w:jc w:val="center"/>
      </w:pPr>
      <w:r>
        <w:rPr>
          <w:rFonts w:ascii="Arial" w:cs="Arial" w:eastAsia="Arial" w:hAnsi="Arial"/>
          <w:i/>
          <w:iCs/>
          <w:color w:val="8899AA"/>
          <w:sz w:val="26"/>
          <w:szCs w:val="26"/>
        </w:rPr>
        <w:t xml:space="preserve">Managed Automation Operator for Professional Services</w:t>
      </w:r>
    </w:p>
    <w:p>
      <w:pPr>
        <w:pBdr>
          <w:bottom w:val="single" w:color="1B6CA8" w:sz="12" w:space="0"/>
        </w:pBdr>
        <w:spacing w:before="0" w:after="600"/>
      </w:pPr>
      <w:r>
        <w:t xml:space="preserve"/>
      </w:r>
    </w:p>
    <w:p>
      <w:pPr>
        <w:spacing w:before="0" w:after="80"/>
        <w:jc w:val="center"/>
      </w:pPr>
      <w:r>
        <w:rPr>
          <w:rFonts w:ascii="Arial" w:cs="Arial" w:eastAsia="Arial" w:hAnsi="Arial"/>
          <w:b/>
          <w:bCs/>
          <w:caps/>
          <w:color w:val="8899AA"/>
          <w:sz w:val="20"/>
          <w:szCs w:val="20"/>
        </w:rPr>
        <w:t xml:space="preserve">CONFIDENTIAL — STRATEGIC DOCUMENT</w:t>
      </w:r>
    </w:p>
    <w:p>
      <w:pPr>
        <w:jc w:val="center"/>
      </w:pPr>
      <w:r>
        <w:rPr>
          <w:rFonts w:ascii="Arial" w:cs="Arial" w:eastAsia="Arial" w:hAnsi="Arial"/>
          <w:color w:val="8899AA"/>
          <w:sz w:val="20"/>
          <w:szCs w:val="20"/>
        </w:rPr>
        <w:t xml:space="preserve">February 2026</w:t>
      </w:r>
    </w:p>
    <w:p>
      <w:r>
        <w:br w:type="page"/>
      </w:r>
    </w:p>
    <w:p>
      <w:pPr>
        <w:pStyle w:val="Heading1"/>
        <w:pBdr>
          <w:bottom w:val="single" w:color="1B6CA8" w:sz="8" w:space="6"/>
        </w:pBdr>
        <w:spacing w:before="480" w:after="160"/>
      </w:pPr>
      <w:r>
        <w:rPr>
          <w:rFonts w:ascii="Arial" w:cs="Arial" w:eastAsia="Arial" w:hAnsi="Arial"/>
          <w:b/>
          <w:bCs/>
          <w:color w:val="0A1628"/>
          <w:sz w:val="36"/>
          <w:szCs w:val="36"/>
        </w:rPr>
        <w:t xml:space="preserve">01. EXECUTIVE SUMMARY</w:t>
      </w:r>
    </w:p>
    <w:p>
      <w:pPr>
        <w:spacing w:before="80" w:after="80"/>
        <w:jc w:val="left"/>
      </w:pPr>
      <w:r>
        <w:rPr>
          <w:rFonts w:ascii="Arial" w:cs="Arial" w:eastAsia="Arial" w:hAnsi="Arial"/>
          <w:b w:val="false"/>
          <w:bCs w:val="false"/>
          <w:i w:val="false"/>
          <w:iCs w:val="false"/>
          <w:color w:val="222222"/>
          <w:sz w:val="22"/>
          <w:szCs w:val="22"/>
        </w:rPr>
        <w:t xml:space="preserve">AERELION SYSTEMS is a private, founder-led managed automation studio that installs AI-powered operational systems inside professional service businesses — eliminating cognitive overhead, compressing delivery timelines, and creating measurable, documentable performance lift.</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AERELION does not sell tools. It does not offer consulting retainers. It installs outcomes. Fixed-scope engagements deliver fully operational automation systems with defined performance benchmarks within 30 days. The client retains the system. AERELION retains its reputation.</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The market opportunity is precise and defensible: the 1.2 million solo operators and lean professional service teams in the United States generating $250K–$5M in annual revenue who face the same compounding operational pressure — time fragmentation, delivery bottlenecks, and rising client expectations — but lack both the technical literacy and bandwidth to self-install modern AI infrastructure.</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AERELION enters as a premium category of one: not an agency, not a SaaS vendor, not a freelancer. A Managed Automation Operator — a new class of strategic infrastructure partner priced to reflect transferred liability, not time spent.</w:t>
      </w:r>
    </w:p>
    <w:p>
      <w:pPr>
        <w:spacing w:before="0" w:after="0"/>
      </w:pPr>
      <w:r>
        <w:t xml:space="preserve"/>
      </w:r>
    </w:p>
    <w:p>
      <w:pPr>
        <w:pStyle w:val="Heading2"/>
        <w:spacing w:before="320" w:after="120"/>
      </w:pPr>
      <w:r>
        <w:rPr>
          <w:rFonts w:ascii="Arial" w:cs="Arial" w:eastAsia="Arial" w:hAnsi="Arial"/>
          <w:b/>
          <w:bCs/>
          <w:color w:val="1B6CA8"/>
          <w:sz w:val="28"/>
          <w:szCs w:val="28"/>
        </w:rPr>
        <w:t xml:space="preserve">Mission Statement</w:t>
      </w:r>
    </w:p>
    <w:p>
      <w:pPr>
        <w:spacing w:before="160" w:after="160"/>
        <w:jc w:val="center"/>
      </w:pPr>
      <w:r>
        <w:rPr>
          <w:rFonts w:ascii="Arial" w:cs="Arial" w:eastAsia="Arial" w:hAnsi="Arial"/>
          <w:b/>
          <w:bCs/>
          <w:i/>
          <w:iCs/>
          <w:color w:val="1B6CA8"/>
          <w:sz w:val="24"/>
          <w:szCs w:val="24"/>
        </w:rPr>
        <w:t xml:space="preserve">"We remove the operational ceiling from ambitious operators by installing AI systems that think, route, and execute — so the human can focus on the work only they can do."</w:t>
      </w:r>
    </w:p>
    <w:p>
      <w:pPr>
        <w:pStyle w:val="Heading2"/>
        <w:spacing w:before="320" w:after="120"/>
      </w:pPr>
      <w:r>
        <w:rPr>
          <w:rFonts w:ascii="Arial" w:cs="Arial" w:eastAsia="Arial" w:hAnsi="Arial"/>
          <w:b/>
          <w:bCs/>
          <w:color w:val="1B6CA8"/>
          <w:sz w:val="28"/>
          <w:szCs w:val="28"/>
        </w:rPr>
        <w:t xml:space="preserve">Key Investment Highlights</w:t>
      </w:r>
    </w:p>
    <w:p>
      <w:pPr>
        <w:pStyle w:val="ListParagraph"/>
        <w:numPr>
          <w:ilvl w:val="0"/>
          <w:numId w:val="2"/>
        </w:numPr>
        <w:spacing w:before="60" w:after="60"/>
      </w:pPr>
      <w:r>
        <w:rPr>
          <w:rFonts w:ascii="Arial" w:cs="Arial" w:eastAsia="Arial" w:hAnsi="Arial"/>
          <w:color w:val="333333"/>
          <w:sz w:val="22"/>
          <w:szCs w:val="22"/>
        </w:rPr>
        <w:t xml:space="preserve">High-signal beachhead vertical with 1.2M+ addressable operators in the U.S. alone</w:t>
      </w:r>
    </w:p>
    <w:p>
      <w:pPr>
        <w:pStyle w:val="ListParagraph"/>
        <w:numPr>
          <w:ilvl w:val="0"/>
          <w:numId w:val="2"/>
        </w:numPr>
        <w:spacing w:before="60" w:after="60"/>
      </w:pPr>
      <w:r>
        <w:rPr>
          <w:rFonts w:ascii="Arial" w:cs="Arial" w:eastAsia="Arial" w:hAnsi="Arial"/>
          <w:color w:val="333333"/>
          <w:sz w:val="22"/>
          <w:szCs w:val="22"/>
        </w:rPr>
        <w:t xml:space="preserve">Fixed-scope, outcome-based pricing model creates predictable revenue with minimal scope creep</w:t>
      </w:r>
    </w:p>
    <w:p>
      <w:pPr>
        <w:pStyle w:val="ListParagraph"/>
        <w:numPr>
          <w:ilvl w:val="0"/>
          <w:numId w:val="2"/>
        </w:numPr>
        <w:spacing w:before="60" w:after="60"/>
      </w:pPr>
      <w:r>
        <w:rPr>
          <w:rFonts w:ascii="Arial" w:cs="Arial" w:eastAsia="Arial" w:hAnsi="Arial"/>
          <w:color w:val="333333"/>
          <w:sz w:val="22"/>
          <w:szCs w:val="22"/>
        </w:rPr>
        <w:t xml:space="preserve">No VC dependency — designed for bootstrapped profitability from engagement #1</w:t>
      </w:r>
    </w:p>
    <w:p>
      <w:pPr>
        <w:pStyle w:val="ListParagraph"/>
        <w:numPr>
          <w:ilvl w:val="0"/>
          <w:numId w:val="2"/>
        </w:numPr>
        <w:spacing w:before="60" w:after="60"/>
      </w:pPr>
      <w:r>
        <w:rPr>
          <w:rFonts w:ascii="Arial" w:cs="Arial" w:eastAsia="Arial" w:hAnsi="Arial"/>
          <w:color w:val="333333"/>
          <w:sz w:val="22"/>
          <w:szCs w:val="22"/>
        </w:rPr>
        <w:t xml:space="preserve">Founder-led delivery preserves quality signal through early scale</w:t>
      </w:r>
    </w:p>
    <w:p>
      <w:pPr>
        <w:pStyle w:val="ListParagraph"/>
        <w:numPr>
          <w:ilvl w:val="0"/>
          <w:numId w:val="2"/>
        </w:numPr>
        <w:spacing w:before="60" w:after="60"/>
      </w:pPr>
      <w:r>
        <w:rPr>
          <w:rFonts w:ascii="Arial" w:cs="Arial" w:eastAsia="Arial" w:hAnsi="Arial"/>
          <w:color w:val="333333"/>
          <w:sz w:val="22"/>
          <w:szCs w:val="22"/>
        </w:rPr>
        <w:t xml:space="preserve">Clear expansion path: productized tiers → retained operator model → certified installer network</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02. PROBLEM &amp; MARKET OPPORTUNITY</w:t>
      </w:r>
    </w:p>
    <w:p>
      <w:pPr>
        <w:pStyle w:val="Heading2"/>
        <w:spacing w:before="320" w:after="120"/>
      </w:pPr>
      <w:r>
        <w:rPr>
          <w:rFonts w:ascii="Arial" w:cs="Arial" w:eastAsia="Arial" w:hAnsi="Arial"/>
          <w:b/>
          <w:bCs/>
          <w:color w:val="1B6CA8"/>
          <w:sz w:val="28"/>
          <w:szCs w:val="28"/>
        </w:rPr>
        <w:t xml:space="preserve">The Core Problem</w:t>
      </w:r>
    </w:p>
    <w:p>
      <w:pPr>
        <w:spacing w:before="80" w:after="80"/>
        <w:jc w:val="left"/>
      </w:pPr>
      <w:r>
        <w:rPr>
          <w:rFonts w:ascii="Arial" w:cs="Arial" w:eastAsia="Arial" w:hAnsi="Arial"/>
          <w:b w:val="false"/>
          <w:bCs w:val="false"/>
          <w:i w:val="false"/>
          <w:iCs w:val="false"/>
          <w:color w:val="222222"/>
          <w:sz w:val="22"/>
          <w:szCs w:val="22"/>
        </w:rPr>
        <w:t xml:space="preserve">Across law firms, financial advisory practices, consulting agencies, coaching businesses, real estate teams, and marketing shops — the same pathology repeats: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Symptom</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Business Cost</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Owner answers the same 12 questions daily</w:t>
            </w:r>
          </w:p>
        </w:tc>
        <w:tc>
          <w:tcPr>
            <w:tcW w:type="dxa" w:w="3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intelligent intake or triage system</w:t>
            </w:r>
          </w:p>
        </w:tc>
        <w:tc>
          <w:tcPr>
            <w:tcW w:type="dxa" w:w="3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3–5 hours of executive time per week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Onboarding takes 2 weeks instead of 2 days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Manual document collection and kick-off flows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Delayed revenue recognition, client churn</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Follow-up falls through the cracks</w:t>
            </w:r>
          </w:p>
        </w:tc>
        <w:tc>
          <w:tcPr>
            <w:tcW w:type="dxa" w:w="3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automated nurture or CRM intelligence</w:t>
            </w:r>
          </w:p>
        </w:tc>
        <w:tc>
          <w:tcPr>
            <w:tcW w:type="dxa" w:w="3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10–30% pipeline revenue lost annually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Reporting is done manually every month</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automated data aggregation layer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Analyst hours consumed by low-leverage work</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Proposals take 4 hours per prospect</w:t>
            </w:r>
          </w:p>
        </w:tc>
        <w:tc>
          <w:tcPr>
            <w:tcW w:type="dxa" w:w="3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AI-assisted generation and personalization</w:t>
            </w:r>
          </w:p>
        </w:tc>
        <w:tc>
          <w:tcPr>
            <w:tcW w:type="dxa" w:w="3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Sales cycle velocity throttled at top of funnel</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Why Now</w:t>
      </w:r>
    </w:p>
    <w:p>
      <w:pPr>
        <w:spacing w:before="80" w:after="80"/>
        <w:jc w:val="left"/>
      </w:pPr>
      <w:r>
        <w:rPr>
          <w:rFonts w:ascii="Arial" w:cs="Arial" w:eastAsia="Arial" w:hAnsi="Arial"/>
          <w:b w:val="false"/>
          <w:bCs w:val="false"/>
          <w:i w:val="false"/>
          <w:iCs w:val="false"/>
          <w:color w:val="222222"/>
          <w:sz w:val="22"/>
          <w:szCs w:val="22"/>
        </w:rPr>
        <w:t xml:space="preserve">The infrastructure required to solve these problems — GPT-class language models, no-code orchestration platforms, API-first CRMs — crossed an accessibility threshold in 2023–2024. The problem is no longer technical. It is architectural. Small operators cannot design the system, integrate the tools, and train the models. They need an installer, not a vendor.</w:t>
      </w:r>
    </w:p>
    <w:p>
      <w:pPr>
        <w:spacing w:before="0" w:after="0"/>
      </w:pPr>
      <w:r>
        <w:t xml:space="preserve"/>
      </w:r>
    </w:p>
    <w:p>
      <w:pPr>
        <w:pStyle w:val="Heading2"/>
        <w:spacing w:before="320" w:after="120"/>
      </w:pPr>
      <w:r>
        <w:rPr>
          <w:rFonts w:ascii="Arial" w:cs="Arial" w:eastAsia="Arial" w:hAnsi="Arial"/>
          <w:b/>
          <w:bCs/>
          <w:color w:val="1B6CA8"/>
          <w:sz w:val="28"/>
          <w:szCs w:val="28"/>
        </w:rP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 of Businesses (U.S.)</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Avg. Engagement Value</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Market Potential</w:t>
            </w:r>
          </w:p>
        </w:tc>
      </w:tr>
      <w:tr>
        <w:trPr>
          <w:tblHeader w:val="false"/>
        </w:trPr>
        <w:tc>
          <w:tcPr>
            <w:tcW w:type="dxa" w:w="28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Solo consultants &amp; coaches ($250K–$1M ARR)</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~680,000</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$8,500</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$5.8B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Lean professional service teams (2–10 staff)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~420,000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$18,000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$7.6B</w:t>
            </w:r>
          </w:p>
        </w:tc>
      </w:tr>
      <w:tr>
        <w:trPr>
          <w:tblHeader w:val="false"/>
        </w:trPr>
        <w:tc>
          <w:tcPr>
            <w:tcW w:type="dxa" w:w="28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Small agencies ($1M–$5M ARR)</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~100,000</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$32,000</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$3.2B</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 ADDRESSABLE MARKET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~1,200,000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$16.6B</w:t>
            </w:r>
          </w:p>
        </w:tc>
      </w:tr>
    </w:tbl>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AERELION's immediate focus is the top 5% of each segment — operators with sufficient revenue to justify premium pricing and sufficient ambition to act. This narrows the serviceable, obtainable market to approximately $830M in the first three years — well within range of an elite boutique operator.</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03. SOLUTION &amp; SERVICE ARCHITECTURE</w:t>
      </w:r>
    </w:p>
    <w:p>
      <w:pPr>
        <w:pStyle w:val="Heading2"/>
        <w:spacing w:before="320" w:after="120"/>
      </w:pPr>
      <w:r>
        <w:rPr>
          <w:rFonts w:ascii="Arial" w:cs="Arial" w:eastAsia="Arial" w:hAnsi="Arial"/>
          <w:b/>
          <w:bCs/>
          <w:color w:val="1B6CA8"/>
          <w:sz w:val="28"/>
          <w:szCs w:val="28"/>
        </w:rPr>
        <w:t xml:space="preserve">What AERELION Delivers</w:t>
      </w:r>
    </w:p>
    <w:p>
      <w:pPr>
        <w:spacing w:before="80" w:after="80"/>
        <w:jc w:val="left"/>
      </w:pPr>
      <w:r>
        <w:rPr>
          <w:rFonts w:ascii="Arial" w:cs="Arial" w:eastAsia="Arial" w:hAnsi="Arial"/>
          <w:b w:val="false"/>
          <w:bCs w:val="false"/>
          <w:i w:val="false"/>
          <w:iCs w:val="false"/>
          <w:color w:val="222222"/>
          <w:sz w:val="22"/>
          <w:szCs w:val="22"/>
        </w:rPr>
        <w:t xml:space="preserve">AERELION installs three categories of operational intelligence systems, each scoped as a fixed deliverable with defined activation benchmarks:</w:t>
      </w:r>
    </w:p>
    <w:p>
      <w:pPr>
        <w:spacing w:before="0" w:after="0"/>
      </w:pPr>
      <w:r>
        <w:t xml:space="preserve"/>
      </w:r>
    </w:p>
    <w:p>
      <w:pPr>
        <w:spacing w:before="200" w:after="80"/>
      </w:pPr>
      <w:r>
        <w:rPr>
          <w:rFonts w:ascii="Arial" w:cs="Arial" w:eastAsia="Arial" w:hAnsi="Arial"/>
          <w:b/>
          <w:bCs/>
          <w:color w:val="0A1628"/>
          <w:sz w:val="24"/>
          <w:szCs w:val="24"/>
        </w:rPr>
        <w:t xml:space="preserve">TIER 1 — Intake &amp; Qualification Engine   |   $4,500–$7,500</w:t>
      </w:r>
    </w:p>
    <w:p>
      <w:pPr>
        <w:spacing w:before="80" w:after="80"/>
        <w:jc w:val="left"/>
      </w:pPr>
      <w:r>
        <w:rPr>
          <w:rFonts w:ascii="Arial" w:cs="Arial" w:eastAsia="Arial" w:hAnsi="Arial"/>
          <w:b w:val="false"/>
          <w:bCs w:val="false"/>
          <w:i w:val="false"/>
          <w:iCs w:val="false"/>
          <w:color w:val="222222"/>
          <w:sz w:val="22"/>
          <w:szCs w:val="22"/>
        </w:rPr>
        <w:t xml:space="preserve">An AI-powered front-of-funnel system that captures lead data, qualifies against custom criteria, auto-routes to the appropriate workflow, sends personalized intake materials, and logs everything into the operator's CRM with zero manual intervention.</w:t>
      </w:r>
    </w:p>
    <w:p>
      <w:pPr>
        <w:pStyle w:val="ListParagraph"/>
        <w:numPr>
          <w:ilvl w:val="0"/>
          <w:numId w:val="2"/>
        </w:numPr>
        <w:spacing w:before="60" w:after="60"/>
      </w:pPr>
      <w:r>
        <w:rPr>
          <w:rFonts w:ascii="Arial" w:cs="Arial" w:eastAsia="Arial" w:hAnsi="Arial"/>
          <w:color w:val="333333"/>
          <w:sz w:val="22"/>
          <w:szCs w:val="22"/>
        </w:rPr>
        <w:t xml:space="preserve">30-day delivery guarantee</w:t>
      </w:r>
    </w:p>
    <w:p>
      <w:pPr>
        <w:pStyle w:val="ListParagraph"/>
        <w:numPr>
          <w:ilvl w:val="0"/>
          <w:numId w:val="2"/>
        </w:numPr>
        <w:spacing w:before="60" w:after="60"/>
      </w:pPr>
      <w:r>
        <w:rPr>
          <w:rFonts w:ascii="Arial" w:cs="Arial" w:eastAsia="Arial" w:hAnsi="Arial"/>
          <w:color w:val="333333"/>
          <w:sz w:val="22"/>
          <w:szCs w:val="22"/>
        </w:rPr>
        <w:t xml:space="preserve">Activation benchmark: 90%+ of incoming inquiries handled without owner involvement</w:t>
      </w:r>
    </w:p>
    <w:p>
      <w:pPr>
        <w:pStyle w:val="ListParagraph"/>
        <w:numPr>
          <w:ilvl w:val="0"/>
          <w:numId w:val="2"/>
        </w:numPr>
        <w:spacing w:before="60" w:after="60"/>
      </w:pPr>
      <w:r>
        <w:rPr>
          <w:rFonts w:ascii="Arial" w:cs="Arial" w:eastAsia="Arial" w:hAnsi="Arial"/>
          <w:color w:val="333333"/>
          <w:sz w:val="22"/>
          <w:szCs w:val="22"/>
        </w:rPr>
        <w:t xml:space="preserve">Includes: GPT-based intake assistant, form-to-CRM automation, conditional routing logic, onboarding sequence</w:t>
      </w:r>
    </w:p>
    <w:p>
      <w:pPr>
        <w:spacing w:before="0" w:after="0"/>
      </w:pPr>
      <w:r>
        <w:t xml:space="preserve"/>
      </w:r>
    </w:p>
    <w:p>
      <w:pPr>
        <w:spacing w:before="200" w:after="80"/>
      </w:pPr>
      <w:r>
        <w:rPr>
          <w:rFonts w:ascii="Arial" w:cs="Arial" w:eastAsia="Arial" w:hAnsi="Arial"/>
          <w:b/>
          <w:bCs/>
          <w:color w:val="0A1628"/>
          <w:sz w:val="24"/>
          <w:szCs w:val="24"/>
        </w:rPr>
        <w:t xml:space="preserve">TIER 2 — Delivery Operations Stack   |   $12,000–$22,000</w:t>
      </w:r>
    </w:p>
    <w:p>
      <w:pPr>
        <w:spacing w:before="80" w:after="80"/>
        <w:jc w:val="left"/>
      </w:pPr>
      <w:r>
        <w:rPr>
          <w:rFonts w:ascii="Arial" w:cs="Arial" w:eastAsia="Arial" w:hAnsi="Arial"/>
          <w:b w:val="false"/>
          <w:bCs w:val="false"/>
          <w:i w:val="false"/>
          <w:iCs w:val="false"/>
          <w:color w:val="222222"/>
          <w:sz w:val="22"/>
          <w:szCs w:val="22"/>
        </w:rPr>
        <w:t xml:space="preserve">A mid-engagement intelligence layer that automates proposal generation, client onboarding, project milestone tracking, document assembly, and status communications — reducing delivery overhead by 40–60%.</w:t>
      </w:r>
    </w:p>
    <w:p>
      <w:pPr>
        <w:pStyle w:val="ListParagraph"/>
        <w:numPr>
          <w:ilvl w:val="0"/>
          <w:numId w:val="2"/>
        </w:numPr>
        <w:spacing w:before="60" w:after="60"/>
      </w:pPr>
      <w:r>
        <w:rPr>
          <w:rFonts w:ascii="Arial" w:cs="Arial" w:eastAsia="Arial" w:hAnsi="Arial"/>
          <w:color w:val="333333"/>
          <w:sz w:val="22"/>
          <w:szCs w:val="22"/>
        </w:rPr>
        <w:t xml:space="preserve">45-day delivery guarantee</w:t>
      </w:r>
    </w:p>
    <w:p>
      <w:pPr>
        <w:pStyle w:val="ListParagraph"/>
        <w:numPr>
          <w:ilvl w:val="0"/>
          <w:numId w:val="2"/>
        </w:numPr>
        <w:spacing w:before="60" w:after="60"/>
      </w:pPr>
      <w:r>
        <w:rPr>
          <w:rFonts w:ascii="Arial" w:cs="Arial" w:eastAsia="Arial" w:hAnsi="Arial"/>
          <w:color w:val="333333"/>
          <w:sz w:val="22"/>
          <w:szCs w:val="22"/>
        </w:rPr>
        <w:t xml:space="preserve">Activation benchmark: Proposal-to-signed contract time reduced by minimum 50%</w:t>
      </w:r>
    </w:p>
    <w:p>
      <w:pPr>
        <w:pStyle w:val="ListParagraph"/>
        <w:numPr>
          <w:ilvl w:val="0"/>
          <w:numId w:val="2"/>
        </w:numPr>
        <w:spacing w:before="60" w:after="60"/>
      </w:pPr>
      <w:r>
        <w:rPr>
          <w:rFonts w:ascii="Arial" w:cs="Arial" w:eastAsia="Arial" w:hAnsi="Arial"/>
          <w:color w:val="333333"/>
          <w:sz w:val="22"/>
          <w:szCs w:val="22"/>
        </w:rPr>
        <w:t xml:space="preserve">Includes: AI proposal engine, automated onboarding sequences, milestone tracking automations, document generation</w:t>
      </w:r>
    </w:p>
    <w:p>
      <w:pPr>
        <w:spacing w:before="0" w:after="0"/>
      </w:pPr>
      <w:r>
        <w:t xml:space="preserve"/>
      </w:r>
    </w:p>
    <w:p>
      <w:pPr>
        <w:spacing w:before="200" w:after="80"/>
      </w:pPr>
      <w:r>
        <w:rPr>
          <w:rFonts w:ascii="Arial" w:cs="Arial" w:eastAsia="Arial" w:hAnsi="Arial"/>
          <w:b/>
          <w:bCs/>
          <w:color w:val="0A1628"/>
          <w:sz w:val="24"/>
          <w:szCs w:val="24"/>
        </w:rPr>
        <w:t xml:space="preserve">TIER 3 — Full Operating System Install   |   $28,000–$45,000</w:t>
      </w:r>
    </w:p>
    <w:p>
      <w:pPr>
        <w:spacing w:before="80" w:after="80"/>
        <w:jc w:val="left"/>
      </w:pPr>
      <w:r>
        <w:rPr>
          <w:rFonts w:ascii="Arial" w:cs="Arial" w:eastAsia="Arial" w:hAnsi="Arial"/>
          <w:b w:val="false"/>
          <w:bCs w:val="false"/>
          <w:i w:val="false"/>
          <w:iCs w:val="false"/>
          <w:color w:val="222222"/>
          <w:sz w:val="22"/>
          <w:szCs w:val="22"/>
        </w:rPr>
        <w:t xml:space="preserve">End-to-end operational redesign. AERELION architects and installs a complete AI-native workflow infrastructure covering intake, delivery, reporting, billing triggers, and client communications — transforming the business into a high-leverage, low-overhead operation.</w:t>
      </w:r>
    </w:p>
    <w:p>
      <w:pPr>
        <w:pStyle w:val="ListParagraph"/>
        <w:numPr>
          <w:ilvl w:val="0"/>
          <w:numId w:val="2"/>
        </w:numPr>
        <w:spacing w:before="60" w:after="60"/>
      </w:pPr>
      <w:r>
        <w:rPr>
          <w:rFonts w:ascii="Arial" w:cs="Arial" w:eastAsia="Arial" w:hAnsi="Arial"/>
          <w:color w:val="333333"/>
          <w:sz w:val="22"/>
          <w:szCs w:val="22"/>
        </w:rPr>
        <w:t xml:space="preserve">60-day delivery guarantee</w:t>
      </w:r>
    </w:p>
    <w:p>
      <w:pPr>
        <w:pStyle w:val="ListParagraph"/>
        <w:numPr>
          <w:ilvl w:val="0"/>
          <w:numId w:val="2"/>
        </w:numPr>
        <w:spacing w:before="60" w:after="60"/>
      </w:pPr>
      <w:r>
        <w:rPr>
          <w:rFonts w:ascii="Arial" w:cs="Arial" w:eastAsia="Arial" w:hAnsi="Arial"/>
          <w:color w:val="333333"/>
          <w:sz w:val="22"/>
          <w:szCs w:val="22"/>
        </w:rPr>
        <w:t xml:space="preserve">Activation benchmark: Owner's operational time on admin tasks reduced by minimum 60%</w:t>
      </w:r>
    </w:p>
    <w:p>
      <w:pPr>
        <w:pStyle w:val="ListParagraph"/>
        <w:numPr>
          <w:ilvl w:val="0"/>
          <w:numId w:val="2"/>
        </w:numPr>
        <w:spacing w:before="60" w:after="60"/>
      </w:pPr>
      <w:r>
        <w:rPr>
          <w:rFonts w:ascii="Arial" w:cs="Arial" w:eastAsia="Arial" w:hAnsi="Arial"/>
          <w:color w:val="333333"/>
          <w:sz w:val="22"/>
          <w:szCs w:val="22"/>
        </w:rPr>
        <w:t xml:space="preserve">Includes: All Tier 1 and Tier 2 components plus reporting dashboards, billing automation, AI meeting summaries, and 30-day post-install support</w:t>
      </w:r>
    </w:p>
    <w:p>
      <w:pPr>
        <w:spacing w:before="0" w:after="0"/>
      </w:pPr>
      <w:r>
        <w:t xml:space="preserve"/>
      </w:r>
    </w:p>
    <w:p>
      <w:pPr>
        <w:pStyle w:val="Heading2"/>
        <w:spacing w:before="320" w:after="120"/>
      </w:pPr>
      <w:r>
        <w:rPr>
          <w:rFonts w:ascii="Arial" w:cs="Arial" w:eastAsia="Arial" w:hAnsi="Arial"/>
          <w:b/>
          <w:bCs/>
          <w:color w:val="1B6CA8"/>
          <w:sz w:val="28"/>
          <w:szCs w:val="28"/>
        </w:rPr>
        <w:t xml:space="preserve">The AERELION Difference: Outcome Ownership</w:t>
      </w:r>
    </w:p>
    <w:p>
      <w:pPr>
        <w:spacing w:before="80" w:after="80"/>
        <w:jc w:val="left"/>
      </w:pPr>
      <w:r>
        <w:rPr>
          <w:rFonts w:ascii="Arial" w:cs="Arial" w:eastAsia="Arial" w:hAnsi="Arial"/>
          <w:b w:val="false"/>
          <w:bCs w:val="false"/>
          <w:i w:val="false"/>
          <w:iCs w:val="false"/>
          <w:color w:val="222222"/>
          <w:sz w:val="22"/>
          <w:szCs w:val="22"/>
        </w:rPr>
        <w:t xml:space="preserve">Every engagement comes with a Performance Confirmation Protocol — a pre-defined set of measurable outcomes agreed upon before a single dollar changes hands. If AERELION does not hit the benchmarks, it continues working at no additional charge until it does. This is not a guarantee clause. It is the operating standard.</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04. BUSINESS MODEL &amp; REVENUE ARCHITECTURE</w:t>
      </w:r>
    </w:p>
    <w:p>
      <w:pPr>
        <w:pStyle w:val="Heading2"/>
        <w:spacing w:before="320" w:after="120"/>
      </w:pPr>
      <w:r>
        <w:rPr>
          <w:rFonts w:ascii="Arial" w:cs="Arial" w:eastAsia="Arial" w:hAnsi="Arial"/>
          <w:b/>
          <w:bCs/>
          <w:color w:val="1B6CA8"/>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Price Range</w:t>
            </w:r>
          </w:p>
        </w:tc>
        <w:tc>
          <w:tcPr>
            <w:tcW w:type="dxa" w:w="25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Target Frequency</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Tier 1 — Intake Engine</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Fixed-scope project</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$4,500–$7,500</w:t>
            </w:r>
          </w:p>
        </w:tc>
        <w:tc>
          <w:tcPr>
            <w:tcW w:type="dxa" w:w="25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4–6 per month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Tier 2 — Delivery Stack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Fixed-scope project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$12,000–$22,000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2–3 per month</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Tier 3 — Full OS Install</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Fixed-scope project</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$28,000–$45,000</w:t>
            </w:r>
          </w:p>
        </w:tc>
        <w:tc>
          <w:tcPr>
            <w:tcW w:type="dxa" w:w="25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 per month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Maintenance &amp; Optimization Retainer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Monthly recurring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$1,200–$3,500/mo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Upsell post-install</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Operator Certification Program</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Training product</w:t>
            </w:r>
          </w:p>
        </w:tc>
        <w:tc>
          <w:tcPr>
            <w:tcW w:type="dxa" w:w="2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$2,500 per seat</w:t>
            </w:r>
          </w:p>
        </w:tc>
        <w:tc>
          <w:tcPr>
            <w:tcW w:type="dxa" w:w="25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Launch: Q3 2026</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1 Target</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2 Target</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3 Target</w:t>
            </w:r>
          </w:p>
        </w:tc>
      </w:tr>
      <w:tr>
        <w:trPr>
          <w:tblHeader w:val="false"/>
        </w:trPr>
        <w:tc>
          <w:tcPr>
            <w:tcW w:type="dxa" w:w="3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 Engagements Closed</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52</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104</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Average Engagement Value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$14,200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$19,800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$24,500</w:t>
            </w:r>
          </w:p>
        </w:tc>
      </w:tr>
      <w:tr>
        <w:trPr>
          <w:tblHeader w:val="false"/>
        </w:trPr>
        <w:tc>
          <w:tcPr>
            <w:tcW w:type="dxa" w:w="3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Gross Revenue</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$255,600</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$1,029,600</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$2,548,000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Active Retainers (EoY)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48</w:t>
            </w:r>
          </w:p>
        </w:tc>
      </w:tr>
      <w:tr>
        <w:trPr>
          <w:tblHeader w:val="false"/>
        </w:trPr>
        <w:tc>
          <w:tcPr>
            <w:tcW w:type="dxa" w:w="3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Retainer MRR (EoY)</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$12,000</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$55,000</w:t>
            </w:r>
          </w:p>
        </w:tc>
        <w:tc>
          <w:tcPr>
            <w:tcW w:type="dxa" w:w="2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$144,000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Gross Margin (est.)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78%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81%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84%</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Pricing Philosophy</w:t>
      </w:r>
    </w:p>
    <w:p>
      <w:pPr>
        <w:spacing w:before="80" w:after="80"/>
        <w:jc w:val="left"/>
      </w:pPr>
      <w:r>
        <w:rPr>
          <w:rFonts w:ascii="Arial" w:cs="Arial" w:eastAsia="Arial" w:hAnsi="Arial"/>
          <w:b w:val="false"/>
          <w:bCs w:val="false"/>
          <w:i w:val="false"/>
          <w:iCs w:val="false"/>
          <w:color w:val="222222"/>
          <w:sz w:val="22"/>
          <w:szCs w:val="22"/>
        </w:rPr>
        <w:t xml:space="preserve">AERELION prices on transferred liability, not hours. When a solo operator closes a Tier 2 engagement at $18,000, they are not purchasing 60 hours of automation work. They are purchasing the elimination of a 12-hour-per-week operational drag — a problem that was costing them $75,000 in lost capacity annually. The price is not high. The ROI is compressive.</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This framing is embedded in every sales conversation, proposal, and onboarding document. The client does not buy a product. They transfer a burden.</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05. GO-TO-MARKET STRATEGY</w:t>
      </w:r>
    </w:p>
    <w:p>
      <w:pPr>
        <w:pStyle w:val="Heading2"/>
        <w:spacing w:before="320" w:after="120"/>
      </w:pPr>
      <w:r>
        <w:rPr>
          <w:rFonts w:ascii="Arial" w:cs="Arial" w:eastAsia="Arial" w:hAnsi="Arial"/>
          <w:b/>
          <w:bCs/>
          <w:color w:val="1B6CA8"/>
          <w:sz w:val="28"/>
          <w:szCs w:val="28"/>
        </w:rPr>
        <w:t xml:space="preserve">Phase 1 — Authority Establishment (Months 1–6)</w:t>
      </w:r>
    </w:p>
    <w:p>
      <w:pPr>
        <w:spacing w:before="80" w:after="80"/>
        <w:jc w:val="left"/>
      </w:pPr>
      <w:r>
        <w:rPr>
          <w:rFonts w:ascii="Arial" w:cs="Arial" w:eastAsia="Arial" w:hAnsi="Arial"/>
          <w:b w:val="false"/>
          <w:bCs w:val="false"/>
          <w:i w:val="false"/>
          <w:iCs w:val="false"/>
          <w:color w:val="222222"/>
          <w:sz w:val="22"/>
          <w:szCs w:val="22"/>
        </w:rPr>
        <w:t xml:space="preserve">AERELION does not advertise. It demonstrates. The go-to-market strategy is built on signal-dense content that reaches decision-makers where they already congregate.</w:t>
      </w:r>
    </w:p>
    <w:p>
      <w:pPr>
        <w:spacing w:before="0" w:after="0"/>
      </w:pPr>
      <w:r>
        <w:t xml:space="preserve"/>
      </w:r>
    </w:p>
    <w:p>
      <w:pPr>
        <w:pStyle w:val="ListParagraph"/>
        <w:numPr>
          <w:ilvl w:val="0"/>
          <w:numId w:val="2"/>
        </w:numPr>
        <w:spacing w:before="60" w:after="60"/>
      </w:pPr>
      <w:r>
        <w:rPr>
          <w:rFonts w:ascii="Arial" w:cs="Arial" w:eastAsia="Arial" w:hAnsi="Arial"/>
          <w:b/>
          <w:bCs/>
          <w:color w:val="0A1628"/>
          <w:sz w:val="22"/>
          <w:szCs w:val="22"/>
        </w:rPr>
        <w:t xml:space="preserve">Content Engine </w:t>
      </w:r>
      <w:r>
        <w:rPr>
          <w:rFonts w:ascii="Arial" w:cs="Arial" w:eastAsia="Arial" w:hAnsi="Arial"/>
          <w:color w:val="333333"/>
          <w:sz w:val="22"/>
          <w:szCs w:val="22"/>
        </w:rPr>
        <w:t xml:space="preserve">LinkedIn thought leadership: weekly system teardowns showing real operator transformations</w:t>
      </w:r>
    </w:p>
    <w:p>
      <w:pPr>
        <w:pStyle w:val="ListParagraph"/>
        <w:numPr>
          <w:ilvl w:val="0"/>
          <w:numId w:val="2"/>
        </w:numPr>
        <w:spacing w:before="60" w:after="60"/>
      </w:pPr>
      <w:r>
        <w:rPr>
          <w:rFonts w:ascii="Arial" w:cs="Arial" w:eastAsia="Arial" w:hAnsi="Arial"/>
          <w:b/>
          <w:bCs/>
          <w:color w:val="0A1628"/>
          <w:sz w:val="22"/>
          <w:szCs w:val="22"/>
        </w:rPr>
        <w:t xml:space="preserve">Proof Assets </w:t>
      </w:r>
      <w:r>
        <w:rPr>
          <w:rFonts w:ascii="Arial" w:cs="Arial" w:eastAsia="Arial" w:hAnsi="Arial"/>
          <w:color w:val="333333"/>
          <w:sz w:val="22"/>
          <w:szCs w:val="22"/>
        </w:rPr>
        <w:t xml:space="preserve">3 case studies published within 90 days of first 3 client completions</w:t>
      </w:r>
    </w:p>
    <w:p>
      <w:pPr>
        <w:pStyle w:val="ListParagraph"/>
        <w:numPr>
          <w:ilvl w:val="0"/>
          <w:numId w:val="2"/>
        </w:numPr>
        <w:spacing w:before="60" w:after="60"/>
      </w:pPr>
      <w:r>
        <w:rPr>
          <w:rFonts w:ascii="Arial" w:cs="Arial" w:eastAsia="Arial" w:hAnsi="Arial"/>
          <w:b/>
          <w:bCs/>
          <w:color w:val="0A1628"/>
          <w:sz w:val="22"/>
          <w:szCs w:val="22"/>
        </w:rPr>
        <w:t xml:space="preserve">Direct Outreach </w:t>
      </w:r>
      <w:r>
        <w:rPr>
          <w:rFonts w:ascii="Arial" w:cs="Arial" w:eastAsia="Arial" w:hAnsi="Arial"/>
          <w:color w:val="333333"/>
          <w:sz w:val="22"/>
          <w:szCs w:val="22"/>
        </w:rPr>
        <w:t xml:space="preserve">Cold outreach to 200 hyper-targeted operators per month using personalized system audits as the entry point</w:t>
      </w:r>
    </w:p>
    <w:p>
      <w:pPr>
        <w:pStyle w:val="ListParagraph"/>
        <w:numPr>
          <w:ilvl w:val="0"/>
          <w:numId w:val="2"/>
        </w:numPr>
        <w:spacing w:before="60" w:after="60"/>
      </w:pPr>
      <w:r>
        <w:rPr>
          <w:rFonts w:ascii="Arial" w:cs="Arial" w:eastAsia="Arial" w:hAnsi="Arial"/>
          <w:b/>
          <w:bCs/>
          <w:color w:val="0A1628"/>
          <w:sz w:val="22"/>
          <w:szCs w:val="22"/>
        </w:rPr>
        <w:t xml:space="preserve">Channel Partnerships </w:t>
      </w:r>
      <w:r>
        <w:rPr>
          <w:rFonts w:ascii="Arial" w:cs="Arial" w:eastAsia="Arial" w:hAnsi="Arial"/>
          <w:color w:val="333333"/>
          <w:sz w:val="22"/>
          <w:szCs w:val="22"/>
        </w:rPr>
        <w:t xml:space="preserve">Strategic partnerships with 2–3 business coaches and consultants who serve the target segment</w:t>
      </w:r>
    </w:p>
    <w:p>
      <w:pPr>
        <w:spacing w:before="0" w:after="0"/>
      </w:pPr>
      <w:r>
        <w:t xml:space="preserve"/>
      </w:r>
    </w:p>
    <w:p>
      <w:pPr>
        <w:pStyle w:val="Heading2"/>
        <w:spacing w:before="320" w:after="120"/>
      </w:pPr>
      <w:r>
        <w:rPr>
          <w:rFonts w:ascii="Arial" w:cs="Arial" w:eastAsia="Arial" w:hAnsi="Arial"/>
          <w:b/>
          <w:bCs/>
          <w:color w:val="1B6CA8"/>
          <w:sz w:val="28"/>
          <w:szCs w:val="28"/>
        </w:rPr>
        <w:t xml:space="preserve">Phase 2 — Referral Architecture (Months 4–12)</w:t>
      </w:r>
    </w:p>
    <w:p>
      <w:pPr>
        <w:spacing w:before="80" w:after="80"/>
        <w:jc w:val="left"/>
      </w:pPr>
      <w:r>
        <w:rPr>
          <w:rFonts w:ascii="Arial" w:cs="Arial" w:eastAsia="Arial" w:hAnsi="Arial"/>
          <w:b w:val="false"/>
          <w:bCs w:val="false"/>
          <w:i w:val="false"/>
          <w:iCs w:val="false"/>
          <w:color w:val="222222"/>
          <w:sz w:val="22"/>
          <w:szCs w:val="22"/>
        </w:rPr>
        <w:t xml:space="preserve">Once 5 completed engagements exist, AERELION activates a structured referral protocol. Each satisfied client receives a referral brief — a one-page framing of the transformation they experienced, designed to be shared with peers. Referral incentive: $1,500 credit toward a future engagement or maintenance retainer.</w:t>
      </w:r>
    </w:p>
    <w:p>
      <w:pPr>
        <w:spacing w:before="0" w:after="0"/>
      </w:pPr>
      <w:r>
        <w:t xml:space="preserve"/>
      </w:r>
    </w:p>
    <w:p>
      <w:pPr>
        <w:pStyle w:val="Heading2"/>
        <w:spacing w:before="320" w:after="120"/>
      </w:pPr>
      <w:r>
        <w:rPr>
          <w:rFonts w:ascii="Arial" w:cs="Arial" w:eastAsia="Arial" w:hAnsi="Arial"/>
          <w:b/>
          <w:bCs/>
          <w:color w:val="1B6CA8"/>
          <w:sz w:val="28"/>
          <w:szCs w:val="28"/>
        </w:rPr>
        <w:t xml:space="preserve">Phase 3 — Scale Infrastructure (Months 9–18)</w:t>
      </w:r>
    </w:p>
    <w:p>
      <w:pPr>
        <w:pStyle w:val="ListParagraph"/>
        <w:numPr>
          <w:ilvl w:val="0"/>
          <w:numId w:val="2"/>
        </w:numPr>
        <w:spacing w:before="60" w:after="60"/>
      </w:pPr>
      <w:r>
        <w:rPr>
          <w:rFonts w:ascii="Arial" w:cs="Arial" w:eastAsia="Arial" w:hAnsi="Arial"/>
          <w:b/>
          <w:bCs/>
          <w:color w:val="0A1628"/>
          <w:sz w:val="22"/>
          <w:szCs w:val="22"/>
        </w:rPr>
        <w:t xml:space="preserve">Certification </w:t>
      </w:r>
      <w:r>
        <w:rPr>
          <w:rFonts w:ascii="Arial" w:cs="Arial" w:eastAsia="Arial" w:hAnsi="Arial"/>
          <w:color w:val="333333"/>
          <w:sz w:val="22"/>
          <w:szCs w:val="22"/>
        </w:rPr>
        <w:t xml:space="preserve">Launch Operator Certification Program — train a cohort of operators to install AERELION-designed systems in their own markets (non-competing verticals)</w:t>
      </w:r>
    </w:p>
    <w:p>
      <w:pPr>
        <w:pStyle w:val="ListParagraph"/>
        <w:numPr>
          <w:ilvl w:val="0"/>
          <w:numId w:val="2"/>
        </w:numPr>
        <w:spacing w:before="60" w:after="60"/>
      </w:pPr>
      <w:r>
        <w:rPr>
          <w:rFonts w:ascii="Arial" w:cs="Arial" w:eastAsia="Arial" w:hAnsi="Arial"/>
          <w:b/>
          <w:bCs/>
          <w:color w:val="0A1628"/>
          <w:sz w:val="22"/>
          <w:szCs w:val="22"/>
        </w:rPr>
        <w:t xml:space="preserve">Demand Architecture </w:t>
      </w:r>
      <w:r>
        <w:rPr>
          <w:rFonts w:ascii="Arial" w:cs="Arial" w:eastAsia="Arial" w:hAnsi="Arial"/>
          <w:color w:val="333333"/>
          <w:sz w:val="22"/>
          <w:szCs w:val="22"/>
        </w:rPr>
        <w:t xml:space="preserve">Build a waitlist-driven demand funnel using transformation results as proof of concept</w:t>
      </w:r>
    </w:p>
    <w:p>
      <w:pPr>
        <w:pStyle w:val="ListParagraph"/>
        <w:numPr>
          <w:ilvl w:val="0"/>
          <w:numId w:val="2"/>
        </w:numPr>
        <w:spacing w:before="60" w:after="60"/>
      </w:pPr>
      <w:r>
        <w:rPr>
          <w:rFonts w:ascii="Arial" w:cs="Arial" w:eastAsia="Arial" w:hAnsi="Arial"/>
          <w:b/>
          <w:bCs/>
          <w:color w:val="0A1628"/>
          <w:sz w:val="22"/>
          <w:szCs w:val="22"/>
        </w:rPr>
        <w:t xml:space="preserve">Partnership Expansion </w:t>
      </w:r>
      <w:r>
        <w:rPr>
          <w:rFonts w:ascii="Arial" w:cs="Arial" w:eastAsia="Arial" w:hAnsi="Arial"/>
          <w:color w:val="333333"/>
          <w:sz w:val="22"/>
          <w:szCs w:val="22"/>
        </w:rPr>
        <w:t xml:space="preserve">Explore white-label delivery partnerships with mid-market consulting firms</w:t>
      </w:r>
    </w:p>
    <w:p>
      <w:pPr>
        <w:spacing w:before="0" w:after="0"/>
      </w:pPr>
      <w:r>
        <w:t xml:space="preserve"/>
      </w:r>
    </w:p>
    <w:p>
      <w:pPr>
        <w:pStyle w:val="Heading2"/>
        <w:spacing w:before="320" w:after="120"/>
      </w:pPr>
      <w:r>
        <w:rPr>
          <w:rFonts w:ascii="Arial" w:cs="Arial" w:eastAsia="Arial" w:hAnsi="Arial"/>
          <w:b/>
          <w:bCs/>
          <w:color w:val="1B6CA8"/>
          <w:sz w:val="28"/>
          <w:szCs w:val="28"/>
        </w:rPr>
        <w:t xml:space="preserve">Ideal Client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Annual Revenue</w:t>
            </w:r>
          </w:p>
        </w:tc>
        <w:tc>
          <w:tcPr>
            <w:tcW w:type="dxa" w:w="67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$300K–$3M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Team Size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 people</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Industry</w:t>
            </w:r>
          </w:p>
        </w:tc>
        <w:tc>
          <w:tcPr>
            <w:tcW w:type="dxa" w:w="67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Consulting, coaching, legal, financial advisory, marketing agencies, real estate teams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Mindset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Performance-obsessed; views operational friction as a solved problem they haven't solved yet</w:t>
            </w:r>
          </w:p>
        </w:tc>
      </w:tr>
      <w:tr>
        <w:trPr>
          <w:tblHeader w:val="false"/>
        </w:trPr>
        <w:tc>
          <w:tcPr>
            <w:tcW w:type="dxa" w:w="2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Decision Driver</w:t>
            </w:r>
          </w:p>
        </w:tc>
        <w:tc>
          <w:tcPr>
            <w:tcW w:type="dxa" w:w="67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Speed and certainty — not cost. Wants the outcome guaranteed, not the work quoted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Engagement Trigger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Recent bottleneck (hiring failure, delivery breakdown, client churn due to process gaps)</w:t>
            </w:r>
          </w:p>
        </w:tc>
      </w:tr>
    </w:tbl>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06. OPERATIONAL FRAMEWORK</w:t>
      </w:r>
    </w:p>
    <w:p>
      <w:pPr>
        <w:pStyle w:val="Heading2"/>
        <w:spacing w:before="320" w:after="120"/>
      </w:pPr>
      <w:r>
        <w:rPr>
          <w:rFonts w:ascii="Arial" w:cs="Arial" w:eastAsia="Arial" w:hAnsi="Arial"/>
          <w:b/>
          <w:bCs/>
          <w:color w:val="1B6CA8"/>
          <w:sz w:val="28"/>
          <w:szCs w:val="28"/>
        </w:rPr>
        <w:t xml:space="preserve">Delivery Model</w:t>
      </w:r>
    </w:p>
    <w:p>
      <w:pPr>
        <w:spacing w:before="80" w:after="80"/>
        <w:jc w:val="left"/>
      </w:pPr>
      <w:r>
        <w:rPr>
          <w:rFonts w:ascii="Arial" w:cs="Arial" w:eastAsia="Arial" w:hAnsi="Arial"/>
          <w:b w:val="false"/>
          <w:bCs w:val="false"/>
          <w:i w:val="false"/>
          <w:iCs w:val="false"/>
          <w:color w:val="222222"/>
          <w:sz w:val="22"/>
          <w:szCs w:val="22"/>
        </w:rPr>
        <w:t xml:space="preserve">Every AERELION engagement follows a five-phase installation protocol: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 System Audit</w:t>
            </w:r>
          </w:p>
        </w:tc>
        <w:tc>
          <w:tcPr>
            <w:tcW w:type="dxa" w:w="1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Days 1–3</w:t>
            </w:r>
          </w:p>
        </w:tc>
        <w:tc>
          <w:tcPr>
            <w:tcW w:type="dxa" w:w="5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Operational map identifying all manual friction points, current tools, and priority leverage zones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 Architecture Design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Days 4–8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Signed-off system blueprint with tool selection, integration logic, and performance benchmarks</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 Build &amp; Integration</w:t>
            </w:r>
          </w:p>
        </w:tc>
        <w:tc>
          <w:tcPr>
            <w:tcW w:type="dxa" w:w="1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Days 9–22</w:t>
            </w:r>
          </w:p>
        </w:tc>
        <w:tc>
          <w:tcPr>
            <w:tcW w:type="dxa" w:w="5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Full system build inside client's existing stack — no rip-and-replace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4. Activation &amp; Testing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Days 23–28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Live system testing with real data; operator walkthrough and handoff documentation</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 Benchmark Confirmation</w:t>
            </w:r>
          </w:p>
        </w:tc>
        <w:tc>
          <w:tcPr>
            <w:tcW w:type="dxa" w:w="1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Day 30</w:t>
            </w:r>
          </w:p>
        </w:tc>
        <w:tc>
          <w:tcPr>
            <w:tcW w:type="dxa" w:w="5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Performance measurement against agreed benchmarks; retainer offer extended if applicable</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Technology Stack</w:t>
      </w:r>
    </w:p>
    <w:p>
      <w:pPr>
        <w:pStyle w:val="ListParagraph"/>
        <w:numPr>
          <w:ilvl w:val="0"/>
          <w:numId w:val="2"/>
        </w:numPr>
        <w:spacing w:before="60" w:after="60"/>
      </w:pPr>
      <w:r>
        <w:rPr>
          <w:rFonts w:ascii="Arial" w:cs="Arial" w:eastAsia="Arial" w:hAnsi="Arial"/>
          <w:color w:val="333333"/>
          <w:sz w:val="22"/>
          <w:szCs w:val="22"/>
        </w:rPr>
        <w:t xml:space="preserve">Orchestration: Make.com, n8n, Zapier (selected per client stack)</w:t>
      </w:r>
    </w:p>
    <w:p>
      <w:pPr>
        <w:pStyle w:val="ListParagraph"/>
        <w:numPr>
          <w:ilvl w:val="0"/>
          <w:numId w:val="2"/>
        </w:numPr>
        <w:spacing w:before="60" w:after="60"/>
      </w:pPr>
      <w:r>
        <w:rPr>
          <w:rFonts w:ascii="Arial" w:cs="Arial" w:eastAsia="Arial" w:hAnsi="Arial"/>
          <w:color w:val="333333"/>
          <w:sz w:val="22"/>
          <w:szCs w:val="22"/>
        </w:rPr>
        <w:t xml:space="preserve">AI Layer: OpenAI GPT-4 / Claude API for conversational and generative components</w:t>
      </w:r>
    </w:p>
    <w:p>
      <w:pPr>
        <w:pStyle w:val="ListParagraph"/>
        <w:numPr>
          <w:ilvl w:val="0"/>
          <w:numId w:val="2"/>
        </w:numPr>
        <w:spacing w:before="60" w:after="60"/>
      </w:pPr>
      <w:r>
        <w:rPr>
          <w:rFonts w:ascii="Arial" w:cs="Arial" w:eastAsia="Arial" w:hAnsi="Arial"/>
          <w:color w:val="333333"/>
          <w:sz w:val="22"/>
          <w:szCs w:val="22"/>
        </w:rPr>
        <w:t xml:space="preserve">CRM Integration: HubSpot, GoHighLevel, Salesforce, Notion (per client environment)</w:t>
      </w:r>
    </w:p>
    <w:p>
      <w:pPr>
        <w:pStyle w:val="ListParagraph"/>
        <w:numPr>
          <w:ilvl w:val="0"/>
          <w:numId w:val="2"/>
        </w:numPr>
        <w:spacing w:before="60" w:after="60"/>
      </w:pPr>
      <w:r>
        <w:rPr>
          <w:rFonts w:ascii="Arial" w:cs="Arial" w:eastAsia="Arial" w:hAnsi="Arial"/>
          <w:color w:val="333333"/>
          <w:sz w:val="22"/>
          <w:szCs w:val="22"/>
        </w:rPr>
        <w:t xml:space="preserve">Document Automation: PandaDoc, DocuSign, custom GPT document generators</w:t>
      </w:r>
    </w:p>
    <w:p>
      <w:pPr>
        <w:pStyle w:val="ListParagraph"/>
        <w:numPr>
          <w:ilvl w:val="0"/>
          <w:numId w:val="2"/>
        </w:numPr>
        <w:spacing w:before="60" w:after="60"/>
      </w:pPr>
      <w:r>
        <w:rPr>
          <w:rFonts w:ascii="Arial" w:cs="Arial" w:eastAsia="Arial" w:hAnsi="Arial"/>
          <w:color w:val="333333"/>
          <w:sz w:val="22"/>
          <w:szCs w:val="22"/>
        </w:rPr>
        <w:t xml:space="preserve">Reporting &amp; Dashboards: Airtable, Google Looker Studio, custom webhook pipelines</w:t>
      </w:r>
    </w:p>
    <w:p>
      <w:pPr>
        <w:spacing w:before="0" w:after="0"/>
      </w:pPr>
      <w:r>
        <w:t xml:space="preserve"/>
      </w:r>
    </w:p>
    <w:p>
      <w:pPr>
        <w:pStyle w:val="Heading2"/>
        <w:spacing w:before="320" w:after="120"/>
      </w:pPr>
      <w:r>
        <w:rPr>
          <w:rFonts w:ascii="Arial" w:cs="Arial" w:eastAsia="Arial" w:hAnsi="Arial"/>
          <w:b/>
          <w:bCs/>
          <w:color w:val="1B6CA8"/>
          <w:sz w:val="28"/>
          <w:szCs w:val="28"/>
        </w:rPr>
        <w:t xml:space="preserve">Quality Standards</w:t>
      </w:r>
    </w:p>
    <w:p>
      <w:pPr>
        <w:spacing w:before="80" w:after="80"/>
        <w:jc w:val="left"/>
      </w:pPr>
      <w:r>
        <w:rPr>
          <w:rFonts w:ascii="Arial" w:cs="Arial" w:eastAsia="Arial" w:hAnsi="Arial"/>
          <w:b w:val="false"/>
          <w:bCs w:val="false"/>
          <w:i w:val="false"/>
          <w:iCs w:val="false"/>
          <w:color w:val="222222"/>
          <w:sz w:val="22"/>
          <w:szCs w:val="22"/>
        </w:rPr>
        <w:t xml:space="preserve">AERELION operates under three non-negotiable quality constraints: (1) Every system must run without the operator's daily intervention. (2) Every integration must be documented in plain English for the client. (3) Every benchmark must be measurable within 30 days of activation.</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07. FINANCIAL PROJECTIONS</w:t>
      </w:r>
    </w:p>
    <w:p>
      <w:pPr>
        <w:pStyle w:val="Heading2"/>
        <w:spacing w:before="320" w:after="120"/>
      </w:pPr>
      <w:r>
        <w:rPr>
          <w:rFonts w:ascii="Arial" w:cs="Arial" w:eastAsia="Arial" w:hAnsi="Arial"/>
          <w:b/>
          <w:bCs/>
          <w:color w:val="1B6CA8"/>
          <w:sz w:val="28"/>
          <w:szCs w:val="28"/>
        </w:rPr>
        <w:t xml:space="preserve">3-Year 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23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1</w:t>
            </w:r>
          </w:p>
        </w:tc>
        <w:tc>
          <w:tcPr>
            <w:tcW w:type="dxa" w:w="23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2</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Year 3</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Project Revenue</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$255,600</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$882,000</w:t>
            </w:r>
          </w:p>
        </w:tc>
        <w:tc>
          <w:tcPr>
            <w:tcW w:type="dxa" w:w="2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$2,024,000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Retainer Revenue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$36,000</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$147,600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$524,000</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Certification / Training</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$0</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$50,000</w:t>
            </w:r>
          </w:p>
        </w:tc>
        <w:tc>
          <w:tcPr>
            <w:tcW w:type="dxa" w:w="2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$175,000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 REVENUE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$291,600</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$1,079,600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$2,723,000</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COGS (tools, contractors)</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$63,900</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$205,100</w:t>
            </w:r>
          </w:p>
        </w:tc>
        <w:tc>
          <w:tcPr>
            <w:tcW w:type="dxa" w:w="2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$435,700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GROSS PROFIT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$227,700</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$874,500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$2,287,300</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Operating Expenses</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$84,000</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$198,000</w:t>
            </w:r>
          </w:p>
        </w:tc>
        <w:tc>
          <w:tcPr>
            <w:tcW w:type="dxa" w:w="2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$385,000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NET OPERATING INCOME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$143,700</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$676,500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$1,902,300</w:t>
            </w:r>
          </w:p>
        </w:tc>
      </w:tr>
      <w:tr>
        <w:trPr>
          <w:tblHeader w:val="false"/>
        </w:trPr>
        <w:tc>
          <w:tcPr>
            <w:tcW w:type="dxa" w:w="24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Net Margin</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49.3%</w:t>
            </w:r>
          </w:p>
        </w:tc>
        <w:tc>
          <w:tcPr>
            <w:tcW w:type="dxa" w:w="23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62.7%</w:t>
            </w:r>
          </w:p>
        </w:tc>
        <w:tc>
          <w:tcPr>
            <w:tcW w:type="dxa" w:w="23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69.9%</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Key Assumptions</w:t>
      </w:r>
    </w:p>
    <w:p>
      <w:pPr>
        <w:pStyle w:val="ListParagraph"/>
        <w:numPr>
          <w:ilvl w:val="0"/>
          <w:numId w:val="2"/>
        </w:numPr>
        <w:spacing w:before="60" w:after="60"/>
      </w:pPr>
      <w:r>
        <w:rPr>
          <w:rFonts w:ascii="Arial" w:cs="Arial" w:eastAsia="Arial" w:hAnsi="Arial"/>
          <w:color w:val="333333"/>
          <w:sz w:val="22"/>
          <w:szCs w:val="22"/>
        </w:rPr>
        <w:t xml:space="preserve">Year 1: Founder handles all delivery. 1 part-time contractor added in Month 8.</w:t>
      </w:r>
    </w:p>
    <w:p>
      <w:pPr>
        <w:pStyle w:val="ListParagraph"/>
        <w:numPr>
          <w:ilvl w:val="0"/>
          <w:numId w:val="2"/>
        </w:numPr>
        <w:spacing w:before="60" w:after="60"/>
      </w:pPr>
      <w:r>
        <w:rPr>
          <w:rFonts w:ascii="Arial" w:cs="Arial" w:eastAsia="Arial" w:hAnsi="Arial"/>
          <w:color w:val="333333"/>
          <w:sz w:val="22"/>
          <w:szCs w:val="22"/>
        </w:rPr>
        <w:t xml:space="preserve">Year 2: First full-time hire (Automation Specialist). Contractor bench expanded to 3.</w:t>
      </w:r>
    </w:p>
    <w:p>
      <w:pPr>
        <w:pStyle w:val="ListParagraph"/>
        <w:numPr>
          <w:ilvl w:val="0"/>
          <w:numId w:val="2"/>
        </w:numPr>
        <w:spacing w:before="60" w:after="60"/>
      </w:pPr>
      <w:r>
        <w:rPr>
          <w:rFonts w:ascii="Arial" w:cs="Arial" w:eastAsia="Arial" w:hAnsi="Arial"/>
          <w:color w:val="333333"/>
          <w:sz w:val="22"/>
          <w:szCs w:val="22"/>
        </w:rPr>
        <w:t xml:space="preserve">Year 3: 2 full-time delivery staff + 1 client success manager + 5-person contractor network.</w:t>
      </w:r>
    </w:p>
    <w:p>
      <w:pPr>
        <w:pStyle w:val="ListParagraph"/>
        <w:numPr>
          <w:ilvl w:val="0"/>
          <w:numId w:val="2"/>
        </w:numPr>
        <w:spacing w:before="60" w:after="60"/>
      </w:pPr>
      <w:r>
        <w:rPr>
          <w:rFonts w:ascii="Arial" w:cs="Arial" w:eastAsia="Arial" w:hAnsi="Arial"/>
          <w:color w:val="333333"/>
          <w:sz w:val="22"/>
          <w:szCs w:val="22"/>
        </w:rPr>
        <w:t xml:space="preserve">No paid advertising budget in Year 1. $36,000 allocated in Year 2. $72,000 in Year 3.</w:t>
      </w:r>
    </w:p>
    <w:p>
      <w:pPr>
        <w:pStyle w:val="ListParagraph"/>
        <w:numPr>
          <w:ilvl w:val="0"/>
          <w:numId w:val="2"/>
        </w:numPr>
        <w:spacing w:before="60" w:after="60"/>
      </w:pPr>
      <w:r>
        <w:rPr>
          <w:rFonts w:ascii="Arial" w:cs="Arial" w:eastAsia="Arial" w:hAnsi="Arial"/>
          <w:color w:val="333333"/>
          <w:sz w:val="22"/>
          <w:szCs w:val="22"/>
        </w:rPr>
        <w:t xml:space="preserve">Retainer upsell rate assumed at 35% of completed engagements.</w:t>
      </w:r>
    </w:p>
    <w:p>
      <w:pPr>
        <w:spacing w:before="0" w:after="0"/>
      </w:pPr>
      <w:r>
        <w:t xml:space="preserve"/>
      </w:r>
    </w:p>
    <w:p>
      <w:pPr>
        <w:pStyle w:val="Heading2"/>
        <w:spacing w:before="320" w:after="120"/>
      </w:pPr>
      <w:r>
        <w:rPr>
          <w:rFonts w:ascii="Arial" w:cs="Arial" w:eastAsia="Arial" w:hAnsi="Arial"/>
          <w:b/>
          <w:bCs/>
          <w:color w:val="1B6CA8"/>
          <w:sz w:val="28"/>
          <w:szCs w:val="28"/>
        </w:rPr>
        <w:t xml:space="preserve">Break-Even Analysis</w:t>
      </w:r>
    </w:p>
    <w:p>
      <w:pPr>
        <w:spacing w:before="80" w:after="80"/>
        <w:jc w:val="left"/>
      </w:pPr>
      <w:r>
        <w:rPr>
          <w:rFonts w:ascii="Arial" w:cs="Arial" w:eastAsia="Arial" w:hAnsi="Arial"/>
          <w:b w:val="false"/>
          <w:bCs w:val="false"/>
          <w:i w:val="false"/>
          <w:iCs w:val="false"/>
          <w:color w:val="222222"/>
          <w:sz w:val="22"/>
          <w:szCs w:val="22"/>
        </w:rPr>
        <w:t xml:space="preserve">At a monthly operating cost of $7,000 (tools, software, minimal contractor hours, basic overhead) and an average engagement value of $14,200, AERELION reaches break-even at 0.5 engagements per month — meaning a single mid-tier project every two months covers all operating costs. First-month profitability is structurally achievable.</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08. COMPETITIVE LANDSCAPE &amp; POSITIONING</w:t>
      </w:r>
    </w:p>
    <w:p>
      <w:pPr>
        <w:pStyle w:val="Heading2"/>
        <w:spacing w:before="320" w:after="120"/>
      </w:pPr>
      <w:r>
        <w:rPr>
          <w:rFonts w:ascii="Arial" w:cs="Arial" w:eastAsia="Arial" w:hAnsi="Arial"/>
          <w:b/>
          <w:bCs/>
          <w:color w:val="1B6CA8"/>
          <w:sz w:val="28"/>
          <w:szCs w:val="28"/>
        </w:rPr>
        <w:t xml:space="preserve">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700"/>
        <w:gridCol w:w="1680"/>
        <w:gridCol w:w="158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AERELION</w:t>
            </w:r>
          </w:p>
        </w:tc>
        <w:tc>
          <w:tcPr>
            <w:tcW w:type="dxa" w:w="17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Automation Agencies</w:t>
            </w:r>
          </w:p>
        </w:tc>
        <w:tc>
          <w:tcPr>
            <w:tcW w:type="dxa" w:w="168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AI SaaS Vendors</w:t>
            </w:r>
          </w:p>
        </w:tc>
        <w:tc>
          <w:tcPr>
            <w:tcW w:type="dxa" w:w="158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Freelancers / Consultants</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Pricing model</w:t>
            </w:r>
          </w:p>
        </w:tc>
        <w:tc>
          <w:tcPr>
            <w:tcW w:type="dxa" w:w="19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Fixed-scope, outcome-based</w:t>
            </w:r>
          </w:p>
        </w:tc>
        <w:tc>
          <w:tcPr>
            <w:tcW w:type="dxa" w:w="17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Hourly or retainer</w:t>
            </w:r>
          </w:p>
        </w:tc>
        <w:tc>
          <w:tcPr>
            <w:tcW w:type="dxa" w:w="1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Subscription</w:t>
            </w:r>
          </w:p>
        </w:tc>
        <w:tc>
          <w:tcPr>
            <w:tcW w:type="dxa" w:w="15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Hourly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Liability model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Outcome ownership</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Effort only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Tool access only</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Effort only</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Speed to live system</w:t>
            </w:r>
          </w:p>
        </w:tc>
        <w:tc>
          <w:tcPr>
            <w:tcW w:type="dxa" w:w="19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30 days guaranteed</w:t>
            </w:r>
          </w:p>
        </w:tc>
        <w:tc>
          <w:tcPr>
            <w:tcW w:type="dxa" w:w="17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60–120 days</w:t>
            </w:r>
          </w:p>
        </w:tc>
        <w:tc>
          <w:tcPr>
            <w:tcW w:type="dxa" w:w="1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DIY</w:t>
            </w:r>
          </w:p>
        </w:tc>
        <w:tc>
          <w:tcPr>
            <w:tcW w:type="dxa" w:w="15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Variable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Technical depth</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Full-stack AI integration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Variable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Single product</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Variable</w:t>
            </w:r>
          </w:p>
        </w:tc>
      </w:tr>
      <w:tr>
        <w:trPr>
          <w:tblHeader w:val="false"/>
        </w:trPr>
        <w:tc>
          <w:tcPr>
            <w:tcW w:type="dxa" w:w="25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Premium positioning</w:t>
            </w:r>
          </w:p>
        </w:tc>
        <w:tc>
          <w:tcPr>
            <w:tcW w:type="dxa" w:w="19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Category of one</w:t>
            </w:r>
          </w:p>
        </w:tc>
        <w:tc>
          <w:tcPr>
            <w:tcW w:type="dxa" w:w="17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Commodity</w:t>
            </w:r>
          </w:p>
        </w:tc>
        <w:tc>
          <w:tcPr>
            <w:tcW w:type="dxa" w:w="1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Mass market</w:t>
            </w:r>
          </w:p>
        </w:tc>
        <w:tc>
          <w:tcPr>
            <w:tcW w:type="dxa" w:w="15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Commodity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Post-install support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Benchmark confirmation + retainer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Scope creep | extra billing</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Support tickets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None standard</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Strategic Moat</w:t>
      </w:r>
    </w:p>
    <w:p>
      <w:pPr>
        <w:spacing w:before="80" w:after="80"/>
        <w:jc w:val="left"/>
      </w:pPr>
      <w:r>
        <w:rPr>
          <w:rFonts w:ascii="Arial" w:cs="Arial" w:eastAsia="Arial" w:hAnsi="Arial"/>
          <w:b w:val="false"/>
          <w:bCs w:val="false"/>
          <w:i w:val="false"/>
          <w:iCs w:val="false"/>
          <w:color w:val="222222"/>
          <w:sz w:val="22"/>
          <w:szCs w:val="22"/>
        </w:rPr>
        <w:t xml:space="preserve">AERELION's durable competitive advantage is not technology — it is the outcome guarantee model combined with a premium trust signal built through founder credibility, case study volume, and referral density. As case studies accumulate, the cost of client acquisition drops and the quality of inbound inquiries rises. This creates a flywheel that widens the gap against lower-positioned competitors.</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09. GROWTH ROADMAP</w:t>
      </w:r>
    </w:p>
    <w:p>
      <w:pPr>
        <w:pStyle w:val="Heading2"/>
        <w:spacing w:before="320" w:after="120"/>
      </w:pPr>
      <w:r>
        <w:rPr>
          <w:rFonts w:ascii="Arial" w:cs="Arial" w:eastAsia="Arial" w:hAnsi="Arial"/>
          <w:b/>
          <w:bCs/>
          <w:color w:val="1B6CA8"/>
          <w:sz w:val="28"/>
          <w:szCs w:val="28"/>
        </w:rPr>
        <w:t xml:space="preserve">12-Month Milestone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Quarter</w:t>
            </w:r>
          </w:p>
        </w:tc>
        <w:tc>
          <w:tcPr>
            <w:tcW w:type="dxa" w:w="50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Revenue Target</w:t>
            </w:r>
          </w:p>
        </w:tc>
      </w:tr>
      <w:tr>
        <w:trPr>
          <w:tblHeader w:val="false"/>
        </w:trPr>
        <w:tc>
          <w:tcPr>
            <w:tcW w:type="dxa" w:w="1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Q1 2026</w:t>
            </w:r>
          </w:p>
        </w:tc>
        <w:tc>
          <w:tcPr>
            <w:tcW w:type="dxa" w:w="5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First 3 engagements closed. 2 case studies published. LinkedIn presence launched.</w:t>
            </w:r>
          </w:p>
        </w:tc>
        <w:tc>
          <w:tcPr>
            <w:tcW w:type="dxa" w:w="27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$48,000</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Q2 2026</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6 total engagements. First 2 retainers active. Referral protocol launched.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$112,000</w:t>
            </w:r>
          </w:p>
        </w:tc>
      </w:tr>
      <w:tr>
        <w:trPr>
          <w:tblHeader w:val="false"/>
        </w:trPr>
        <w:tc>
          <w:tcPr>
            <w:tcW w:type="dxa" w:w="16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Q3 2026</w:t>
            </w:r>
          </w:p>
        </w:tc>
        <w:tc>
          <w:tcPr>
            <w:tcW w:type="dxa" w:w="50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 total engagements. Operator Certification Program pre-launch. First strategic partnership.</w:t>
            </w:r>
          </w:p>
        </w:tc>
        <w:tc>
          <w:tcPr>
            <w:tcW w:type="dxa" w:w="27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$210,000</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Q4 2026</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18 engagements. 6 retainers. Certification cohort #1 launched. First contractor hire.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$291,600</w:t>
            </w:r>
          </w:p>
        </w:tc>
      </w:tr>
    </w:tbl>
    <w:p>
      <w:pPr>
        <w:spacing w:before="0" w:after="0"/>
      </w:pPr>
      <w:r>
        <w:t xml:space="preserve"/>
      </w:r>
    </w:p>
    <w:p>
      <w:pPr>
        <w:pStyle w:val="Heading2"/>
        <w:spacing w:before="320" w:after="120"/>
      </w:pPr>
      <w:r>
        <w:rPr>
          <w:rFonts w:ascii="Arial" w:cs="Arial" w:eastAsia="Arial" w:hAnsi="Arial"/>
          <w:b/>
          <w:bCs/>
          <w:color w:val="1B6CA8"/>
          <w:sz w:val="28"/>
          <w:szCs w:val="28"/>
        </w:rPr>
        <w:t xml:space="preserve">Scale Architecture (Years 2–3)</w:t>
      </w:r>
    </w:p>
    <w:p>
      <w:pPr>
        <w:pStyle w:val="ListParagraph"/>
        <w:numPr>
          <w:ilvl w:val="0"/>
          <w:numId w:val="2"/>
        </w:numPr>
        <w:spacing w:before="60" w:after="60"/>
      </w:pPr>
      <w:r>
        <w:rPr>
          <w:rFonts w:ascii="Arial" w:cs="Arial" w:eastAsia="Arial" w:hAnsi="Arial"/>
          <w:color w:val="333333"/>
          <w:sz w:val="22"/>
          <w:szCs w:val="22"/>
        </w:rPr>
        <w:t xml:space="preserve">Introduce a Certified AERELION Installer program — vetted operators licensed to deploy AERELION-designed system templates in non-competing verticals</w:t>
      </w:r>
    </w:p>
    <w:p>
      <w:pPr>
        <w:pStyle w:val="ListParagraph"/>
        <w:numPr>
          <w:ilvl w:val="0"/>
          <w:numId w:val="2"/>
        </w:numPr>
        <w:spacing w:before="60" w:after="60"/>
      </w:pPr>
      <w:r>
        <w:rPr>
          <w:rFonts w:ascii="Arial" w:cs="Arial" w:eastAsia="Arial" w:hAnsi="Arial"/>
          <w:color w:val="333333"/>
          <w:sz w:val="22"/>
          <w:szCs w:val="22"/>
        </w:rPr>
        <w:t xml:space="preserve">Develop a proprietary System Template Library — pre-built, configurable automation systems for the top 8 use cases in the professional services vertical</w:t>
      </w:r>
    </w:p>
    <w:p>
      <w:pPr>
        <w:pStyle w:val="ListParagraph"/>
        <w:numPr>
          <w:ilvl w:val="0"/>
          <w:numId w:val="2"/>
        </w:numPr>
        <w:spacing w:before="60" w:after="60"/>
      </w:pPr>
      <w:r>
        <w:rPr>
          <w:rFonts w:ascii="Arial" w:cs="Arial" w:eastAsia="Arial" w:hAnsi="Arial"/>
          <w:color w:val="333333"/>
          <w:sz w:val="22"/>
          <w:szCs w:val="22"/>
        </w:rPr>
        <w:t xml:space="preserve">Explore a SaaS-adjacent product: a lightweight system monitoring dashboard sold to post-install clients as a standalone subscription ($99–$299/month)</w:t>
      </w:r>
    </w:p>
    <w:p>
      <w:pPr>
        <w:pStyle w:val="ListParagraph"/>
        <w:numPr>
          <w:ilvl w:val="0"/>
          <w:numId w:val="2"/>
        </w:numPr>
        <w:spacing w:before="60" w:after="60"/>
      </w:pPr>
      <w:r>
        <w:rPr>
          <w:rFonts w:ascii="Arial" w:cs="Arial" w:eastAsia="Arial" w:hAnsi="Arial"/>
          <w:color w:val="333333"/>
          <w:sz w:val="22"/>
          <w:szCs w:val="22"/>
        </w:rPr>
        <w:t xml:space="preserve">Enter 2 adjacent verticals: healthcare administration and e-commerce operations management</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10.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AI platform API disruptions or pricing changes</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Multi-vendor architecture; tool-agnostic system design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Client churns before benchmark confirmation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Phased payment structure tied to milestone delivery</w:t>
            </w:r>
          </w:p>
        </w:tc>
      </w:tr>
      <w:tr>
        <w:trPr>
          <w:tblHeader w:val="false"/>
        </w:trPr>
        <w:tc>
          <w:tcPr>
            <w:tcW w:type="dxa" w:w="28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Founder capacity bottleneck at scale</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Contractor bench pre-built; Certification Program creates leverage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Commoditization by large automation agencies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Outcome guarantee + referral density creates premium category isolation</w:t>
            </w:r>
          </w:p>
        </w:tc>
      </w:tr>
      <w:tr>
        <w:trPr>
          <w:tblHeader w:val="false"/>
        </w:trPr>
        <w:tc>
          <w:tcPr>
            <w:tcW w:type="dxa" w:w="28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AI regulatory changes affecting data handling</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val="false"/>
                <w:bCs w:val="false"/>
                <w:color w:val="222222"/>
                <w:sz w:val="20"/>
                <w:szCs w:val="20"/>
              </w:rPr>
              <w:t xml:space="preserve">SOC2-compliant tool selection; client data sovereignty clause in all contracts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Sales cycle too long; pipeline dries up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Content flywheel provides inbound; referral protocol de-risks outbound dependence</w:t>
            </w:r>
          </w:p>
        </w:tc>
      </w:tr>
    </w:tbl>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11. FOUNDER &amp; TEAM</w:t>
      </w:r>
    </w:p>
    <w:p>
      <w:pPr>
        <w:pStyle w:val="Heading2"/>
        <w:spacing w:before="320" w:after="120"/>
      </w:pPr>
      <w:r>
        <w:rPr>
          <w:rFonts w:ascii="Arial" w:cs="Arial" w:eastAsia="Arial" w:hAnsi="Arial"/>
          <w:b/>
          <w:bCs/>
          <w:color w:val="1B6CA8"/>
          <w:sz w:val="28"/>
          <w:szCs w:val="28"/>
        </w:rPr>
        <w:t xml:space="preserve">Gustavo — Founder &amp; Principal Operator</w:t>
      </w:r>
    </w:p>
    <w:p>
      <w:pPr>
        <w:spacing w:before="80" w:after="80"/>
        <w:jc w:val="left"/>
      </w:pPr>
      <w:r>
        <w:rPr>
          <w:rFonts w:ascii="Arial" w:cs="Arial" w:eastAsia="Arial" w:hAnsi="Arial"/>
          <w:b w:val="false"/>
          <w:bCs w:val="false"/>
          <w:i w:val="false"/>
          <w:iCs w:val="false"/>
          <w:color w:val="222222"/>
          <w:sz w:val="22"/>
          <w:szCs w:val="22"/>
        </w:rPr>
        <w:t xml:space="preserve">AERELION was founded by Gustavo, a systems architect and AI integration specialist with a deep background in operational design for lean professional service businesses. Gustavo founded AERELION on a single thesis: that the compounding operational cost of manual workflows in small service businesses represents one of the most underdressed infrastructure crises in modern commerce — and that AI has finally crossed the accessibility threshold required to solve it at scale.</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Gustavo's operating philosophy is rooted in precision over volume. He selects clients who are ready to move, builds systems that outlast the engagement, and measures success exclusively by outcomes. AERELION reflects his belief that premium positioning is not a pricing strategy — it is an integrity standard.</w:t>
      </w:r>
    </w:p>
    <w:p>
      <w:pPr>
        <w:spacing w:before="0" w:after="0"/>
      </w:pPr>
      <w:r>
        <w:t xml:space="preserve"/>
      </w:r>
    </w:p>
    <w:p>
      <w:pPr>
        <w:pStyle w:val="Heading2"/>
        <w:spacing w:before="320" w:after="120"/>
      </w:pPr>
      <w:r>
        <w:rPr>
          <w:rFonts w:ascii="Arial" w:cs="Arial" w:eastAsia="Arial" w:hAnsi="Arial"/>
          <w:b/>
          <w:bCs/>
          <w:color w:val="1B6CA8"/>
          <w:sz w:val="28"/>
          <w:szCs w:val="28"/>
        </w:rPr>
        <w:t xml:space="preserve">Advisory &amp; Support Structure</w:t>
      </w:r>
    </w:p>
    <w:p>
      <w:pPr>
        <w:pStyle w:val="ListParagraph"/>
        <w:numPr>
          <w:ilvl w:val="0"/>
          <w:numId w:val="2"/>
        </w:numPr>
        <w:spacing w:before="60" w:after="60"/>
      </w:pPr>
      <w:r>
        <w:rPr>
          <w:rFonts w:ascii="Arial" w:cs="Arial" w:eastAsia="Arial" w:hAnsi="Arial"/>
          <w:color w:val="333333"/>
          <w:sz w:val="22"/>
          <w:szCs w:val="22"/>
        </w:rPr>
        <w:t xml:space="preserve">Part-time automation contractors: on-call for build sprints (engaged at engagement #4+)</w:t>
      </w:r>
    </w:p>
    <w:p>
      <w:pPr>
        <w:pStyle w:val="ListParagraph"/>
        <w:numPr>
          <w:ilvl w:val="0"/>
          <w:numId w:val="2"/>
        </w:numPr>
        <w:spacing w:before="60" w:after="60"/>
      </w:pPr>
      <w:r>
        <w:rPr>
          <w:rFonts w:ascii="Arial" w:cs="Arial" w:eastAsia="Arial" w:hAnsi="Arial"/>
          <w:color w:val="333333"/>
          <w:sz w:val="22"/>
          <w:szCs w:val="22"/>
        </w:rPr>
        <w:t xml:space="preserve">Legal counsel: retained for contract template review and IP structuring</w:t>
      </w:r>
    </w:p>
    <w:p>
      <w:pPr>
        <w:pStyle w:val="ListParagraph"/>
        <w:numPr>
          <w:ilvl w:val="0"/>
          <w:numId w:val="2"/>
        </w:numPr>
        <w:spacing w:before="60" w:after="60"/>
      </w:pPr>
      <w:r>
        <w:rPr>
          <w:rFonts w:ascii="Arial" w:cs="Arial" w:eastAsia="Arial" w:hAnsi="Arial"/>
          <w:color w:val="333333"/>
          <w:sz w:val="22"/>
          <w:szCs w:val="22"/>
        </w:rPr>
        <w:t xml:space="preserve">Fractional CFO advisory: engaged at $500K ARR milestone for scale planning</w:t>
      </w:r>
    </w:p>
    <w:p>
      <w:pPr>
        <w:pBdr>
          <w:bottom w:val="single" w:color="D6E8F5" w:sz="4" w:space="4"/>
        </w:pBdr>
        <w:spacing w:before="160" w:after="160"/>
      </w:pPr>
      <w:r>
        <w:t xml:space="preserve"/>
      </w:r>
    </w:p>
    <w:p>
      <w:pPr>
        <w:pStyle w:val="Heading1"/>
        <w:pBdr>
          <w:bottom w:val="single" w:color="1B6CA8" w:sz="8" w:space="6"/>
        </w:pBdr>
        <w:spacing w:before="480" w:after="160"/>
      </w:pPr>
      <w:r>
        <w:rPr>
          <w:rFonts w:ascii="Arial" w:cs="Arial" w:eastAsia="Arial" w:hAnsi="Arial"/>
          <w:b/>
          <w:bCs/>
          <w:color w:val="0A1628"/>
          <w:sz w:val="36"/>
          <w:szCs w:val="36"/>
        </w:rPr>
        <w:t xml:space="preserve">12. CLOSING THESIS</w:t>
      </w:r>
    </w:p>
    <w:p>
      <w:pPr>
        <w:spacing w:before="200" w:after="200"/>
      </w:pPr>
      <w:r>
        <w:rPr>
          <w:rFonts w:ascii="Arial" w:cs="Arial" w:eastAsia="Arial" w:hAnsi="Arial"/>
          <w:b/>
          <w:bCs/>
          <w:color w:val="0A1628"/>
          <w:sz w:val="28"/>
          <w:szCs w:val="28"/>
        </w:rPr>
        <w:t xml:space="preserve">AERELION does not compete on price. It does not compete on features. It competes on certainty.</w:t>
      </w:r>
    </w:p>
    <w:p>
      <w:pPr>
        <w:spacing w:before="80" w:after="80"/>
        <w:jc w:val="left"/>
      </w:pPr>
      <w:r>
        <w:rPr>
          <w:rFonts w:ascii="Arial" w:cs="Arial" w:eastAsia="Arial" w:hAnsi="Arial"/>
          <w:b w:val="false"/>
          <w:bCs w:val="false"/>
          <w:i w:val="false"/>
          <w:iCs w:val="false"/>
          <w:color w:val="222222"/>
          <w:sz w:val="22"/>
          <w:szCs w:val="22"/>
        </w:rPr>
        <w:t xml:space="preserve">In a market flooded with tools that promise transformation and deliver complexity, AERELION offers something rare: a defined outcome, delivered on a fixed timeline, with the operator's existing infrastructure — no rip-and-replace, no long onboarding, no scope ambiguity.</w:t>
      </w:r>
    </w:p>
    <w:p>
      <w:pPr>
        <w:spacing w:before="0" w:after="0"/>
      </w:pPr>
      <w:r>
        <w:t xml:space="preserve"/>
      </w:r>
    </w:p>
    <w:p>
      <w:pPr>
        <w:spacing w:before="80" w:after="80"/>
        <w:jc w:val="left"/>
      </w:pPr>
      <w:r>
        <w:rPr>
          <w:rFonts w:ascii="Arial" w:cs="Arial" w:eastAsia="Arial" w:hAnsi="Arial"/>
          <w:b w:val="false"/>
          <w:bCs w:val="false"/>
          <w:i w:val="false"/>
          <w:iCs w:val="false"/>
          <w:color w:val="222222"/>
          <w:sz w:val="22"/>
          <w:szCs w:val="22"/>
        </w:rPr>
        <w:t xml:space="preserve">The operators AERELION serves are not buying automation. They are buying back their time, their attention, and their ability to grow. That is not a feature. It is a transfer of liability. And AERELION prices accordingly.</w:t>
      </w:r>
    </w:p>
    <w:p>
      <w:pPr>
        <w:spacing w:before="0" w:after="0"/>
      </w:pPr>
      <w:r>
        <w:t xml:space="preserve"/>
      </w:r>
    </w:p>
    <w:p>
      <w:pPr>
        <w:spacing w:before="320" w:after="320"/>
        <w:jc w:val="center"/>
      </w:pPr>
      <w:r>
        <w:rPr>
          <w:rFonts w:ascii="Arial" w:cs="Arial" w:eastAsia="Arial" w:hAnsi="Arial"/>
          <w:b/>
          <w:bCs/>
          <w:i/>
          <w:iCs/>
          <w:color w:val="1B6CA8"/>
          <w:sz w:val="24"/>
          <w:szCs w:val="24"/>
        </w:rPr>
        <w:t xml:space="preserve">The ceiling has been removed. The system is ready.</w:t>
      </w:r>
    </w:p>
    <w:p>
      <w:pPr>
        <w:pBdr>
          <w:bottom w:val="single" w:color="0A1628" w:sz="12" w:space="0"/>
        </w:pBdr>
        <w:spacing w:before="80" w:after="400"/>
      </w:pPr>
      <w:r>
        <w:t xml:space="preserve"/>
      </w:r>
    </w:p>
    <w:p>
      <w:pPr>
        <w:jc w:val="center"/>
      </w:pPr>
      <w:r>
        <w:rPr>
          <w:rFonts w:ascii="Arial" w:cs="Arial" w:eastAsia="Arial" w:hAnsi="Arial"/>
          <w:b/>
          <w:bCs/>
          <w:color w:val="1B6CA8"/>
          <w:sz w:val="22"/>
          <w:szCs w:val="22"/>
        </w:rPr>
        <w:t xml:space="preserve">aerelion.systems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5" w:sz="4" w:space="4"/>
      </w:pBdr>
      <w:tabs>
        <w:tab w:val="right" w:pos="9026"/>
      </w:tabs>
    </w:pPr>
    <w:r>
      <w:rPr>
        <w:rFonts w:ascii="Arial" w:cs="Arial" w:eastAsia="Arial" w:hAnsi="Arial"/>
        <w:caps/>
        <w:color w:val="8899AA"/>
        <w:sz w:val="16"/>
        <w:szCs w:val="16"/>
      </w:rPr>
      <w:t xml:space="preserve">AERELION SYSTEMS  |  BUSINESS PLAN  |  CONFIDENTIAL</w:t>
    </w:r>
    <w:r>
      <w:rPr>
        <w:rFonts w:ascii="Arial" w:cs="Arial" w:eastAsia="Arial" w:hAnsi="Arial"/>
        <w:color w:val="8899AA"/>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2026-02-22T12:10:06.372Z</dcterms:created>
  <dcterms:modified xsi:type="dcterms:W3CDTF">2026-02-22T12:10:06.373Z</dcterms:modified>
</cp:coreProperties>
</file>

<file path=docProps/custom.xml><?xml version="1.0" encoding="utf-8"?>
<Properties xmlns="http://schemas.openxmlformats.org/officeDocument/2006/custom-properties" xmlns:vt="http://schemas.openxmlformats.org/officeDocument/2006/docPropsVTypes"/>
</file>