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DB1C1" w14:textId="77777777" w:rsidR="00CE6CFE" w:rsidRDefault="00000000">
      <w:pPr>
        <w:spacing w:line="360" w:lineRule="auto"/>
        <w:jc w:val="both"/>
      </w:pPr>
      <w:r>
        <w:rPr>
          <w:b/>
          <w:bCs/>
        </w:rPr>
        <w:t>AO JUÍZO DO 3º JUIZADO ESPECIAL CÍVEL DA COMARCA DE ANÁPOLIS – ESTADO DE GOIÁS</w:t>
      </w:r>
    </w:p>
    <w:p w14:paraId="71C8F175" w14:textId="77777777" w:rsidR="00CE6CFE" w:rsidRDefault="00CE6CFE">
      <w:pPr>
        <w:spacing w:line="360" w:lineRule="auto"/>
      </w:pPr>
    </w:p>
    <w:p w14:paraId="44E4061F" w14:textId="77777777" w:rsidR="00CE6CFE" w:rsidRDefault="00CE6CFE">
      <w:pPr>
        <w:spacing w:line="360" w:lineRule="auto"/>
      </w:pPr>
    </w:p>
    <w:p w14:paraId="7ACBAD66" w14:textId="77777777" w:rsidR="00CE6CFE" w:rsidRDefault="00000000">
      <w:pPr>
        <w:spacing w:line="360" w:lineRule="auto"/>
        <w:jc w:val="both"/>
      </w:pPr>
      <w:r>
        <w:rPr>
          <w:b/>
          <w:bCs/>
        </w:rPr>
        <w:t>Processo nº 5915324-96.2025.8.09.0007</w:t>
      </w:r>
    </w:p>
    <w:p w14:paraId="72C80F99" w14:textId="77777777" w:rsidR="00CE6CFE" w:rsidRDefault="00CE6CFE">
      <w:pPr>
        <w:spacing w:line="360" w:lineRule="auto"/>
      </w:pPr>
    </w:p>
    <w:p w14:paraId="000B5001" w14:textId="77777777" w:rsidR="00CE6CFE" w:rsidRDefault="00CE6CFE">
      <w:pPr>
        <w:spacing w:line="360" w:lineRule="auto"/>
      </w:pPr>
    </w:p>
    <w:p w14:paraId="4D08EDBC" w14:textId="77777777" w:rsidR="00CE6CFE" w:rsidRDefault="00000000">
      <w:pPr>
        <w:spacing w:line="360" w:lineRule="auto"/>
        <w:ind w:firstLine="1701"/>
        <w:jc w:val="both"/>
      </w:pPr>
      <w:r w:rsidRPr="00B21921">
        <w:rPr>
          <w:b/>
          <w:bCs/>
        </w:rPr>
        <w:t>AURIS LTDA</w:t>
      </w:r>
      <w:r>
        <w:t xml:space="preserve">, já qualificada nos autos do cumprimento de sentença que promove em face de </w:t>
      </w:r>
      <w:r w:rsidRPr="00B21921">
        <w:rPr>
          <w:b/>
          <w:bCs/>
        </w:rPr>
        <w:t>GRACIELLE APARECIDA DA SILVA MOURA LEMOS</w:t>
      </w:r>
      <w:r>
        <w:t>, por intermédio de seu advogado infra-assinado, vem, respeitosamente, à presença deste Douto Juízo, em atenção à r. decisão de mov. 58 e no prazo assinalado, manifestar interesse no prosseguimento do feito, indicando meio útil à satisfação do crédito, pelas razões a seguir.</w:t>
      </w:r>
    </w:p>
    <w:p w14:paraId="6A95280D" w14:textId="77777777" w:rsidR="00CE6CFE" w:rsidRDefault="00CE6CFE">
      <w:pPr>
        <w:spacing w:line="360" w:lineRule="auto"/>
      </w:pPr>
    </w:p>
    <w:p w14:paraId="772E71A1" w14:textId="77777777" w:rsidR="00CE6CFE" w:rsidRDefault="00000000">
      <w:pPr>
        <w:spacing w:line="360" w:lineRule="auto"/>
        <w:ind w:firstLine="1701"/>
        <w:jc w:val="both"/>
      </w:pPr>
      <w:r>
        <w:t>O crédito em execução foi reconhecido em acordo judicial homologado (mov. 24), cuja força de título executivo judicial não se esvazia pela ausência momentânea de bens. As diligências já realizadas demonstram que a executada mantém contas ativas e movimentadas junto a diversas instituições financeiras, tanto que houve bloqueios parciais em mais de uma oportunidade (mov. 27 e mov. 38). A existência de saldos, ainda que parciais, evidencia circulação de recursos e recomenda nova tentativa de constrição. Requer-se, assim, a reiteração da ordem de bloqueio via SISBAJUD, com repetição automática (teimosinha) pelo prazo de 30 (trinta) dias, nos termos do art. 854 do CPC, medida útil e proporcional diante do histórico de bloqueios positivos.</w:t>
      </w:r>
    </w:p>
    <w:p w14:paraId="4BCA37CE" w14:textId="77777777" w:rsidR="00CE6CFE" w:rsidRDefault="00CE6CFE">
      <w:pPr>
        <w:spacing w:line="360" w:lineRule="auto"/>
      </w:pPr>
    </w:p>
    <w:p w14:paraId="27CBBFAA" w14:textId="44D31CBB" w:rsidR="00CE6CFE" w:rsidRDefault="00000000">
      <w:pPr>
        <w:spacing w:line="360" w:lineRule="auto"/>
        <w:ind w:firstLine="1701"/>
        <w:jc w:val="both"/>
      </w:pPr>
      <w:r>
        <w:t xml:space="preserve">Caso este Juízo não acolha a reiteração acima ou entenda esgotadas as vias de constrição, requer, subsidiariamente, a extinção sem resolução de mérito com expressa ressalva do direito da exequente, consignando-se que o crédito remanescente </w:t>
      </w:r>
      <w:r>
        <w:lastRenderedPageBreak/>
        <w:t>permanece íntegro e exigível, podendo a exequente requerer o desarquivamento e o reingresso a qualquer tempo, com fundamento no acordo judicial homologado (mov. 24)</w:t>
      </w:r>
      <w:r w:rsidR="00B21921">
        <w:t>.</w:t>
      </w:r>
      <w:r>
        <w:t xml:space="preserve"> Em qualquer hipótese, requer conste o abatimento do valor de R$ 1.758,53 já levantado via alvará (mov. 56), permanecendo o saldo devedor remanescente sujeito à atualização.</w:t>
      </w:r>
    </w:p>
    <w:p w14:paraId="4E84B0D4" w14:textId="77777777" w:rsidR="00CE6CFE" w:rsidRDefault="00CE6CFE">
      <w:pPr>
        <w:spacing w:line="360" w:lineRule="auto"/>
      </w:pPr>
    </w:p>
    <w:p w14:paraId="53808736" w14:textId="77777777" w:rsidR="00CE6CFE" w:rsidRDefault="00000000">
      <w:pPr>
        <w:spacing w:line="360" w:lineRule="auto"/>
        <w:ind w:firstLine="1701"/>
        <w:jc w:val="both"/>
      </w:pPr>
      <w:r>
        <w:t>Nestes termos, pede e espera deferimento.</w:t>
      </w:r>
    </w:p>
    <w:p w14:paraId="04D0066D" w14:textId="77777777" w:rsidR="00CE6CFE" w:rsidRDefault="00CE6CFE">
      <w:pPr>
        <w:spacing w:line="360" w:lineRule="auto"/>
      </w:pPr>
    </w:p>
    <w:p w14:paraId="3B9334FA" w14:textId="77777777" w:rsidR="00CE6CFE" w:rsidRDefault="00000000">
      <w:pPr>
        <w:spacing w:line="360" w:lineRule="auto"/>
        <w:jc w:val="right"/>
      </w:pPr>
      <w:r>
        <w:t>Goiânia/GO, 17 de julho de 2026.</w:t>
      </w:r>
    </w:p>
    <w:p w14:paraId="19642933" w14:textId="77777777" w:rsidR="00CE6CFE" w:rsidRDefault="00CE6CFE">
      <w:pPr>
        <w:spacing w:line="360" w:lineRule="auto"/>
      </w:pPr>
    </w:p>
    <w:p w14:paraId="328D3CDB" w14:textId="77777777" w:rsidR="00CE6CFE" w:rsidRDefault="00CE6CFE">
      <w:pPr>
        <w:spacing w:line="360" w:lineRule="auto"/>
      </w:pPr>
    </w:p>
    <w:p w14:paraId="6F64614B" w14:textId="77777777" w:rsidR="00CE6CFE" w:rsidRDefault="00000000">
      <w:pPr>
        <w:spacing w:line="276" w:lineRule="auto"/>
        <w:jc w:val="center"/>
      </w:pPr>
      <w:r>
        <w:rPr>
          <w:b/>
          <w:bCs/>
          <w:color w:val="1C2127"/>
        </w:rPr>
        <w:t>GUSTAVO G. SANTOS DE OLIVEIRA</w:t>
      </w:r>
    </w:p>
    <w:p w14:paraId="78F55BE0" w14:textId="77777777" w:rsidR="00CE6CFE" w:rsidRDefault="00000000">
      <w:pPr>
        <w:spacing w:line="276" w:lineRule="auto"/>
        <w:jc w:val="center"/>
      </w:pPr>
      <w:r>
        <w:rPr>
          <w:color w:val="1C2127"/>
        </w:rPr>
        <w:t>OAB/GO 66.404</w:t>
      </w:r>
    </w:p>
    <w:p w14:paraId="77D29449" w14:textId="77777777" w:rsidR="00CE6CFE" w:rsidRDefault="00000000">
      <w:pPr>
        <w:spacing w:line="276" w:lineRule="auto"/>
        <w:jc w:val="center"/>
      </w:pPr>
      <w:r>
        <w:rPr>
          <w:i/>
          <w:iCs/>
          <w:color w:val="5A6068"/>
        </w:rPr>
        <w:t>(Assinado digitalmente)</w:t>
      </w:r>
    </w:p>
    <w:sectPr w:rsidR="00CE6CFE">
      <w:headerReference w:type="default" r:id="rId7"/>
      <w:footerReference w:type="default" r:id="rId8"/>
      <w:pgSz w:w="11906" w:h="16838"/>
      <w:pgMar w:top="2495" w:right="1701" w:bottom="1985"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296C2" w14:textId="77777777" w:rsidR="00881815" w:rsidRDefault="00881815">
      <w:r>
        <w:separator/>
      </w:r>
    </w:p>
  </w:endnote>
  <w:endnote w:type="continuationSeparator" w:id="0">
    <w:p w14:paraId="3607FFD6" w14:textId="77777777" w:rsidR="00881815" w:rsidRDefault="00881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972D" w14:textId="77777777" w:rsidR="00CE6CFE" w:rsidRDefault="00CE6CFE">
    <w:pPr>
      <w:pBdr>
        <w:top w:val="single" w:sz="4" w:space="1" w:color="A57B45"/>
      </w:pBdr>
      <w:spacing w:after="100"/>
    </w:pPr>
  </w:p>
  <w:p w14:paraId="5432797B" w14:textId="77777777" w:rsidR="00CE6CFE" w:rsidRDefault="00000000">
    <w:pPr>
      <w:spacing w:after="40"/>
      <w:jc w:val="center"/>
    </w:pPr>
    <w:r>
      <w:rPr>
        <w:rFonts w:ascii="Segoe UI" w:eastAsia="Segoe UI" w:hAnsi="Segoe UI" w:cs="Segoe UI"/>
        <w:color w:val="5A6068"/>
        <w:spacing w:val="24"/>
        <w:sz w:val="13"/>
        <w:szCs w:val="13"/>
      </w:rPr>
      <w:t>ED. QS TOWER OFFICE</w:t>
    </w:r>
    <w:r>
      <w:rPr>
        <w:rFonts w:ascii="Segoe UI" w:eastAsia="Segoe UI" w:hAnsi="Segoe UI" w:cs="Segoe UI"/>
        <w:color w:val="A57B45"/>
        <w:spacing w:val="24"/>
        <w:sz w:val="13"/>
        <w:szCs w:val="13"/>
      </w:rPr>
      <w:t xml:space="preserve">   ·   </w:t>
    </w:r>
    <w:r>
      <w:rPr>
        <w:rFonts w:ascii="Segoe UI" w:eastAsia="Segoe UI" w:hAnsi="Segoe UI" w:cs="Segoe UI"/>
        <w:color w:val="5A6068"/>
        <w:spacing w:val="24"/>
        <w:sz w:val="13"/>
        <w:szCs w:val="13"/>
      </w:rPr>
      <w:t>R. 72, Nº 223, SALAS 1901/1902</w:t>
    </w:r>
    <w:r>
      <w:rPr>
        <w:rFonts w:ascii="Segoe UI" w:eastAsia="Segoe UI" w:hAnsi="Segoe UI" w:cs="Segoe UI"/>
        <w:color w:val="A57B45"/>
        <w:spacing w:val="24"/>
        <w:sz w:val="13"/>
        <w:szCs w:val="13"/>
      </w:rPr>
      <w:t xml:space="preserve">   ·   </w:t>
    </w:r>
    <w:r>
      <w:rPr>
        <w:rFonts w:ascii="Segoe UI" w:eastAsia="Segoe UI" w:hAnsi="Segoe UI" w:cs="Segoe UI"/>
        <w:color w:val="5A6068"/>
        <w:spacing w:val="24"/>
        <w:sz w:val="13"/>
        <w:szCs w:val="13"/>
      </w:rPr>
      <w:t>JARDIM GOIÁS</w:t>
    </w:r>
    <w:r>
      <w:rPr>
        <w:rFonts w:ascii="Segoe UI" w:eastAsia="Segoe UI" w:hAnsi="Segoe UI" w:cs="Segoe UI"/>
        <w:color w:val="A57B45"/>
        <w:spacing w:val="24"/>
        <w:sz w:val="13"/>
        <w:szCs w:val="13"/>
      </w:rPr>
      <w:t xml:space="preserve">   ·   </w:t>
    </w:r>
    <w:r>
      <w:rPr>
        <w:rFonts w:ascii="Segoe UI" w:eastAsia="Segoe UI" w:hAnsi="Segoe UI" w:cs="Segoe UI"/>
        <w:color w:val="5A6068"/>
        <w:spacing w:val="24"/>
        <w:sz w:val="13"/>
        <w:szCs w:val="13"/>
      </w:rPr>
      <w:t>GOIÂNIA/GO</w:t>
    </w:r>
  </w:p>
  <w:p w14:paraId="2F6B3F3F" w14:textId="77777777" w:rsidR="00CE6CFE" w:rsidRDefault="00000000">
    <w:pPr>
      <w:jc w:val="center"/>
    </w:pPr>
    <w:r>
      <w:rPr>
        <w:rFonts w:ascii="Segoe UI" w:eastAsia="Segoe UI" w:hAnsi="Segoe UI" w:cs="Segoe UI"/>
        <w:color w:val="5A6068"/>
        <w:spacing w:val="24"/>
        <w:sz w:val="13"/>
        <w:szCs w:val="13"/>
      </w:rPr>
      <w:t>CEP 74.805-480</w:t>
    </w:r>
    <w:r>
      <w:rPr>
        <w:rFonts w:ascii="Segoe UI" w:eastAsia="Segoe UI" w:hAnsi="Segoe UI" w:cs="Segoe UI"/>
        <w:color w:val="A57B45"/>
        <w:spacing w:val="24"/>
        <w:sz w:val="13"/>
        <w:szCs w:val="13"/>
      </w:rPr>
      <w:t xml:space="preserve">   ·</w:t>
    </w:r>
    <w:proofErr w:type="gramStart"/>
    <w:r>
      <w:rPr>
        <w:rFonts w:ascii="Segoe UI" w:eastAsia="Segoe UI" w:hAnsi="Segoe UI" w:cs="Segoe UI"/>
        <w:color w:val="A57B45"/>
        <w:spacing w:val="24"/>
        <w:sz w:val="13"/>
        <w:szCs w:val="13"/>
      </w:rPr>
      <w:t xml:space="preserve">   </w:t>
    </w:r>
    <w:r>
      <w:rPr>
        <w:rFonts w:ascii="Segoe UI" w:eastAsia="Segoe UI" w:hAnsi="Segoe UI" w:cs="Segoe UI"/>
        <w:color w:val="5A6068"/>
        <w:spacing w:val="24"/>
        <w:sz w:val="13"/>
        <w:szCs w:val="13"/>
      </w:rPr>
      <w:t>(</w:t>
    </w:r>
    <w:proofErr w:type="gramEnd"/>
    <w:r>
      <w:rPr>
        <w:rFonts w:ascii="Segoe UI" w:eastAsia="Segoe UI" w:hAnsi="Segoe UI" w:cs="Segoe UI"/>
        <w:color w:val="5A6068"/>
        <w:spacing w:val="24"/>
        <w:sz w:val="13"/>
        <w:szCs w:val="13"/>
      </w:rPr>
      <w:t>62) 99366-4193</w:t>
    </w:r>
    <w:r>
      <w:rPr>
        <w:rFonts w:ascii="Segoe UI" w:eastAsia="Segoe UI" w:hAnsi="Segoe UI" w:cs="Segoe UI"/>
        <w:color w:val="A57B45"/>
        <w:spacing w:val="24"/>
        <w:sz w:val="13"/>
        <w:szCs w:val="13"/>
      </w:rPr>
      <w:t xml:space="preserve">   ·   </w:t>
    </w:r>
    <w:r>
      <w:rPr>
        <w:rFonts w:ascii="Segoe UI" w:eastAsia="Segoe UI" w:hAnsi="Segoe UI" w:cs="Segoe UI"/>
        <w:color w:val="5A6068"/>
        <w:spacing w:val="24"/>
        <w:sz w:val="13"/>
        <w:szCs w:val="13"/>
      </w:rPr>
      <w:t>gustavodeoliveira@goadvogados.com.br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3B242" w14:textId="77777777" w:rsidR="00881815" w:rsidRDefault="00881815">
      <w:r>
        <w:separator/>
      </w:r>
    </w:p>
  </w:footnote>
  <w:footnote w:type="continuationSeparator" w:id="0">
    <w:p w14:paraId="690A99EB" w14:textId="77777777" w:rsidR="00881815" w:rsidRDefault="00881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0D144" w14:textId="77777777" w:rsidR="00CE6CFE" w:rsidRDefault="00000000" w:rsidP="00B21921">
    <w:r>
      <w:rPr>
        <w:noProof/>
      </w:rPr>
      <w:drawing>
        <wp:inline distT="0" distB="0" distL="0" distR="0" wp14:anchorId="54A353E1" wp14:editId="18D5CC96">
          <wp:extent cx="1228725" cy="847725"/>
          <wp:effectExtent l="0" t="0" r="0" b="0"/>
          <wp:docPr id="1" name="logo-go" descr="Logomarca Gustavo de Oliveira Advogados" title="GO Advo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28725" cy="847725"/>
                  </a:xfrm>
                  <a:prstGeom prst="rect">
                    <a:avLst/>
                  </a:prstGeom>
                </pic:spPr>
              </pic:pic>
            </a:graphicData>
          </a:graphic>
        </wp:inline>
      </w:drawing>
    </w:r>
  </w:p>
  <w:p w14:paraId="4AF8EBC7" w14:textId="77777777" w:rsidR="00CE6CFE" w:rsidRDefault="00CE6CFE">
    <w:pPr>
      <w:pBdr>
        <w:bottom w:val="single" w:sz="4" w:space="1" w:color="A57B4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26D0C"/>
    <w:multiLevelType w:val="hybridMultilevel"/>
    <w:tmpl w:val="840EA82C"/>
    <w:lvl w:ilvl="0" w:tplc="0B96E4D2">
      <w:start w:val="1"/>
      <w:numFmt w:val="bullet"/>
      <w:lvlText w:val="●"/>
      <w:lvlJc w:val="left"/>
      <w:pPr>
        <w:ind w:left="720" w:hanging="360"/>
      </w:pPr>
    </w:lvl>
    <w:lvl w:ilvl="1" w:tplc="C9508994">
      <w:start w:val="1"/>
      <w:numFmt w:val="bullet"/>
      <w:lvlText w:val="○"/>
      <w:lvlJc w:val="left"/>
      <w:pPr>
        <w:ind w:left="1440" w:hanging="360"/>
      </w:pPr>
    </w:lvl>
    <w:lvl w:ilvl="2" w:tplc="7B04D820">
      <w:start w:val="1"/>
      <w:numFmt w:val="bullet"/>
      <w:lvlText w:val="■"/>
      <w:lvlJc w:val="left"/>
      <w:pPr>
        <w:ind w:left="2160" w:hanging="360"/>
      </w:pPr>
    </w:lvl>
    <w:lvl w:ilvl="3" w:tplc="E3C0E16E">
      <w:start w:val="1"/>
      <w:numFmt w:val="bullet"/>
      <w:lvlText w:val="●"/>
      <w:lvlJc w:val="left"/>
      <w:pPr>
        <w:ind w:left="2880" w:hanging="360"/>
      </w:pPr>
    </w:lvl>
    <w:lvl w:ilvl="4" w:tplc="BD24C060">
      <w:start w:val="1"/>
      <w:numFmt w:val="bullet"/>
      <w:lvlText w:val="○"/>
      <w:lvlJc w:val="left"/>
      <w:pPr>
        <w:ind w:left="3600" w:hanging="360"/>
      </w:pPr>
    </w:lvl>
    <w:lvl w:ilvl="5" w:tplc="B6BA755C">
      <w:start w:val="1"/>
      <w:numFmt w:val="bullet"/>
      <w:lvlText w:val="■"/>
      <w:lvlJc w:val="left"/>
      <w:pPr>
        <w:ind w:left="4320" w:hanging="360"/>
      </w:pPr>
    </w:lvl>
    <w:lvl w:ilvl="6" w:tplc="E58002BE">
      <w:start w:val="1"/>
      <w:numFmt w:val="bullet"/>
      <w:lvlText w:val="●"/>
      <w:lvlJc w:val="left"/>
      <w:pPr>
        <w:ind w:left="5040" w:hanging="360"/>
      </w:pPr>
    </w:lvl>
    <w:lvl w:ilvl="7" w:tplc="92CAFA2E">
      <w:start w:val="1"/>
      <w:numFmt w:val="bullet"/>
      <w:lvlText w:val="●"/>
      <w:lvlJc w:val="left"/>
      <w:pPr>
        <w:ind w:left="5760" w:hanging="360"/>
      </w:pPr>
    </w:lvl>
    <w:lvl w:ilvl="8" w:tplc="736C577C">
      <w:start w:val="1"/>
      <w:numFmt w:val="bullet"/>
      <w:lvlText w:val="●"/>
      <w:lvlJc w:val="left"/>
      <w:pPr>
        <w:ind w:left="6480" w:hanging="360"/>
      </w:pPr>
    </w:lvl>
  </w:abstractNum>
  <w:num w:numId="1" w16cid:durableId="491877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CFE"/>
    <w:rsid w:val="00755F35"/>
    <w:rsid w:val="00881815"/>
    <w:rsid w:val="00B21921"/>
    <w:rsid w:val="00CE6C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2DE2"/>
  <w15:docId w15:val="{59737BF4-7587-426B-884C-494E8BD6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B21921"/>
    <w:pPr>
      <w:tabs>
        <w:tab w:val="center" w:pos="4252"/>
        <w:tab w:val="right" w:pos="8504"/>
      </w:tabs>
    </w:pPr>
  </w:style>
  <w:style w:type="character" w:customStyle="1" w:styleId="CabealhoChar">
    <w:name w:val="Cabeçalho Char"/>
    <w:basedOn w:val="Fontepargpadro"/>
    <w:link w:val="Cabealho"/>
    <w:uiPriority w:val="99"/>
    <w:rsid w:val="00B21921"/>
  </w:style>
  <w:style w:type="paragraph" w:styleId="Rodap">
    <w:name w:val="footer"/>
    <w:basedOn w:val="Normal"/>
    <w:link w:val="RodapChar"/>
    <w:uiPriority w:val="99"/>
    <w:unhideWhenUsed/>
    <w:rsid w:val="00B21921"/>
    <w:pPr>
      <w:tabs>
        <w:tab w:val="center" w:pos="4252"/>
        <w:tab w:val="right" w:pos="8504"/>
      </w:tabs>
    </w:pPr>
  </w:style>
  <w:style w:type="character" w:customStyle="1" w:styleId="RodapChar">
    <w:name w:val="Rodapé Char"/>
    <w:basedOn w:val="Fontepargpadro"/>
    <w:link w:val="Rodap"/>
    <w:uiPriority w:val="99"/>
    <w:rsid w:val="00B21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311</Words>
  <Characters>1685</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Oliveira</cp:lastModifiedBy>
  <cp:revision>2</cp:revision>
  <cp:lastPrinted>2026-07-17T14:18:00Z</cp:lastPrinted>
  <dcterms:created xsi:type="dcterms:W3CDTF">2026-07-17T00:21:00Z</dcterms:created>
  <dcterms:modified xsi:type="dcterms:W3CDTF">2026-07-17T14:25:00Z</dcterms:modified>
</cp:coreProperties>
</file>