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both"/>
      </w:pPr>
      <w:r>
        <w:rPr>
          <w:rFonts w:ascii="Arial" w:hAnsi="Arial"/>
          <w:color w:val="000000"/>
          <w:sz w:val="24"/>
        </w:rPr>
        <w:t xml:space="preserve">Memorial</w:t>
      </w:r>
      <w:r>
        <w:rPr>
          <w:rFonts w:ascii="Arial" w:hAnsi="Arial"/>
          <w:color w:val="000000"/>
          <w:sz w:val="24"/>
        </w:rPr>
        <w:t xml:space="preserve"> </w:t>
      </w:r>
      <w:r>
        <w:rPr>
          <w:rFonts w:ascii="Arial" w:hAnsi="Arial"/>
          <w:color w:val="000000"/>
          <w:sz w:val="24"/>
        </w:rPr>
        <w:t xml:space="preserve">RSC-PCCTAE</w:t>
      </w:r>
      <w:r>
        <w:rPr>
          <w:rFonts w:ascii="Arial" w:hAnsi="Arial"/>
          <w:color w:val="000000"/>
          <w:sz w:val="24"/>
        </w:rPr>
        <w:t xml:space="preserve"> </w:t>
      </w:r>
      <w:r>
        <w:rPr>
          <w:rFonts w:ascii="Arial" w:hAnsi="Arial"/>
          <w:color w:val="000000"/>
          <w:sz w:val="24"/>
        </w:rPr>
        <w:t xml:space="preserve">—</w:t>
      </w:r>
      <w:r>
        <w:rPr>
          <w:rFonts w:ascii="Arial" w:hAnsi="Arial"/>
          <w:color w:val="000000"/>
          <w:sz w:val="24"/>
        </w:rPr>
        <w:t xml:space="preserve"> </w:t>
      </w:r>
      <w:r>
        <w:rPr>
          <w:rFonts w:ascii="Arial" w:hAnsi="Arial"/>
          <w:color w:val="000000"/>
          <w:sz w:val="24"/>
        </w:rPr>
        <w:t xml:space="preserve">Ricardo</w:t>
      </w:r>
      <w:r>
        <w:rPr>
          <w:rFonts w:ascii="Arial" w:hAnsi="Arial"/>
          <w:color w:val="000000"/>
          <w:sz w:val="24"/>
        </w:rPr>
        <w:t xml:space="preserve"> </w:t>
      </w:r>
      <w:r>
        <w:rPr>
          <w:rFonts w:ascii="Arial" w:hAnsi="Arial"/>
          <w:color w:val="000000"/>
          <w:sz w:val="24"/>
        </w:rPr>
        <w:t xml:space="preserve">Gandini</w:t>
      </w:r>
      <w:r>
        <w:rPr>
          <w:rFonts w:ascii="Arial" w:hAnsi="Arial"/>
          <w:color w:val="000000"/>
          <w:sz w:val="24"/>
        </w:rPr>
        <w:t xml:space="preserve"> </w:t>
      </w:r>
      <w:r>
        <w:rPr>
          <w:rFonts w:ascii="Arial" w:hAnsi="Arial"/>
          <w:color w:val="000000"/>
          <w:sz w:val="24"/>
        </w:rPr>
        <w:t xml:space="preserve">Lugão</w:t>
      </w:r>
    </w:p>
    <w:p>
      <w:pPr>
        <w:pStyle w:val="Author"/>
        <w:spacing w:line="360" w:lineRule="auto"/>
        <w:jc w:val="both"/>
      </w:pPr>
      <w:r>
        <w:rPr>
          <w:rFonts w:ascii="Arial" w:hAnsi="Arial"/>
          <w:color w:val="000000"/>
          <w:sz w:val="24"/>
        </w:rPr>
        <w:t xml:space="preserve">Ricardo</w:t>
      </w:r>
      <w:r>
        <w:rPr>
          <w:rFonts w:ascii="Arial" w:hAnsi="Arial"/>
          <w:color w:val="000000"/>
          <w:sz w:val="24"/>
        </w:rPr>
        <w:t xml:space="preserve"> </w:t>
      </w:r>
      <w:r>
        <w:rPr>
          <w:rFonts w:ascii="Arial" w:hAnsi="Arial"/>
          <w:color w:val="000000"/>
          <w:sz w:val="24"/>
        </w:rPr>
        <w:t xml:space="preserve">Gandini</w:t>
      </w:r>
      <w:r>
        <w:rPr>
          <w:rFonts w:ascii="Arial" w:hAnsi="Arial"/>
          <w:color w:val="000000"/>
          <w:sz w:val="24"/>
        </w:rPr>
        <w:t xml:space="preserve"> </w:t>
      </w:r>
      <w:r>
        <w:rPr>
          <w:rFonts w:ascii="Arial" w:hAnsi="Arial"/>
          <w:color w:val="000000"/>
          <w:sz w:val="24"/>
        </w:rPr>
        <w:t xml:space="preserve">Lugão</w:t>
      </w:r>
    </w:p>
    <w:p>
      <w:pPr>
        <w:pStyle w:val="Date"/>
        <w:spacing w:line="360" w:lineRule="auto"/>
        <w:jc w:val="both"/>
      </w:pPr>
      <w:r>
        <w:rPr>
          <w:rFonts w:ascii="Arial" w:hAnsi="Arial"/>
          <w:color w:val="000000"/>
          <w:sz w:val="24"/>
        </w:rPr>
        <w:t xml:space="preserve">2026</w:t>
      </w:r>
    </w:p>
    <w:p>
      <w:pPr>
        <w:pStyle w:val="FirstParagraph"/>
      </w:pPr>
    </w:p>
    <w:p>
      <w:pPr>
        <w:pStyle w:val="BodyText"/>
        <w:spacing w:line="360" w:lineRule="auto"/>
        <w:jc w:val="both"/>
      </w:pPr>
      <w:r>
        <w:rPr>
          <w:rFonts w:ascii="Arial" w:hAnsi="Arial"/>
          <w:color w:val="000000"/>
          <w:sz w:val="24"/>
        </w:rPr>
        <w:t xml:space="preserve">UNIVERSIDADE FEDERAL DE VIÇOSA</w:t>
      </w:r>
    </w:p>
    <w:p>
      <w:pPr>
        <w:pStyle w:val="BodyText"/>
        <w:spacing w:line="360" w:lineRule="auto"/>
        <w:jc w:val="both"/>
      </w:pPr>
      <w:r>
        <w:rPr>
          <w:rFonts w:ascii="Arial" w:hAnsi="Arial"/>
          <w:color w:val="000000"/>
          <w:sz w:val="24"/>
        </w:rPr>
        <w:t xml:space="preserve">Ricardo Gandini Lugão</w:t>
      </w:r>
    </w:p>
    <w:p>
      <w:pPr>
        <w:pStyle w:val="BodyText"/>
        <w:spacing w:line="360" w:lineRule="auto"/>
        <w:jc w:val="both"/>
      </w:pPr>
      <w:r>
        <w:rPr>
          <w:rFonts w:ascii="Arial" w:hAnsi="Arial"/>
          <w:color w:val="000000"/>
          <w:sz w:val="24"/>
        </w:rPr>
        <w:t xml:space="preserve">MEMORIAL DESCRITIVO PARA RECONHECIMENTO DE SABERES E COMPETÊNCIAS — RSC-PCCTAE NÍVEL VI</w:t>
      </w:r>
    </w:p>
    <w:p>
      <w:pPr>
        <w:pStyle w:val="BodyText"/>
      </w:pPr>
    </w:p>
    <w:p>
      <w:pPr>
        <w:pStyle w:val="BodyText"/>
        <w:spacing w:line="360" w:lineRule="auto"/>
        <w:jc w:val="both"/>
      </w:pPr>
      <w:r>
        <w:rPr>
          <w:rFonts w:ascii="Arial" w:hAnsi="Arial"/>
          <w:color w:val="000000"/>
          <w:sz w:val="24"/>
        </w:rPr>
        <w:t xml:space="preserve">VIÇOSA – MINAS GERAIS</w:t>
      </w:r>
    </w:p>
    <w:p>
      <w:pPr>
        <w:pStyle w:val="BodyText"/>
        <w:spacing w:line="360" w:lineRule="auto"/>
        <w:jc w:val="both"/>
      </w:pPr>
      <w:r>
        <w:rPr>
          <w:rFonts w:ascii="Arial" w:hAnsi="Arial"/>
          <w:color w:val="000000"/>
          <w:sz w:val="24"/>
        </w:rPr>
        <w:t xml:space="preserve">2026</w:t>
      </w:r>
    </w:p>
    <w:p>
      <w:r>
        <w:pict>
          <v:rect style="width:0;height:1.5pt" o:hralign="center" o:hrstd="t" o:hr="t"/>
        </w:pict>
      </w:r>
    </w:p>
    <w:p>
      <w:pPr>
        <w:pStyle w:val="FirstParagraph"/>
        <w:spacing w:line="360" w:lineRule="auto"/>
        <w:jc w:val="both"/>
      </w:pPr>
      <w:r>
        <w:rPr>
          <w:rFonts w:ascii="Arial" w:hAnsi="Arial"/>
          <w:color w:val="000000"/>
          <w:sz w:val="24"/>
        </w:rPr>
        <w:t xml:space="preserve">Ricardo Gandini Lugão</w:t>
      </w:r>
    </w:p>
    <w:p>
      <w:pPr>
        <w:pStyle w:val="BodyText"/>
        <w:spacing w:line="360" w:lineRule="auto"/>
        <w:jc w:val="both"/>
      </w:pPr>
      <w:r>
        <w:rPr>
          <w:rFonts w:ascii="Arial" w:hAnsi="Arial"/>
          <w:color w:val="000000"/>
          <w:sz w:val="24"/>
        </w:rPr>
        <w:t xml:space="preserve">MEMORIAL DESCRITIVO PARA RECONHECIMENTO DE SABERES E COMPETÊNCIAS — RSC-PCCTAE NÍVEL VI</w:t>
      </w:r>
    </w:p>
    <w:p>
      <w:pPr>
        <w:pStyle w:val="BodyText"/>
        <w:spacing w:line="360" w:lineRule="auto"/>
        <w:jc w:val="both"/>
      </w:pPr>
      <w:r>
        <w:rPr>
          <w:rFonts w:ascii="Arial" w:hAnsi="Arial"/>
          <w:color w:val="000000"/>
          <w:sz w:val="24"/>
        </w:rPr>
        <w:t xml:space="preserve">Memorial descritivo apresentado à Comissão para Reconhecimento de Saberes e Competências do Plano de Carreira dos Cargos Técnico-Administrativos em Educação (CRSC-PCCTAE) da Universidade Federal de Viçosa como requisito para concessão do RSC-PCCTAE Nível VI, nos termos da Lei nº 11.091/2005 (alterada pela Lei nº 15.367/2026), do Decreto nº 13.048/2026 e da legislação correlata.</w:t>
      </w:r>
    </w:p>
    <w:p>
      <w:pPr>
        <w:pStyle w:val="BodyText"/>
      </w:pPr>
    </w:p>
    <w:p>
      <w:pPr>
        <w:pStyle w:val="BodyText"/>
        <w:spacing w:line="360" w:lineRule="auto"/>
        <w:jc w:val="both"/>
      </w:pPr>
      <w:r>
        <w:rPr>
          <w:rFonts w:ascii="Arial" w:hAnsi="Arial"/>
          <w:color w:val="000000"/>
          <w:sz w:val="24"/>
        </w:rPr>
        <w:t xml:space="preserve">VIÇOSA – MINAS GERAIS</w:t>
      </w:r>
    </w:p>
    <w:p>
      <w:pPr>
        <w:pStyle w:val="BodyText"/>
        <w:spacing w:line="360" w:lineRule="auto"/>
        <w:jc w:val="both"/>
      </w:pPr>
      <w:r>
        <w:rPr>
          <w:rFonts w:ascii="Arial" w:hAnsi="Arial"/>
          <w:color w:val="000000"/>
          <w:sz w:val="24"/>
        </w:rPr>
        <w:t xml:space="preserve">2026</w:t>
      </w:r>
    </w:p>
    <w:p>
      <w:r>
        <w:pict>
          <v:rect style="width:0;height:1.5pt" o:hralign="center" o:hrstd="t" o:hr="t"/>
        </w:pict>
      </w:r>
    </w:p>
    <w:p>
      <w:pPr>
        <w:pStyle w:val="FirstParagraph"/>
        <w:spacing w:line="360" w:lineRule="auto"/>
        <w:jc w:val="both"/>
      </w:pPr>
      <w:r>
        <w:rPr>
          <w:rFonts w:ascii="Arial" w:hAnsi="Arial"/>
          <w:color w:val="000000"/>
          <w:sz w:val="24"/>
        </w:rPr>
        <w:t xml:space="preserve">Aos servidores técnico-administrativos em educação,</w:t>
      </w:r>
      <w:r>
        <w:rPr>
          <w:rFonts w:ascii="Arial" w:hAnsi="Arial"/>
          <w:color w:val="000000"/>
          <w:sz w:val="24"/>
        </w:rPr>
        <w:t xml:space="preserve"> </w:t>
      </w:r>
      <w:r>
        <w:rPr>
          <w:rFonts w:ascii="Arial" w:hAnsi="Arial"/>
          <w:color w:val="000000"/>
          <w:sz w:val="24"/>
        </w:rPr>
        <w:t xml:space="preserve">cujo trabalho silencioso constrói a universidade pública</w:t>
      </w:r>
      <w:r>
        <w:rPr>
          <w:rFonts w:ascii="Arial" w:hAnsi="Arial"/>
          <w:color w:val="000000"/>
          <w:sz w:val="24"/>
        </w:rPr>
        <w:t xml:space="preserve"> </w:t>
      </w:r>
      <w:r>
        <w:rPr>
          <w:rFonts w:ascii="Arial" w:hAnsi="Arial"/>
          <w:color w:val="000000"/>
          <w:sz w:val="24"/>
        </w:rPr>
        <w:t xml:space="preserve">brasileira dia após dia.</w:t>
      </w:r>
    </w:p>
    <w:p>
      <w:r>
        <w:pict>
          <v:rect style="width:0;height:1.5pt" o:hralign="center" o:hrstd="t" o:hr="t"/>
        </w:pict>
      </w:r>
    </w:p>
    <w:p>
      <w:pPr>
        <w:pStyle w:val="Heading1"/>
        <w:spacing w:before="0" w:after="360"/>
        <w:jc w:val="center"/>
      </w:pPr>
      <w:bookmarkStart w:id="20" w:name="agradecimentos"/>
      <w:r>
        <w:rPr>
          <w:rFonts w:ascii="Arial" w:hAnsi="Arial"/>
          <w:b/>
          <w:color w:val="000000"/>
          <w:sz w:val="28"/>
        </w:rPr>
        <w:t xml:space="preserve">AGRADECIMENTOS</w:t>
      </w:r>
      <w:bookmarkEnd w:id="20"/>
    </w:p>
    <w:p>
      <w:pPr>
        <w:pStyle w:val="FirstParagraph"/>
        <w:spacing w:line="360" w:lineRule="auto"/>
        <w:jc w:val="both"/>
      </w:pPr>
      <w:r>
        <w:rPr>
          <w:rFonts w:ascii="Arial" w:hAnsi="Arial"/>
          <w:color w:val="000000"/>
          <w:sz w:val="24"/>
        </w:rPr>
        <w:t xml:space="preserve">Expresso minha gratidão à Universidade Federal de Viçosa, instituição que há mais de três décadas é o espaço do meu crescimento profissional e pessoal. Aos colegas da Pró-Reitoria de Gestão de Pessoas, pelo aprendizado cotidiano e pelo trabalho colaborativo que tornou possível cada conquista aqui registrada.</w:t>
      </w:r>
    </w:p>
    <w:p>
      <w:pPr>
        <w:pStyle w:val="BodyText"/>
        <w:spacing w:line="360" w:lineRule="auto"/>
        <w:jc w:val="both"/>
      </w:pPr>
      <w:r>
        <w:rPr>
          <w:rFonts w:ascii="Arial" w:hAnsi="Arial"/>
          <w:color w:val="000000"/>
          <w:sz w:val="24"/>
        </w:rPr>
        <w:t xml:space="preserve">Agradeço à Comissão para Reconhecimento de Saberes e Competências do PCCTAE, pelo cuidadoso trabalho de avaliação das trajetórias dos servidores técnico-administrativos.</w:t>
      </w:r>
    </w:p>
    <w:p>
      <w:pPr>
        <w:pStyle w:val="BodyText"/>
        <w:spacing w:line="360" w:lineRule="auto"/>
        <w:jc w:val="both"/>
      </w:pPr>
      <w:r>
        <w:rPr>
          <w:rFonts w:ascii="Arial" w:hAnsi="Arial"/>
          <w:color w:val="000000"/>
          <w:sz w:val="24"/>
        </w:rPr>
        <w:t xml:space="preserve">O presente trabalho foi realizado com apoio da Coordenação de Aperfeiçoamento de Pessoal de Nível Superior – Brasil (CAPES) – Código de Financiamento 001.</w:t>
      </w:r>
    </w:p>
    <w:p>
      <w:pPr>
        <w:pStyle w:val="BodyText"/>
        <w:spacing w:line="360" w:lineRule="auto"/>
        <w:jc w:val="both"/>
      </w:pPr>
      <w:r>
        <w:rPr>
          <w:rFonts w:ascii="Arial" w:hAnsi="Arial"/>
          <w:color w:val="000000"/>
          <w:sz w:val="24"/>
        </w:rPr>
        <w:t xml:space="preserve">Aos servidores que compartilharam comigo a missão de construir uma universidade pública, gratuita e de qualidade, minha sincera admiração e reconhecimento.</w:t>
      </w:r>
    </w:p>
    <w:p>
      <w:r>
        <w:pict>
          <v:rect style="width:0;height:1.5pt" o:hralign="center" o:hrstd="t" o:hr="t"/>
        </w:pict>
      </w:r>
    </w:p>
    <w:p>
      <w:pPr>
        <w:pStyle w:val="FirstParagraph"/>
        <w:spacing w:line="360" w:lineRule="auto"/>
        <w:jc w:val="both"/>
      </w:pPr>
      <w:r>
        <w:rPr>
          <w:rFonts w:ascii="Arial" w:hAnsi="Arial"/>
          <w:color w:val="000000"/>
          <w:sz w:val="24"/>
        </w:rPr>
        <w:t xml:space="preserve">“</w:t>
      </w:r>
      <w:r>
        <w:rPr>
          <w:rFonts w:ascii="Arial" w:hAnsi="Arial"/>
          <w:color w:val="000000"/>
          <w:sz w:val="24"/>
        </w:rPr>
        <w:t xml:space="preserve">A educação não transforma o mundo. Educação muda as pessoas.</w:t>
      </w:r>
      <w:r>
        <w:rPr>
          <w:rFonts w:ascii="Arial" w:hAnsi="Arial"/>
          <w:color w:val="000000"/>
          <w:sz w:val="24"/>
        </w:rPr>
        <w:t xml:space="preserve"> </w:t>
      </w:r>
      <w:r>
        <w:rPr>
          <w:rFonts w:ascii="Arial" w:hAnsi="Arial"/>
          <w:color w:val="000000"/>
          <w:sz w:val="24"/>
        </w:rPr>
        <w:t xml:space="preserve">Pessoas transformam o mundo.</w:t>
      </w:r>
      <w:r>
        <w:rPr>
          <w:rFonts w:ascii="Arial" w:hAnsi="Arial"/>
          <w:color w:val="000000"/>
          <w:sz w:val="24"/>
        </w:rPr>
        <w:t xml:space="preserve">”</w:t>
      </w:r>
      <w:r>
        <w:rPr>
          <w:rFonts w:ascii="Arial" w:hAnsi="Arial"/>
          <w:color w:val="000000"/>
          <w:sz w:val="24"/>
        </w:rPr>
        <w:t xml:space="preserve"> </w:t>
      </w:r>
      <w:r>
        <w:rPr>
          <w:rFonts w:ascii="Arial" w:hAnsi="Arial"/>
          <w:color w:val="000000"/>
          <w:sz w:val="24"/>
        </w:rPr>
        <w:t xml:space="preserve">— Paulo Freire</w:t>
      </w:r>
    </w:p>
    <w:p>
      <w:r>
        <w:pict>
          <v:rect style="width:0;height:1.5pt" o:hralign="center" o:hrstd="t" o:hr="t"/>
        </w:pict>
      </w:r>
    </w:p>
    <w:p>
      <w:pPr>
        <w:pStyle w:val="Heading1"/>
        <w:spacing w:before="0" w:after="360"/>
        <w:jc w:val="center"/>
      </w:pPr>
      <w:bookmarkStart w:id="21" w:name="lista-de-siglas"/>
      <w:r>
        <w:rPr>
          <w:rFonts w:ascii="Arial" w:hAnsi="Arial"/>
          <w:b/>
          <w:color w:val="000000"/>
          <w:sz w:val="28"/>
        </w:rPr>
        <w:t xml:space="preserve">LISTA DE SIGLAS</w:t>
      </w:r>
      <w:bookmarkEnd w:id="21"/>
    </w:p>
    <w:p>
      <w:pPr>
        <w:pStyle w:val="FirstParagraph"/>
        <w:spacing w:line="360" w:lineRule="auto"/>
        <w:jc w:val="both"/>
      </w:pPr>
      <w:r>
        <w:rPr>
          <w:rFonts w:ascii="Arial" w:hAnsi="Arial"/>
          <w:b/>
          <w:color w:val="000000"/>
          <w:sz w:val="24"/>
        </w:rPr>
        <w:t xml:space="preserve">CAPES</w:t>
      </w:r>
      <w:r>
        <w:rPr>
          <w:rFonts w:ascii="Arial" w:hAnsi="Arial"/>
          <w:color w:val="000000"/>
          <w:sz w:val="24"/>
        </w:rPr>
        <w:t xml:space="preserve"> </w:t>
      </w:r>
      <w:r>
        <w:rPr>
          <w:rFonts w:ascii="Arial" w:hAnsi="Arial"/>
          <w:color w:val="000000"/>
          <w:sz w:val="24"/>
        </w:rPr>
        <w:t xml:space="preserve">— Coordenação de Aperfeiçoamento de Pessoal de Nível Superior</w:t>
      </w:r>
    </w:p>
    <w:p>
      <w:pPr>
        <w:pStyle w:val="BodyText"/>
        <w:spacing w:line="360" w:lineRule="auto"/>
        <w:jc w:val="both"/>
      </w:pPr>
      <w:r>
        <w:rPr>
          <w:rFonts w:ascii="Arial" w:hAnsi="Arial"/>
          <w:b/>
          <w:color w:val="000000"/>
          <w:sz w:val="24"/>
        </w:rPr>
        <w:t xml:space="preserve">CRSC-PCCTAE</w:t>
      </w:r>
      <w:r>
        <w:rPr>
          <w:rFonts w:ascii="Arial" w:hAnsi="Arial"/>
          <w:color w:val="000000"/>
          <w:sz w:val="24"/>
        </w:rPr>
        <w:t xml:space="preserve"> </w:t>
      </w:r>
      <w:r>
        <w:rPr>
          <w:rFonts w:ascii="Arial" w:hAnsi="Arial"/>
          <w:color w:val="000000"/>
          <w:sz w:val="24"/>
        </w:rPr>
        <w:t xml:space="preserve">— Comissão para Reconhecimento de Saberes e Competências do Plano de Carreira dos Cargos Técnico-Administrativos em Educação</w:t>
      </w:r>
    </w:p>
    <w:p>
      <w:pPr>
        <w:pStyle w:val="BodyText"/>
        <w:spacing w:line="360" w:lineRule="auto"/>
        <w:jc w:val="both"/>
      </w:pPr>
      <w:r>
        <w:rPr>
          <w:rFonts w:ascii="Arial" w:hAnsi="Arial"/>
          <w:b/>
          <w:color w:val="000000"/>
          <w:sz w:val="24"/>
        </w:rPr>
        <w:t xml:space="preserve">PCCTAE</w:t>
      </w:r>
      <w:r>
        <w:rPr>
          <w:rFonts w:ascii="Arial" w:hAnsi="Arial"/>
          <w:color w:val="000000"/>
          <w:sz w:val="24"/>
        </w:rPr>
        <w:t xml:space="preserve"> </w:t>
      </w:r>
      <w:r>
        <w:rPr>
          <w:rFonts w:ascii="Arial" w:hAnsi="Arial"/>
          <w:color w:val="000000"/>
          <w:sz w:val="24"/>
        </w:rPr>
        <w:t xml:space="preserve">— Plano de Carreira dos Cargos Técnico-Administrativos em Educação</w:t>
      </w:r>
    </w:p>
    <w:p>
      <w:pPr>
        <w:pStyle w:val="BodyText"/>
        <w:spacing w:line="360" w:lineRule="auto"/>
        <w:jc w:val="both"/>
      </w:pPr>
      <w:r>
        <w:rPr>
          <w:rFonts w:ascii="Arial" w:hAnsi="Arial"/>
          <w:b/>
          <w:color w:val="000000"/>
          <w:sz w:val="24"/>
        </w:rPr>
        <w:t xml:space="preserve">RSC</w:t>
      </w:r>
      <w:r>
        <w:rPr>
          <w:rFonts w:ascii="Arial" w:hAnsi="Arial"/>
          <w:color w:val="000000"/>
          <w:sz w:val="24"/>
        </w:rPr>
        <w:t xml:space="preserve"> </w:t>
      </w:r>
      <w:r>
        <w:rPr>
          <w:rFonts w:ascii="Arial" w:hAnsi="Arial"/>
          <w:color w:val="000000"/>
          <w:sz w:val="24"/>
        </w:rPr>
        <w:t xml:space="preserve">— Reconhecimento de Saberes e Competências</w:t>
      </w:r>
    </w:p>
    <w:p>
      <w:pPr>
        <w:pStyle w:val="BodyText"/>
        <w:spacing w:line="360" w:lineRule="auto"/>
        <w:jc w:val="both"/>
      </w:pPr>
      <w:r>
        <w:rPr>
          <w:rFonts w:ascii="Arial" w:hAnsi="Arial"/>
          <w:b/>
          <w:color w:val="000000"/>
          <w:sz w:val="24"/>
        </w:rPr>
        <w:t xml:space="preserve">SIAPE</w:t>
      </w:r>
      <w:r>
        <w:rPr>
          <w:rFonts w:ascii="Arial" w:hAnsi="Arial"/>
          <w:color w:val="000000"/>
          <w:sz w:val="24"/>
        </w:rPr>
        <w:t xml:space="preserve"> </w:t>
      </w:r>
      <w:r>
        <w:rPr>
          <w:rFonts w:ascii="Arial" w:hAnsi="Arial"/>
          <w:color w:val="000000"/>
          <w:sz w:val="24"/>
        </w:rPr>
        <w:t xml:space="preserve">— Sistema Integrado de Administração de Recursos Humanos</w:t>
      </w:r>
    </w:p>
    <w:p>
      <w:pPr>
        <w:pStyle w:val="BodyText"/>
        <w:spacing w:line="360" w:lineRule="auto"/>
        <w:jc w:val="both"/>
      </w:pPr>
      <w:r>
        <w:rPr>
          <w:rFonts w:ascii="Arial" w:hAnsi="Arial"/>
          <w:b/>
          <w:color w:val="000000"/>
          <w:sz w:val="24"/>
        </w:rPr>
        <w:t xml:space="preserve">UFV</w:t>
      </w:r>
      <w:r>
        <w:rPr>
          <w:rFonts w:ascii="Arial" w:hAnsi="Arial"/>
          <w:color w:val="000000"/>
          <w:sz w:val="24"/>
        </w:rPr>
        <w:t xml:space="preserve"> </w:t>
      </w:r>
      <w:r>
        <w:rPr>
          <w:rFonts w:ascii="Arial" w:hAnsi="Arial"/>
          <w:color w:val="000000"/>
          <w:sz w:val="24"/>
        </w:rPr>
        <w:t xml:space="preserve">— Universidade Federal de Viçosa</w:t>
      </w:r>
    </w:p>
    <w:p>
      <w:r>
        <w:pict>
          <v:rect style="width:0;height:1.5pt" o:hralign="center" o:hrstd="t" o:hr="t"/>
        </w:pict>
      </w:r>
    </w:p>
    <w:p>
      <w:pPr>
        <w:pStyle w:val="Heading1"/>
        <w:spacing w:before="0" w:after="360"/>
        <w:jc w:val="center"/>
      </w:pPr>
      <w:bookmarkStart w:id="22" w:name="sumário"/>
      <w:r>
        <w:rPr>
          <w:rFonts w:ascii="Arial" w:hAnsi="Arial"/>
          <w:b/>
          <w:color w:val="000000"/>
          <w:sz w:val="28"/>
        </w:rPr>
        <w:t xml:space="preserve">SUMÁRIO</w:t>
      </w:r>
      <w:bookmarkEnd w:id="22"/>
    </w:p>
    <w:p>
      <w:pPr>
        <w:numPr>
          <w:ilvl w:val="0"/>
          <w:numId w:val="1001"/>
        </w:numPr>
        <w:pStyle w:val="Compact"/>
        <w:spacing w:before="480" w:after="240"/>
        <w:jc w:val="left"/>
      </w:pPr>
      <w:r>
        <w:rPr>
          <w:rFonts w:ascii="Arial" w:hAnsi="Arial"/>
          <w:b/>
          <w:color w:val="000000"/>
          <w:sz w:val="28"/>
        </w:rPr>
        <w:t xml:space="preserve">1 INTRODUÇÃO — TRAJETÓRIA E FUNDAMENTOS</w:t>
      </w:r>
    </w:p>
    <w:p>
      <w:pPr>
        <w:numPr>
          <w:ilvl w:val="1"/>
          <w:numId w:val="1002"/>
        </w:numPr>
        <w:pStyle w:val="Compact"/>
        <w:spacing w:line="360" w:lineRule="auto"/>
        <w:jc w:val="both"/>
      </w:pPr>
      <w:r>
        <w:rPr>
          <w:rFonts w:ascii="Arial" w:hAnsi="Arial"/>
          <w:color w:val="000000"/>
          <w:sz w:val="24"/>
        </w:rPr>
        <w:t xml:space="preserve">1.1 Quem sou e o que apresento</w:t>
      </w:r>
    </w:p>
    <w:p>
      <w:pPr>
        <w:numPr>
          <w:ilvl w:val="1"/>
          <w:numId w:val="1002"/>
        </w:numPr>
        <w:pStyle w:val="Compact"/>
        <w:spacing w:line="360" w:lineRule="auto"/>
        <w:jc w:val="both"/>
      </w:pPr>
      <w:r>
        <w:rPr>
          <w:rFonts w:ascii="Arial" w:hAnsi="Arial"/>
          <w:color w:val="000000"/>
          <w:sz w:val="24"/>
        </w:rPr>
        <w:t xml:space="preserve">1.2 A essência do meu fazer profissional</w:t>
      </w:r>
    </w:p>
    <w:p>
      <w:pPr>
        <w:numPr>
          <w:ilvl w:val="0"/>
          <w:numId w:val="1001"/>
        </w:numPr>
        <w:pStyle w:val="Compact"/>
        <w:spacing w:before="480" w:after="240"/>
        <w:jc w:val="left"/>
      </w:pPr>
      <w:r>
        <w:rPr>
          <w:rFonts w:ascii="Arial" w:hAnsi="Arial"/>
          <w:b/>
          <w:color w:val="000000"/>
          <w:sz w:val="28"/>
        </w:rPr>
        <w:t xml:space="preserve">2 ANEXO I — PARTICIPAÇÃO EM COMISSÕES, GRUPOS DE TRABALHO E CONCURSOS</w:t>
      </w:r>
    </w:p>
    <w:p>
      <w:pPr>
        <w:numPr>
          <w:ilvl w:val="0"/>
          <w:numId w:val="1001"/>
        </w:numPr>
        <w:pStyle w:val="Compact"/>
        <w:spacing w:before="480" w:after="240"/>
        <w:jc w:val="left"/>
      </w:pPr>
      <w:r>
        <w:rPr>
          <w:rFonts w:ascii="Arial" w:hAnsi="Arial"/>
          <w:b/>
          <w:color w:val="000000"/>
          <w:sz w:val="28"/>
        </w:rPr>
        <w:t xml:space="preserve">3 ANEXO II — PARTICIPAÇÃO EM PROJETOS INSTITUCIONAIS</w:t>
      </w:r>
    </w:p>
    <w:p>
      <w:pPr>
        <w:numPr>
          <w:ilvl w:val="0"/>
          <w:numId w:val="1001"/>
        </w:numPr>
        <w:pStyle w:val="Compact"/>
        <w:spacing w:before="480" w:after="240"/>
        <w:jc w:val="left"/>
      </w:pPr>
      <w:r>
        <w:rPr>
          <w:rFonts w:ascii="Arial" w:hAnsi="Arial"/>
          <w:b/>
          <w:color w:val="000000"/>
          <w:sz w:val="28"/>
        </w:rPr>
        <w:t xml:space="preserve">4 ANEXO III — PREMIAÇÕES</w:t>
      </w:r>
    </w:p>
    <w:p>
      <w:pPr>
        <w:numPr>
          <w:ilvl w:val="0"/>
          <w:numId w:val="1001"/>
        </w:numPr>
        <w:pStyle w:val="Compact"/>
        <w:spacing w:before="480" w:after="240"/>
        <w:jc w:val="left"/>
      </w:pPr>
      <w:r>
        <w:rPr>
          <w:rFonts w:ascii="Arial" w:hAnsi="Arial"/>
          <w:b/>
          <w:color w:val="000000"/>
          <w:sz w:val="28"/>
        </w:rPr>
        <w:t xml:space="preserve">5 ANEXO IV — RESPONSABILIDADES TÉCNICO-ADMINISTRATIVAS</w:t>
      </w:r>
    </w:p>
    <w:p>
      <w:pPr>
        <w:numPr>
          <w:ilvl w:val="0"/>
          <w:numId w:val="1001"/>
        </w:numPr>
        <w:pStyle w:val="Compact"/>
        <w:spacing w:before="480" w:after="240"/>
        <w:jc w:val="left"/>
      </w:pPr>
      <w:r>
        <w:rPr>
          <w:rFonts w:ascii="Arial" w:hAnsi="Arial"/>
          <w:b/>
          <w:color w:val="000000"/>
          <w:sz w:val="28"/>
        </w:rPr>
        <w:t xml:space="preserve">6 ANEXO V — EXERCÍCIO DE FUNÇÕES DE DIREÇÃO E ASSESSORAMENTO</w:t>
      </w:r>
    </w:p>
    <w:p>
      <w:pPr>
        <w:numPr>
          <w:ilvl w:val="0"/>
          <w:numId w:val="1001"/>
        </w:numPr>
        <w:pStyle w:val="Compact"/>
        <w:spacing w:before="480" w:after="240"/>
        <w:jc w:val="left"/>
      </w:pPr>
      <w:r>
        <w:rPr>
          <w:rFonts w:ascii="Arial" w:hAnsi="Arial"/>
          <w:b/>
          <w:color w:val="000000"/>
          <w:sz w:val="28"/>
        </w:rPr>
        <w:t xml:space="preserve">7 ANEXO VI — PRODUÇÃO, PROSPECÇÃO E DIFUSÃO DE CONHECIMENTO CIENTÍFICO E TÉCNICO</w:t>
      </w:r>
    </w:p>
    <w:p>
      <w:pPr>
        <w:numPr>
          <w:ilvl w:val="0"/>
          <w:numId w:val="1001"/>
        </w:numPr>
        <w:pStyle w:val="Compact"/>
        <w:spacing w:before="480" w:after="240"/>
        <w:jc w:val="left"/>
      </w:pPr>
      <w:r>
        <w:rPr>
          <w:rFonts w:ascii="Arial" w:hAnsi="Arial"/>
          <w:b/>
          <w:color w:val="000000"/>
          <w:sz w:val="28"/>
        </w:rPr>
        <w:t xml:space="preserve">8 SÍNTESE DE PONTUAÇÃO</w:t>
      </w:r>
    </w:p>
    <w:p>
      <w:pPr>
        <w:numPr>
          <w:ilvl w:val="0"/>
          <w:numId w:val="1001"/>
        </w:numPr>
        <w:pStyle w:val="Compact"/>
        <w:spacing w:before="480" w:after="240"/>
        <w:jc w:val="left"/>
      </w:pPr>
      <w:r>
        <w:rPr>
          <w:rFonts w:ascii="Arial" w:hAnsi="Arial"/>
          <w:b/>
          <w:color w:val="000000"/>
          <w:sz w:val="28"/>
        </w:rPr>
        <w:t xml:space="preserve">9 REFLEXÃO FINAL — SABERES E COMPETÊNCIAS</w:t>
      </w:r>
    </w:p>
    <w:p>
      <w:pPr>
        <w:numPr>
          <w:ilvl w:val="0"/>
          <w:numId w:val="1001"/>
        </w:numPr>
        <w:pStyle w:val="Compact"/>
        <w:spacing w:before="0" w:after="360"/>
        <w:jc w:val="center"/>
      </w:pPr>
      <w:r>
        <w:rPr>
          <w:rFonts w:ascii="Arial" w:hAnsi="Arial"/>
          <w:b/>
          <w:color w:val="000000"/>
          <w:sz w:val="28"/>
        </w:rPr>
        <w:t xml:space="preserve">REFERÊNCIAS</w:t>
      </w:r>
    </w:p>
    <w:p>
      <w:r>
        <w:pict>
          <v:rect style="width:0;height:1.5pt" o:hralign="center" o:hrstd="t" o:hr="t"/>
        </w:pict>
      </w:r>
    </w:p>
    <w:p>
      <w:pPr>
        <w:pStyle w:val="Heading1"/>
        <w:spacing w:before="480" w:after="240"/>
        <w:jc w:val="left"/>
      </w:pPr>
      <w:bookmarkStart w:id="23" w:name="introdução-trajetória-e-fundamentos"/>
      <w:r>
        <w:rPr>
          <w:rFonts w:ascii="Arial" w:hAnsi="Arial"/>
          <w:b/>
          <w:color w:val="000000"/>
          <w:sz w:val="28"/>
        </w:rPr>
        <w:t xml:space="preserve">1 INTRODUÇÃO — TRAJETÓRIA E FUNDAMENTOS</w:t>
      </w:r>
      <w:bookmarkEnd w:id="23"/>
    </w:p>
    <w:p>
      <w:pPr>
        <w:pStyle w:val="Heading2"/>
        <w:spacing w:line="360" w:lineRule="auto"/>
        <w:jc w:val="both"/>
      </w:pPr>
      <w:bookmarkStart w:id="24" w:name="quem-sou-e-o-que-apresento"/>
      <w:r>
        <w:rPr>
          <w:rFonts w:ascii="Arial" w:hAnsi="Arial"/>
          <w:color w:val="000000"/>
          <w:sz w:val="24"/>
        </w:rPr>
        <w:t xml:space="preserve">1.1 Quem sou e o que apresento</w:t>
      </w:r>
      <w:bookmarkEnd w:id="24"/>
    </w:p>
    <w:p>
      <w:pPr>
        <w:pStyle w:val="FirstParagraph"/>
        <w:spacing w:line="360" w:lineRule="auto"/>
        <w:jc w:val="both"/>
      </w:pPr>
      <w:r>
        <w:rPr>
          <w:rFonts w:ascii="Arial" w:hAnsi="Arial"/>
          <w:color w:val="000000"/>
          <w:sz w:val="24"/>
        </w:rPr>
        <w:t xml:space="preserve">Meu nome é Ricardo Gandini Lugão, matrícula SIAPE 2287258, servidor público federal ocupante do cargo de Técnico em Assuntos Educacionais na Universidade Federal de Viçosa (UFV). Ingressei na instituição em 1992 e, ao longo de mais de três décadas de serviço público federal, construí uma trajetória profissional marcada pelo compromisso com a gestão universitária, a formulação de políticas institucionais e o desenvolvimento organizacional da UFV.</w:t>
      </w:r>
    </w:p>
    <w:p>
      <w:pPr>
        <w:pStyle w:val="BodyText"/>
        <w:spacing w:line="360" w:lineRule="auto"/>
        <w:jc w:val="both"/>
      </w:pPr>
      <w:r>
        <w:rPr>
          <w:rFonts w:ascii="Arial" w:hAnsi="Arial"/>
          <w:color w:val="000000"/>
          <w:sz w:val="24"/>
        </w:rPr>
        <w:t xml:space="preserve">Os dados de pontuação apresentados neste memorial foram extraídos do Relatório Detalhado RSC emitido pelo sistema oficial da UFV em 03 de junho de 2026, que registra a pontuação total de 698.00 pontos, distribuídos em 15 critérios pontuados.</w:t>
      </w:r>
    </w:p>
    <w:p>
      <w:pPr>
        <w:pStyle w:val="Heading2"/>
        <w:spacing w:line="360" w:lineRule="auto"/>
        <w:jc w:val="both"/>
      </w:pPr>
      <w:bookmarkStart w:id="25" w:name="a-essência-do-meu-fazer-profissional"/>
      <w:r>
        <w:rPr>
          <w:rFonts w:ascii="Arial" w:hAnsi="Arial"/>
          <w:color w:val="000000"/>
          <w:sz w:val="24"/>
        </w:rPr>
        <w:t xml:space="preserve">1.2 A essência do meu fazer profissional</w:t>
      </w:r>
      <w:bookmarkEnd w:id="25"/>
    </w:p>
    <w:p>
      <w:pPr>
        <w:pStyle w:val="FirstParagraph"/>
        <w:spacing w:line="360" w:lineRule="auto"/>
        <w:jc w:val="both"/>
      </w:pPr>
      <w:r>
        <w:rPr>
          <w:rFonts w:ascii="Arial" w:hAnsi="Arial"/>
          <w:color w:val="000000"/>
          <w:sz w:val="24"/>
        </w:rPr>
        <w:t xml:space="preserve">Como Técnico em Assuntos Educacionais, minha atuação transcendeu o desempenho ordinário da carreira para abranger dimensões estratégicas da gestão universitária. Este memorial é o registro reflexivo dessa trajetória, organizado segundo os eixos definidos pelo Decreto nº 13.048/2026 e pela Resolução específica da Comissão para Reconhecimento de Saberes e Competências do PCCTAE (CRSC-PCCTAE) da UFV.</w:t>
      </w:r>
    </w:p>
    <w:p>
      <w:r>
        <w:pict>
          <v:rect style="width:0;height:1.5pt" o:hralign="center" o:hrstd="t" o:hr="t"/>
        </w:pict>
      </w:r>
    </w:p>
    <w:p>
      <w:pPr>
        <w:pStyle w:val="Heading1"/>
        <w:spacing w:before="480" w:after="240"/>
        <w:jc w:val="left"/>
      </w:pPr>
      <w:bookmarkStart w:id="26" w:name="X30754d103e022472a71ecf220fb6a55b9afcea0"/>
      <w:r>
        <w:rPr>
          <w:rFonts w:ascii="Arial" w:hAnsi="Arial"/>
          <w:b/>
          <w:color w:val="000000"/>
          <w:sz w:val="28"/>
        </w:rPr>
        <w:t xml:space="preserve">2 ANEXO I — PARTICIPAÇÃO EM COMISSÕES, GRUPOS DE TRABALHO E CONCURSOS</w:t>
      </w:r>
      <w:bookmarkEnd w:id="26"/>
    </w:p>
    <w:p>
      <w:pPr>
        <w:pStyle w:val="FirstParagraph"/>
        <w:spacing w:line="360" w:lineRule="auto"/>
        <w:jc w:val="both"/>
      </w:pPr>
      <w:r>
        <w:rPr>
          <w:rFonts w:ascii="Arial" w:hAnsi="Arial"/>
          <w:color w:val="000000"/>
          <w:sz w:val="24"/>
        </w:rPr>
        <w:t xml:space="preserve">(Registros extraídos automaticamente do Relatório Detalhado RSC.)</w:t>
      </w:r>
    </w:p>
    <w:p>
      <w:r>
        <w:pict>
          <v:rect style="width:0;height:1.5pt" o:hralign="center" o:hrstd="t" o:hr="t"/>
        </w:pict>
      </w:r>
    </w:p>
    <w:p>
      <w:pPr>
        <w:pStyle w:val="Heading1"/>
        <w:spacing w:before="480" w:after="240"/>
        <w:jc w:val="left"/>
      </w:pPr>
      <w:bookmarkStart w:id="27" w:name="Xa3af32273387810a38aa5885df61fb048684c3b"/>
      <w:r>
        <w:rPr>
          <w:rFonts w:ascii="Arial" w:hAnsi="Arial"/>
          <w:b/>
          <w:color w:val="000000"/>
          <w:sz w:val="28"/>
        </w:rPr>
        <w:t xml:space="preserve">3 ANEXO II — PARTICIPAÇÃO EM PROJETOS INSTITUCIONAIS</w:t>
      </w:r>
      <w:bookmarkEnd w:id="27"/>
    </w:p>
    <w:p>
      <w:pPr>
        <w:pStyle w:val="FirstParagraph"/>
        <w:spacing w:line="360" w:lineRule="auto"/>
        <w:jc w:val="both"/>
      </w:pPr>
      <w:r>
        <w:rPr>
          <w:rFonts w:ascii="Arial" w:hAnsi="Arial"/>
          <w:color w:val="000000"/>
          <w:sz w:val="24"/>
        </w:rPr>
        <w:t xml:space="preserve">(Registros extraídos automaticamente do Relatório Detalhado RSC.)</w:t>
      </w:r>
    </w:p>
    <w:p>
      <w:r>
        <w:pict>
          <v:rect style="width:0;height:1.5pt" o:hralign="center" o:hrstd="t" o:hr="t"/>
        </w:pict>
      </w:r>
    </w:p>
    <w:p>
      <w:pPr>
        <w:pStyle w:val="Heading1"/>
        <w:spacing w:before="480" w:after="240"/>
        <w:jc w:val="left"/>
      </w:pPr>
      <w:bookmarkStart w:id="28" w:name="anexo-iii-premiações"/>
      <w:r>
        <w:rPr>
          <w:rFonts w:ascii="Arial" w:hAnsi="Arial"/>
          <w:b/>
          <w:color w:val="000000"/>
          <w:sz w:val="28"/>
        </w:rPr>
        <w:t xml:space="preserve">4 ANEXO III — PREMIAÇÕES</w:t>
      </w:r>
      <w:bookmarkEnd w:id="28"/>
    </w:p>
    <w:p>
      <w:pPr>
        <w:pStyle w:val="FirstParagraph"/>
        <w:spacing w:line="360" w:lineRule="auto"/>
        <w:jc w:val="both"/>
      </w:pPr>
      <w:r>
        <w:rPr>
          <w:rFonts w:ascii="Arial" w:hAnsi="Arial"/>
          <w:color w:val="000000"/>
          <w:sz w:val="24"/>
        </w:rPr>
        <w:t xml:space="preserve">(Dados extraídos automaticamente do Relatório Detalhado RSC.)</w:t>
      </w:r>
    </w:p>
    <w:p>
      <w:r>
        <w:pict>
          <v:rect style="width:0;height:1.5pt" o:hralign="center" o:hrstd="t" o:hr="t"/>
        </w:pict>
      </w:r>
    </w:p>
    <w:p>
      <w:pPr>
        <w:pStyle w:val="Heading1"/>
        <w:spacing w:before="480" w:after="240"/>
        <w:jc w:val="left"/>
      </w:pPr>
      <w:bookmarkStart w:id="29" w:name="Xd81a945807c9dea95a8ebf1c37d7c543f624b76"/>
      <w:r>
        <w:rPr>
          <w:rFonts w:ascii="Arial" w:hAnsi="Arial"/>
          <w:b/>
          <w:color w:val="000000"/>
          <w:sz w:val="28"/>
        </w:rPr>
        <w:t xml:space="preserve">5 ANEXO IV — RESPONSABILIDADES TÉCNICO-ADMINISTRATIVAS</w:t>
      </w:r>
      <w:bookmarkEnd w:id="29"/>
    </w:p>
    <w:p>
      <w:pPr>
        <w:pStyle w:val="FirstParagraph"/>
        <w:spacing w:line="360" w:lineRule="auto"/>
        <w:jc w:val="both"/>
      </w:pPr>
      <w:r>
        <w:rPr>
          <w:rFonts w:ascii="Arial" w:hAnsi="Arial"/>
          <w:color w:val="000000"/>
          <w:sz w:val="24"/>
        </w:rPr>
        <w:t xml:space="preserve">(Dados extraídos automaticamente do Relatório Detalhado RSC.)</w:t>
      </w:r>
    </w:p>
    <w:p>
      <w:r>
        <w:pict>
          <v:rect style="width:0;height:1.5pt" o:hralign="center" o:hrstd="t" o:hr="t"/>
        </w:pict>
      </w:r>
    </w:p>
    <w:p>
      <w:pPr>
        <w:pStyle w:val="Heading1"/>
        <w:spacing w:before="480" w:after="240"/>
        <w:jc w:val="left"/>
      </w:pPr>
      <w:bookmarkStart w:id="30" w:name="Xdd9cd7013c33693f51faed72ffc1474c2998ab8"/>
      <w:r>
        <w:rPr>
          <w:rFonts w:ascii="Arial" w:hAnsi="Arial"/>
          <w:b/>
          <w:color w:val="000000"/>
          <w:sz w:val="28"/>
        </w:rPr>
        <w:t xml:space="preserve">6 ANEXO V — EXERCÍCIO DE FUNÇÕES DE DIREÇÃO E ASSESSORAMENTO</w:t>
      </w:r>
      <w:bookmarkEnd w:id="30"/>
    </w:p>
    <w:p>
      <w:pPr>
        <w:pStyle w:val="FirstParagraph"/>
        <w:spacing w:line="360" w:lineRule="auto"/>
        <w:jc w:val="both"/>
      </w:pPr>
      <w:r>
        <w:rPr>
          <w:rFonts w:ascii="Arial" w:hAnsi="Arial"/>
          <w:color w:val="000000"/>
          <w:sz w:val="24"/>
        </w:rPr>
        <w:t xml:space="preserve">(Dados extraídos automaticamente do Relatório Detalhado RSC.)</w:t>
      </w:r>
    </w:p>
    <w:p>
      <w:r>
        <w:pict>
          <v:rect style="width:0;height:1.5pt" o:hralign="center" o:hrstd="t" o:hr="t"/>
        </w:pict>
      </w:r>
    </w:p>
    <w:p>
      <w:pPr>
        <w:pStyle w:val="Heading1"/>
        <w:spacing w:before="480" w:after="240"/>
        <w:jc w:val="left"/>
      </w:pPr>
      <w:bookmarkStart w:id="31" w:name="Xd2d8630dca05f6c684f973e1f789cd2bf469ea2"/>
      <w:r>
        <w:rPr>
          <w:rFonts w:ascii="Arial" w:hAnsi="Arial"/>
          <w:b/>
          <w:color w:val="000000"/>
          <w:sz w:val="28"/>
        </w:rPr>
        <w:t xml:space="preserve">7 ANEXO VI — PRODUÇÃO, PROSPECÇÃO E DIFUSÃO DE CONHECIMENTO CIENTÍFICO E TÉCNICO</w:t>
      </w:r>
      <w:bookmarkEnd w:id="31"/>
    </w:p>
    <w:p>
      <w:pPr>
        <w:pStyle w:val="FirstParagraph"/>
        <w:spacing w:line="360" w:lineRule="auto"/>
        <w:jc w:val="both"/>
      </w:pPr>
      <w:r>
        <w:rPr>
          <w:rFonts w:ascii="Arial" w:hAnsi="Arial"/>
          <w:color w:val="000000"/>
          <w:sz w:val="24"/>
        </w:rPr>
        <w:t xml:space="preserve">(Dados extraídos automaticamente do Relatório Detalhado RSC.)</w:t>
      </w:r>
    </w:p>
    <w:p>
      <w:r>
        <w:pict>
          <v:rect style="width:0;height:1.5pt" o:hralign="center" o:hrstd="t" o:hr="t"/>
        </w:pict>
      </w:r>
    </w:p>
    <w:p>
      <w:pPr>
        <w:pStyle w:val="Heading1"/>
        <w:spacing w:before="480" w:after="240"/>
        <w:jc w:val="left"/>
      </w:pPr>
      <w:bookmarkStart w:id="32" w:name="síntese-de-pontuação"/>
      <w:r>
        <w:rPr>
          <w:rFonts w:ascii="Arial" w:hAnsi="Arial"/>
          <w:b/>
          <w:color w:val="000000"/>
          <w:sz w:val="28"/>
        </w:rPr>
        <w:t xml:space="preserve">8 SÍNTESE DE PONTUAÇÃO</w:t>
      </w:r>
      <w:bookmarkEnd w:id="32"/>
    </w:p>
    <w:p>
      <w:pPr>
        <w:pStyle w:val="Heading2"/>
        <w:spacing w:line="360" w:lineRule="auto"/>
        <w:jc w:val="both"/>
      </w:pPr>
      <w:bookmarkStart w:id="33" w:name="X582ff4abafc06129f61ef5a8829b7ecdda0bd5a"/>
      <w:r>
        <w:rPr>
          <w:rFonts w:ascii="Arial" w:hAnsi="Arial"/>
          <w:color w:val="000000"/>
          <w:sz w:val="24"/>
        </w:rPr>
        <w:t xml:space="preserve">8.1 Quadro geral — Pontuação oficial (sistema UFV, 03/06/2026)</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Grupo</w:t>
            </w:r>
          </w:p>
        </w:tc>
        <w:tc>
          <w:tcPr>
            <w:tcBorders>
              <w:bottom w:val="single"/>
            </w:tcBorders>
            <w:vAlign w:val="bottom"/>
          </w:tcPr>
          <w:p>
            <w:pPr>
              <w:pStyle w:val="Compact"/>
              <w:jc w:val="left"/>
            </w:pPr>
            <w:r>
              <w:t xml:space="preserve">Critérios</w:t>
            </w:r>
          </w:p>
        </w:tc>
        <w:tc>
          <w:tcPr>
            <w:tcBorders>
              <w:bottom w:val="single"/>
            </w:tcBorders>
            <w:vAlign w:val="bottom"/>
          </w:tcPr>
          <w:p>
            <w:pPr>
              <w:pStyle w:val="Compact"/>
              <w:jc w:val="left"/>
            </w:pPr>
            <w:r>
              <w:t xml:space="preserve">Pontuação</w:t>
            </w:r>
          </w:p>
        </w:tc>
      </w:tr>
      <w:tr>
        <w:tc>
          <w:p>
            <w:pPr>
              <w:pStyle w:val="Compact"/>
              <w:jc w:val="left"/>
            </w:pPr>
            <w:r>
              <w:rPr>
                <w:b/>
              </w:rPr>
              <w:t xml:space="preserve">Anexo I</w:t>
            </w:r>
            <w:r>
              <w:t xml:space="preserve"> </w:t>
            </w:r>
            <w:r>
              <w:t xml:space="preserve">— Comissões</w:t>
            </w:r>
          </w:p>
        </w:tc>
        <w:tc>
          <w:p>
            <w:pPr>
              <w:pStyle w:val="Compact"/>
              <w:jc w:val="left"/>
            </w:pPr>
            <w:r>
              <w:t xml:space="preserve">5</w:t>
            </w:r>
          </w:p>
        </w:tc>
        <w:tc>
          <w:p>
            <w:pPr>
              <w:pStyle w:val="Compact"/>
              <w:jc w:val="left"/>
            </w:pPr>
            <w:r>
              <w:rPr>
                <w:b/>
              </w:rPr>
              <w:t xml:space="preserve">526.50</w:t>
            </w:r>
          </w:p>
        </w:tc>
      </w:tr>
      <w:tr>
        <w:tc>
          <w:p>
            <w:pPr>
              <w:pStyle w:val="Compact"/>
              <w:jc w:val="left"/>
            </w:pPr>
            <w:r>
              <w:rPr>
                <w:b/>
              </w:rPr>
              <w:t xml:space="preserve">Anexo II</w:t>
            </w:r>
            <w:r>
              <w:t xml:space="preserve"> </w:t>
            </w:r>
            <w:r>
              <w:t xml:space="preserve">— Projetos</w:t>
            </w:r>
          </w:p>
        </w:tc>
        <w:tc>
          <w:p>
            <w:pPr>
              <w:pStyle w:val="Compact"/>
              <w:jc w:val="left"/>
            </w:pPr>
            <w:r>
              <w:t xml:space="preserve">2</w:t>
            </w:r>
          </w:p>
        </w:tc>
        <w:tc>
          <w:p>
            <w:pPr>
              <w:pStyle w:val="Compact"/>
              <w:jc w:val="left"/>
            </w:pPr>
            <w:r>
              <w:rPr>
                <w:b/>
              </w:rPr>
              <w:t xml:space="preserve">7.50</w:t>
            </w:r>
          </w:p>
        </w:tc>
      </w:tr>
      <w:tr>
        <w:tc>
          <w:p>
            <w:pPr>
              <w:pStyle w:val="Compact"/>
              <w:jc w:val="left"/>
            </w:pPr>
            <w:r>
              <w:rPr>
                <w:b/>
              </w:rPr>
              <w:t xml:space="preserve">Anexo III</w:t>
            </w:r>
            <w:r>
              <w:t xml:space="preserve"> </w:t>
            </w:r>
            <w:r>
              <w:t xml:space="preserve">— Premiações</w:t>
            </w:r>
          </w:p>
        </w:tc>
        <w:tc>
          <w:p>
            <w:pPr>
              <w:pStyle w:val="Compact"/>
              <w:jc w:val="left"/>
            </w:pPr>
            <w:r>
              <w:t xml:space="preserve">0</w:t>
            </w:r>
          </w:p>
        </w:tc>
        <w:tc>
          <w:p>
            <w:pPr>
              <w:pStyle w:val="Compact"/>
              <w:jc w:val="left"/>
            </w:pPr>
            <w:r>
              <w:rPr>
                <w:b/>
              </w:rPr>
              <w:t xml:space="preserve">0.00</w:t>
            </w:r>
          </w:p>
        </w:tc>
      </w:tr>
      <w:tr>
        <w:tc>
          <w:p>
            <w:pPr>
              <w:pStyle w:val="Compact"/>
              <w:jc w:val="left"/>
            </w:pPr>
            <w:r>
              <w:rPr>
                <w:b/>
              </w:rPr>
              <w:t xml:space="preserve">Anexo IV</w:t>
            </w:r>
            <w:r>
              <w:t xml:space="preserve"> </w:t>
            </w:r>
            <w:r>
              <w:t xml:space="preserve">— Responsabilidades</w:t>
            </w:r>
          </w:p>
        </w:tc>
        <w:tc>
          <w:p>
            <w:pPr>
              <w:pStyle w:val="Compact"/>
              <w:jc w:val="left"/>
            </w:pPr>
            <w:r>
              <w:t xml:space="preserve">0</w:t>
            </w:r>
          </w:p>
        </w:tc>
        <w:tc>
          <w:p>
            <w:pPr>
              <w:pStyle w:val="Compact"/>
              <w:jc w:val="left"/>
            </w:pPr>
            <w:r>
              <w:rPr>
                <w:b/>
              </w:rPr>
              <w:t xml:space="preserve">0.00</w:t>
            </w:r>
          </w:p>
        </w:tc>
      </w:tr>
      <w:tr>
        <w:tc>
          <w:p>
            <w:pPr>
              <w:pStyle w:val="Compact"/>
              <w:jc w:val="left"/>
            </w:pPr>
            <w:r>
              <w:rPr>
                <w:b/>
              </w:rPr>
              <w:t xml:space="preserve">Anexo V</w:t>
            </w:r>
            <w:r>
              <w:t xml:space="preserve"> </w:t>
            </w:r>
            <w:r>
              <w:t xml:space="preserve">— Direção</w:t>
            </w:r>
          </w:p>
        </w:tc>
        <w:tc>
          <w:p>
            <w:pPr>
              <w:pStyle w:val="Compact"/>
              <w:jc w:val="left"/>
            </w:pPr>
            <w:r>
              <w:t xml:space="preserve">4</w:t>
            </w:r>
          </w:p>
        </w:tc>
        <w:tc>
          <w:p>
            <w:pPr>
              <w:pStyle w:val="Compact"/>
              <w:jc w:val="left"/>
            </w:pPr>
            <w:r>
              <w:rPr>
                <w:b/>
              </w:rPr>
              <w:t xml:space="preserve">103.50</w:t>
            </w:r>
          </w:p>
        </w:tc>
      </w:tr>
      <w:tr>
        <w:tc>
          <w:p>
            <w:pPr>
              <w:pStyle w:val="Compact"/>
              <w:jc w:val="left"/>
            </w:pPr>
            <w:r>
              <w:rPr>
                <w:b/>
              </w:rPr>
              <w:t xml:space="preserve">Anexo VI</w:t>
            </w:r>
            <w:r>
              <w:t xml:space="preserve"> </w:t>
            </w:r>
            <w:r>
              <w:t xml:space="preserve">— Produção</w:t>
            </w:r>
          </w:p>
        </w:tc>
        <w:tc>
          <w:p>
            <w:pPr>
              <w:pStyle w:val="Compact"/>
              <w:jc w:val="left"/>
            </w:pPr>
            <w:r>
              <w:t xml:space="preserve">4</w:t>
            </w:r>
          </w:p>
        </w:tc>
        <w:tc>
          <w:p>
            <w:pPr>
              <w:pStyle w:val="Compact"/>
              <w:jc w:val="left"/>
            </w:pPr>
            <w:r>
              <w:rPr>
                <w:b/>
              </w:rPr>
              <w:t xml:space="preserve">60.50</w:t>
            </w:r>
          </w:p>
        </w:tc>
      </w:tr>
    </w:tbl>
    <w:p>
      <w:pPr>
        <w:pStyle w:val="BodyText"/>
        <w:spacing w:line="360" w:lineRule="auto"/>
        <w:jc w:val="both"/>
      </w:pPr>
      <w:r>
        <w:rPr>
          <w:rFonts w:ascii="Arial" w:hAnsi="Arial"/>
          <w:b/>
          <w:color w:val="000000"/>
          <w:sz w:val="24"/>
        </w:rPr>
        <w:t xml:space="preserve">Total Geral: 698.00 pontos</w:t>
      </w:r>
    </w:p>
    <w:p>
      <w:pPr>
        <w:pStyle w:val="Heading2"/>
        <w:spacing w:line="360" w:lineRule="auto"/>
        <w:jc w:val="both"/>
      </w:pPr>
      <w:bookmarkStart w:id="34" w:name="detalhamento-por-critério"/>
      <w:r>
        <w:rPr>
          <w:rFonts w:ascii="Arial" w:hAnsi="Arial"/>
          <w:color w:val="000000"/>
          <w:sz w:val="24"/>
        </w:rPr>
        <w:t xml:space="preserve">8.2 Detalhamento por critério</w:t>
      </w:r>
      <w:bookmarkEnd w:id="34"/>
    </w:p>
    <w:p>
      <w:pPr>
        <w:numPr>
          <w:ilvl w:val="0"/>
          <w:numId w:val="1003"/>
        </w:numPr>
        <w:spacing w:line="360" w:lineRule="auto"/>
        <w:jc w:val="both"/>
      </w:pPr>
      <w:r>
        <w:rPr>
          <w:rFonts w:ascii="Arial" w:hAnsi="Arial"/>
          <w:b/>
          <w:color w:val="000000"/>
          <w:sz w:val="24"/>
        </w:rPr>
        <w:t xml:space="preserve">Anexo I</w:t>
      </w:r>
      <w:r>
        <w:rPr>
          <w:rFonts w:ascii="Arial" w:hAnsi="Arial"/>
          <w:color w:val="000000"/>
          <w:sz w:val="24"/>
        </w:rPr>
        <w:t xml:space="preserve">: 5 critério(s) — 526.50 pontos</w:t>
      </w:r>
    </w:p>
    <w:p>
      <w:pPr>
        <w:numPr>
          <w:ilvl w:val="0"/>
          <w:numId w:val="1003"/>
        </w:numPr>
        <w:spacing w:line="360" w:lineRule="auto"/>
        <w:jc w:val="both"/>
      </w:pPr>
      <w:r>
        <w:rPr>
          <w:rFonts w:ascii="Arial" w:hAnsi="Arial"/>
          <w:b/>
          <w:color w:val="000000"/>
          <w:sz w:val="24"/>
        </w:rPr>
        <w:t xml:space="preserve">Anexo II</w:t>
      </w:r>
      <w:r>
        <w:rPr>
          <w:rFonts w:ascii="Arial" w:hAnsi="Arial"/>
          <w:color w:val="000000"/>
          <w:sz w:val="24"/>
        </w:rPr>
        <w:t xml:space="preserve">: 2 critério(s) — 7.50 pontos</w:t>
      </w:r>
    </w:p>
    <w:p>
      <w:pPr>
        <w:numPr>
          <w:ilvl w:val="0"/>
          <w:numId w:val="1003"/>
        </w:numPr>
        <w:spacing w:line="360" w:lineRule="auto"/>
        <w:jc w:val="both"/>
      </w:pPr>
      <w:r>
        <w:rPr>
          <w:rFonts w:ascii="Arial" w:hAnsi="Arial"/>
          <w:b/>
          <w:color w:val="000000"/>
          <w:sz w:val="24"/>
        </w:rPr>
        <w:t xml:space="preserve">Anexo III</w:t>
      </w:r>
      <w:r>
        <w:rPr>
          <w:rFonts w:ascii="Arial" w:hAnsi="Arial"/>
          <w:color w:val="000000"/>
          <w:sz w:val="24"/>
        </w:rPr>
        <w:t xml:space="preserve">: 0 critério(s) — 0.00 pontos</w:t>
      </w:r>
    </w:p>
    <w:p>
      <w:pPr>
        <w:numPr>
          <w:ilvl w:val="0"/>
          <w:numId w:val="1003"/>
        </w:numPr>
        <w:spacing w:line="360" w:lineRule="auto"/>
        <w:jc w:val="both"/>
      </w:pPr>
      <w:r>
        <w:rPr>
          <w:rFonts w:ascii="Arial" w:hAnsi="Arial"/>
          <w:b/>
          <w:color w:val="000000"/>
          <w:sz w:val="24"/>
        </w:rPr>
        <w:t xml:space="preserve">Anexo IV</w:t>
      </w:r>
      <w:r>
        <w:rPr>
          <w:rFonts w:ascii="Arial" w:hAnsi="Arial"/>
          <w:color w:val="000000"/>
          <w:sz w:val="24"/>
        </w:rPr>
        <w:t xml:space="preserve">: 0 critério(s) — 0.00 pontos</w:t>
      </w:r>
    </w:p>
    <w:p>
      <w:pPr>
        <w:numPr>
          <w:ilvl w:val="0"/>
          <w:numId w:val="1003"/>
        </w:numPr>
        <w:spacing w:line="360" w:lineRule="auto"/>
        <w:jc w:val="both"/>
      </w:pPr>
      <w:r>
        <w:rPr>
          <w:rFonts w:ascii="Arial" w:hAnsi="Arial"/>
          <w:b/>
          <w:color w:val="000000"/>
          <w:sz w:val="24"/>
        </w:rPr>
        <w:t xml:space="preserve">Anexo V</w:t>
      </w:r>
      <w:r>
        <w:rPr>
          <w:rFonts w:ascii="Arial" w:hAnsi="Arial"/>
          <w:color w:val="000000"/>
          <w:sz w:val="24"/>
        </w:rPr>
        <w:t xml:space="preserve">: 4 critério(s) — 103.50 pontos</w:t>
      </w:r>
    </w:p>
    <w:p>
      <w:pPr>
        <w:numPr>
          <w:ilvl w:val="0"/>
          <w:numId w:val="1003"/>
        </w:numPr>
        <w:spacing w:line="360" w:lineRule="auto"/>
        <w:jc w:val="both"/>
      </w:pPr>
      <w:r>
        <w:rPr>
          <w:rFonts w:ascii="Arial" w:hAnsi="Arial"/>
          <w:b/>
          <w:color w:val="000000"/>
          <w:sz w:val="24"/>
        </w:rPr>
        <w:t xml:space="preserve">Anexo VI</w:t>
      </w:r>
      <w:r>
        <w:rPr>
          <w:rFonts w:ascii="Arial" w:hAnsi="Arial"/>
          <w:color w:val="000000"/>
          <w:sz w:val="24"/>
        </w:rPr>
        <w:t xml:space="preserve">: 4 critério(s) — 60.50 pontos</w:t>
      </w:r>
    </w:p>
    <w:p>
      <w:r>
        <w:pict>
          <v:rect style="width:0;height:1.5pt" o:hralign="center" o:hrstd="t" o:hr="t"/>
        </w:pict>
      </w:r>
    </w:p>
    <w:p>
      <w:pPr>
        <w:pStyle w:val="Heading1"/>
        <w:spacing w:before="480" w:after="240"/>
        <w:jc w:val="left"/>
      </w:pPr>
      <w:bookmarkStart w:id="35" w:name="reflexão-final-saberes-e-competências"/>
      <w:r>
        <w:rPr>
          <w:rFonts w:ascii="Arial" w:hAnsi="Arial"/>
          <w:b/>
          <w:color w:val="000000"/>
          <w:sz w:val="28"/>
        </w:rPr>
        <w:t xml:space="preserve">9 REFLEXÃO FINAL — SABERES E COMPETÊNCIAS</w:t>
      </w:r>
      <w:bookmarkEnd w:id="35"/>
    </w:p>
    <w:p>
      <w:pPr>
        <w:pStyle w:val="FirstParagraph"/>
        <w:spacing w:line="360" w:lineRule="auto"/>
        <w:jc w:val="both"/>
      </w:pPr>
      <w:r>
        <w:rPr>
          <w:rFonts w:ascii="Arial" w:hAnsi="Arial"/>
          <w:color w:val="000000"/>
          <w:sz w:val="24"/>
        </w:rPr>
        <w:t xml:space="preserve">Ao longo de 34 anos de serviço público na Universidade Federal de Viçosa, minha trajetória profissional foi construída na interseção entre a gestão universitária e a política educacional. Cada comissão que integrei ou presidi, cada projeto que coordenei, cada processo administrativo que aperfeiçoei reflete um compromisso fundamental com a missão da universidade pública brasileira.</w:t>
      </w:r>
    </w:p>
    <w:p>
      <w:pPr>
        <w:pStyle w:val="BodyText"/>
        <w:spacing w:line="360" w:lineRule="auto"/>
        <w:jc w:val="both"/>
      </w:pPr>
      <w:r>
        <w:rPr>
          <w:rFonts w:ascii="Arial" w:hAnsi="Arial"/>
          <w:color w:val="000000"/>
          <w:sz w:val="24"/>
        </w:rPr>
        <w:t xml:space="preserve">Este memorial não é um ponto de chegada, mas um registro de um percurso que continua. O Reconhecimento de Saberes e Competências no Nível VI, equivalente ao título de Doutor, representa o reconhecimento institucional de que o saber-fazer construído na prática profissional, quando sistematicamente refletido e articulado com o conhecimento acadêmico, produz conhecimento válido e relevante para a gestão universitária.</w:t>
      </w:r>
    </w:p>
    <w:p>
      <w:pPr>
        <w:pStyle w:val="BodyText"/>
        <w:spacing w:line="360" w:lineRule="auto"/>
        <w:jc w:val="both"/>
      </w:pPr>
      <w:r>
        <w:rPr>
          <w:rFonts w:ascii="Arial" w:hAnsi="Arial"/>
          <w:color w:val="000000"/>
          <w:sz w:val="24"/>
        </w:rPr>
        <w:t xml:space="preserve">Submeto este memorial à apreciação da Comissão para Reconhecimento de Saberes e Competências do PCCTAE da Universidade Federal de Viçosa, certo de que a trajetória aqui documentada contribui para a excelência da gestão universitária e para o fortalecimento do serviço público federal.</w:t>
      </w:r>
    </w:p>
    <w:p>
      <w:r>
        <w:pict>
          <v:rect style="width:0;height:1.5pt" o:hralign="center" o:hrstd="t" o:hr="t"/>
        </w:pict>
      </w:r>
    </w:p>
    <w:p>
      <w:pPr>
        <w:pStyle w:val="Heading1"/>
        <w:spacing w:before="0" w:after="360"/>
        <w:jc w:val="center"/>
      </w:pPr>
      <w:bookmarkStart w:id="36" w:name="referências"/>
      <w:r>
        <w:rPr>
          <w:rFonts w:ascii="Arial" w:hAnsi="Arial"/>
          <w:b/>
          <w:color w:val="000000"/>
          <w:sz w:val="28"/>
        </w:rPr>
        <w:t xml:space="preserve">REFERÊNCIAS</w:t>
      </w:r>
      <w:bookmarkEnd w:id="36"/>
    </w:p>
    <w:p>
      <w:pPr>
        <w:pStyle w:val="FirstParagraph"/>
        <w:spacing w:line="240" w:lineRule="auto" w:after="240" w:before="0"/>
        <w:jc w:val="left"/>
      </w:pPr>
      <w:r>
        <w:rPr>
          <w:rFonts w:ascii="Arial" w:hAnsi="Arial"/>
          <w:b w:val="0"/>
          <w:color w:val="000000"/>
          <w:sz w:val="24"/>
        </w:rPr>
        <w:t xml:space="preserve">BRASIL. Lei nº 11.091, de 12 de janeiro de 2005. Dispõe sobre a estruturação do Plano de Carreira dos Cargos Técnico-Administrativos em Educação, no âmbito das Instituições Federais de Ensino vinculadas ao Ministério da Educação, e dá outras providências.</w:t>
      </w:r>
      <w:r>
        <w:rPr>
          <w:rFonts w:ascii="Arial" w:hAnsi="Arial"/>
          <w:b w:val="0"/>
          <w:color w:val="000000"/>
          <w:sz w:val="24"/>
        </w:rPr>
        <w:t xml:space="preserve"> </w:t>
      </w:r>
      <w:r>
        <w:rPr>
          <w:rFonts w:ascii="Arial" w:hAnsi="Arial"/>
          <w:b w:val="0"/>
          <w:color w:val="000000"/>
          <w:sz w:val="24"/>
        </w:rPr>
        <w:t xml:space="preserve">Diário Oficial da União</w:t>
      </w:r>
      <w:r>
        <w:rPr>
          <w:rFonts w:ascii="Arial" w:hAnsi="Arial"/>
          <w:b w:val="0"/>
          <w:color w:val="000000"/>
          <w:sz w:val="24"/>
        </w:rPr>
        <w:t xml:space="preserve">: Brasília, DF, 13 jan. 2005.</w:t>
      </w:r>
    </w:p>
    <w:p>
      <w:pPr>
        <w:pStyle w:val="BodyText"/>
        <w:spacing w:line="240" w:lineRule="auto" w:after="240" w:before="0"/>
        <w:jc w:val="left"/>
      </w:pPr>
      <w:r>
        <w:rPr>
          <w:rFonts w:ascii="Arial" w:hAnsi="Arial"/>
          <w:b w:val="0"/>
          <w:color w:val="000000"/>
          <w:sz w:val="24"/>
        </w:rPr>
        <w:t xml:space="preserve">BRASIL. Lei nº 15.367, de 30 de março de 2026. Altera a Lei nº 11.091/2005 para atualizar o Plano de Carreira dos Cargos Técnico-Administrativos em Educação.</w:t>
      </w:r>
    </w:p>
    <w:p>
      <w:pPr>
        <w:pStyle w:val="BodyText"/>
        <w:spacing w:line="240" w:lineRule="auto" w:after="240" w:before="0"/>
        <w:jc w:val="left"/>
      </w:pPr>
      <w:r>
        <w:rPr>
          <w:rFonts w:ascii="Arial" w:hAnsi="Arial"/>
          <w:b w:val="0"/>
          <w:color w:val="000000"/>
          <w:sz w:val="24"/>
        </w:rPr>
        <w:t xml:space="preserve">BRASIL. Decreto nº 13.048, de 3 de julho de 2026. Estabelece critérios e procedimentos para o Reconhecimento de Saberes e Competências (RSC) no âmbito do PCCTAE.</w:t>
      </w:r>
    </w:p>
    <w:p>
      <w:pPr>
        <w:pStyle w:val="BodyText"/>
        <w:spacing w:line="360" w:lineRule="auto"/>
        <w:jc w:val="both"/>
      </w:pPr>
      <w:r>
        <w:rPr>
          <w:rFonts w:ascii="Arial" w:hAnsi="Arial"/>
          <w:color w:val="000000"/>
          <w:sz w:val="24"/>
        </w:rPr>
        <w:t xml:space="preserve">PIRES, Alice Regina Pinto; SILVA, Bruna (org.).</w:t>
      </w:r>
      <w:r>
        <w:rPr>
          <w:rFonts w:ascii="Arial" w:hAnsi="Arial"/>
          <w:color w:val="000000"/>
          <w:sz w:val="24"/>
        </w:rPr>
        <w:t xml:space="preserve"> </w:t>
      </w:r>
      <w:r>
        <w:rPr>
          <w:rFonts w:ascii="Arial" w:hAnsi="Arial"/>
          <w:b/>
          <w:color w:val="000000"/>
          <w:sz w:val="24"/>
        </w:rPr>
        <w:t xml:space="preserve">Normalização de trabalhos acadêmicos</w:t>
      </w:r>
      <w:r>
        <w:rPr>
          <w:rFonts w:ascii="Arial" w:hAnsi="Arial"/>
          <w:color w:val="000000"/>
          <w:sz w:val="24"/>
        </w:rPr>
        <w:t xml:space="preserve">: atualizada conforme ABNTs NBR 14724/2024, NBR 6023/2018 e NBR 10520/2023. Viçosa, MG: UFV, Biblioteca Central, 2025.</w:t>
      </w:r>
    </w:p>
    <w:p>
      <w:pPr>
        <w:pStyle w:val="BodyText"/>
        <w:spacing w:line="360" w:lineRule="auto"/>
        <w:jc w:val="both"/>
      </w:pPr>
      <w:r>
        <w:rPr>
          <w:rFonts w:ascii="Arial" w:hAnsi="Arial"/>
          <w:color w:val="000000"/>
          <w:sz w:val="24"/>
        </w:rPr>
        <w:t xml:space="preserve">UNIVERSIDADE FEDERAL DE VIÇOSA. Pró-Reitoria de Gestão de Pessoas.</w:t>
      </w:r>
      <w:r>
        <w:rPr>
          <w:rFonts w:ascii="Arial" w:hAnsi="Arial"/>
          <w:color w:val="000000"/>
          <w:sz w:val="24"/>
        </w:rPr>
        <w:t xml:space="preserve"> </w:t>
      </w:r>
      <w:r>
        <w:rPr>
          <w:rFonts w:ascii="Arial" w:hAnsi="Arial"/>
          <w:b/>
          <w:color w:val="000000"/>
          <w:sz w:val="24"/>
        </w:rPr>
        <w:t xml:space="preserve">Relatório Detalhado RSC</w:t>
      </w:r>
      <w:r>
        <w:rPr>
          <w:rFonts w:ascii="Arial" w:hAnsi="Arial"/>
          <w:color w:val="000000"/>
          <w:sz w:val="24"/>
        </w:rPr>
        <w:t xml:space="preserve">: Ricardo Gandini Lugão. Viçosa, MG, 3 jun. 2026.</w:t>
      </w:r>
    </w:p>
    <w:sectPr>
      <w:headerReference w:type="default" r:id="rId9"/>
      <w:pgSz w:w="11906" w:h="16838"/>
      <w:pgMar w:left="1701" w:right="1134" w:top="1701"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r>
    <w:fldSimple w:instr=" PAGE ">
      <w:r>
        <w:rPr>
          <w:rFonts w:ascii="Arial" w:hAnsi="Arial"/>
          <w:sz w:val="20"/>
          <w:color w:val="000000"/>
        </w:rPr>
        <w:t>1</w:t>
      </w:r>
    </w:fldSimple>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RSC-PCCTAE — Ricardo Gandini Lugão</dc:title>
  <dc:creator>Ricardo Gandini Lugão</dc:creator>
  <cp:keywords/>
  <dcterms:created xsi:type="dcterms:W3CDTF">2026-07-08T15:29:45Z</dcterms:created>
  <dcterms:modified xsi:type="dcterms:W3CDTF">2026-07-08T15:29:45Z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