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E3A34"/>
          <w:sz w:val="30"/>
        </w:rPr>
        <w:t>RELATÓRIO TÉCNICO — DIAGNÓSTICO DE FISSURAS E TRINCAS</w:t>
      </w:r>
    </w:p>
    <w:p>
      <w:pPr>
        <w:jc w:val="center"/>
      </w:pPr>
      <w:r>
        <w:rPr>
          <w:b/>
          <w:color w:val="C9A24B"/>
          <w:sz w:val="18"/>
        </w:rPr>
        <w:t>Modelo Blindado · Escola de Obra · GD Engenharia e Perícia</w:t>
      </w:r>
    </w:p>
    <w:p>
      <w:pPr>
        <w:jc w:val="center"/>
      </w:pPr>
      <w:r>
        <w:rPr>
          <w:i/>
          <w:color w:val="6B6B63"/>
          <w:sz w:val="17"/>
        </w:rPr>
        <w:t>Padrão Diamante — o rigor de quem assina</w:t>
      </w:r>
    </w:p>
    <w:p>
      <w:r>
        <w:rPr>
          <w:i/>
          <w:color w:val="9C6500"/>
          <w:sz w:val="17"/>
        </w:rPr>
        <w:t>COMO USAR: substitua todo texto entre [colchetes] pelos dados do caso. Não apague as seções — a estrutura é a sua blindagem jurídica. Apague esta nota ao finalizar.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1. IDENTIFICAÇÃO</w:t>
      </w:r>
    </w:p>
    <w:p>
      <w:r>
        <w:rPr>
          <w:b/>
          <w:color w:val="0E3A34"/>
        </w:rPr>
        <w:t xml:space="preserve">Solicitante: </w:t>
      </w:r>
      <w:r>
        <w:rPr>
          <w:i/>
          <w:color w:val="9C6500"/>
        </w:rPr>
        <w:t>[nome / contato]</w:t>
      </w:r>
    </w:p>
    <w:p>
      <w:r>
        <w:rPr>
          <w:b/>
          <w:color w:val="0E3A34"/>
        </w:rPr>
        <w:t xml:space="preserve">Endereço do imóvel: </w:t>
      </w:r>
      <w:r>
        <w:rPr>
          <w:i/>
          <w:color w:val="9C6500"/>
        </w:rPr>
        <w:t>[logradouro, nº, cidade/UF]</w:t>
      </w:r>
    </w:p>
    <w:p>
      <w:r>
        <w:rPr>
          <w:b/>
          <w:color w:val="0E3A34"/>
        </w:rPr>
        <w:t xml:space="preserve">Tipo de imóvel / uso: </w:t>
      </w:r>
      <w:r>
        <w:rPr>
          <w:i/>
          <w:color w:val="9C6500"/>
        </w:rPr>
        <w:t>[residencial, sobrado, etc.]</w:t>
      </w:r>
    </w:p>
    <w:p>
      <w:r>
        <w:rPr>
          <w:b/>
          <w:color w:val="0E3A34"/>
        </w:rPr>
        <w:t xml:space="preserve">Data da vistoria: </w:t>
      </w:r>
      <w:r>
        <w:rPr>
          <w:i/>
          <w:color w:val="9C6500"/>
        </w:rPr>
        <w:t>[dd/mm/aaaa]</w:t>
      </w:r>
    </w:p>
    <w:p>
      <w:r>
        <w:rPr>
          <w:b/>
          <w:color w:val="0E3A34"/>
        </w:rPr>
        <w:t xml:space="preserve">Nº do caso / OS: </w:t>
      </w:r>
      <w:r>
        <w:rPr>
          <w:i/>
          <w:color w:val="9C6500"/>
        </w:rPr>
        <w:t>[identificador interno]</w:t>
      </w:r>
    </w:p>
    <w:p>
      <w:r>
        <w:rPr>
          <w:b/>
          <w:color w:val="0E3A34"/>
        </w:rPr>
        <w:t xml:space="preserve">Responsável técnico: </w:t>
      </w:r>
      <w:r>
        <w:rPr>
          <w:i/>
          <w:color w:val="9C6500"/>
        </w:rPr>
        <w:t>[Gustavo Domingos — Eng. Civil, CREA-PR 140.964-D]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2. OBJETO, ESCOPO E LIMITAÇÕES</w:t>
      </w:r>
    </w:p>
    <w:p>
      <w:r>
        <w:t>Objeto: diagnóstico do quadro fissuratório observado, quanto à origem provável, atividade e gravidade, com recomendação de encaminhamento.</w:t>
      </w:r>
    </w:p>
    <w:p>
      <w:r>
        <w:rPr>
          <w:b/>
          <w:color w:val="0E3A34"/>
        </w:rPr>
        <w:t xml:space="preserve">Escopo contratado: </w:t>
      </w:r>
      <w:r>
        <w:rPr>
          <w:i/>
          <w:color w:val="9C6500"/>
        </w:rPr>
        <w:t>[descrever o que foi solicitado]</w:t>
      </w:r>
    </w:p>
    <w:p>
      <w:r>
        <w:rPr>
          <w:b/>
        </w:rPr>
        <w:t xml:space="preserve">Limitações: </w:t>
      </w:r>
    </w:p>
    <w:p>
      <w:r>
        <w:t>Vistoria de caráter [visual/cautelar], sem ensaios destrutivos, salvo indicação em contrário. As hipóteses de origem são baseadas em inspeção visual e medição de abertura; a confirmação de causas estruturais ou de fundação pode exigir ensaios/investigações específicas, indicados nas recomendações. Este relatório reflete a condição observada na data da vistoria.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3. METODOLOGIA</w:t>
      </w:r>
    </w:p>
    <w:p>
      <w:pPr>
        <w:pStyle w:val="ListBullet"/>
      </w:pPr>
      <w:r>
        <w:t>Inspeção do geral ao particular (contexto → detalhe), conforme boa prática de inspeção predial (NBR 16747:2020).</w:t>
      </w:r>
    </w:p>
    <w:p>
      <w:pPr>
        <w:pStyle w:val="ListBullet"/>
      </w:pPr>
      <w:r>
        <w:t>Caracterização de cada fissura: orientação, localização, abertura medida com fissurômetro e registro fotográfico com escala.</w:t>
      </w:r>
    </w:p>
    <w:p>
      <w:pPr>
        <w:pStyle w:val="ListBullet"/>
      </w:pPr>
      <w:r>
        <w:t>Avaliação de atividade por monitoramento (selo de gesso/comparador) quando aplicável.</w:t>
      </w:r>
    </w:p>
    <w:p>
      <w:pPr>
        <w:pStyle w:val="ListBullet"/>
      </w:pPr>
      <w:r>
        <w:t>Enquadramento de gravidade e encaminhamento conforme critério técnico (planilha e fluxograma do método).</w:t>
      </w:r>
    </w:p>
    <w:p>
      <w:r>
        <w:rPr>
          <w:b/>
          <w:color w:val="0E3A34"/>
        </w:rPr>
        <w:t xml:space="preserve">Normas de referência: </w:t>
      </w:r>
      <w:r>
        <w:t>NBR 6118:2023 (estruturas de concreto), NBR 6122:2019 (fundações), NBR 16747:2020 (inspeção predial), NBR 13752:2024 (perícias de engenharia). [Confirmar edição vigente na data.]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4. REGISTRO FOTOGRÁFICO PADRONIZADO</w:t>
      </w:r>
    </w:p>
    <w:p>
      <w:r>
        <w:t>Cada fissura numerada corresponde ao mapa fissuratório (item 5). Legenda: nº, local, orientação, abertura.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i/>
                <w:color w:val="9C6500"/>
                <w:sz w:val="17"/>
              </w:rPr>
              <w:t>[INSERIR FOTO]</w:t>
              <w:br/>
              <w:t>[Foto nº __ — local / orientação / abertura mm]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i/>
                <w:color w:val="9C6500"/>
                <w:sz w:val="17"/>
              </w:rPr>
              <w:t>[INSERIR FOTO]</w:t>
              <w:br/>
              <w:t>[Foto nº __ — local / orientação / abertura mm]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>
              <w:rPr>
                <w:i/>
                <w:color w:val="9C6500"/>
                <w:sz w:val="17"/>
              </w:rPr>
              <w:t>[INSERIR FOTO]</w:t>
              <w:br/>
              <w:t>[Foto nº __ — local / orientação / abertura mm]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i/>
                <w:color w:val="9C6500"/>
                <w:sz w:val="17"/>
              </w:rPr>
              <w:t>[INSERIR FOTO]</w:t>
              <w:br/>
              <w:t>[Foto nº __ — local / orientação / abertura mm]</w:t>
            </w:r>
          </w:p>
        </w:tc>
      </w:tr>
    </w:tbl>
    <w:p>
      <w:r>
        <w:rPr>
          <w:i/>
        </w:rPr>
        <w:t>(Duplique a tabela conforme o número de fissuras registradas.)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5. MAPA FISSURATÓRIO E CARACTERIZAÇÃO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0E3A34"/>
          </w:tcPr>
          <w:p>
            <w:r>
              <w:rPr>
                <w:b/>
                <w:color w:val="F5EFE0"/>
                <w:sz w:val="17"/>
              </w:rPr>
              <w:t>Nº</w:t>
            </w:r>
          </w:p>
        </w:tc>
        <w:tc>
          <w:tcPr>
            <w:tcW w:type="dxa" w:w="1234"/>
            <w:shd w:val="clear" w:color="auto" w:fill="0E3A34"/>
          </w:tcPr>
          <w:p>
            <w:r>
              <w:rPr>
                <w:b/>
                <w:color w:val="F5EFE0"/>
                <w:sz w:val="17"/>
              </w:rPr>
              <w:t>Local/Elemento</w:t>
            </w:r>
          </w:p>
        </w:tc>
        <w:tc>
          <w:tcPr>
            <w:tcW w:type="dxa" w:w="1234"/>
            <w:shd w:val="clear" w:color="auto" w:fill="0E3A34"/>
          </w:tcPr>
          <w:p>
            <w:r>
              <w:rPr>
                <w:b/>
                <w:color w:val="F5EFE0"/>
                <w:sz w:val="17"/>
              </w:rPr>
              <w:t>Orient.</w:t>
            </w:r>
          </w:p>
        </w:tc>
        <w:tc>
          <w:tcPr>
            <w:tcW w:type="dxa" w:w="1234"/>
            <w:shd w:val="clear" w:color="auto" w:fill="0E3A34"/>
          </w:tcPr>
          <w:p>
            <w:r>
              <w:rPr>
                <w:b/>
                <w:color w:val="F5EFE0"/>
                <w:sz w:val="17"/>
              </w:rPr>
              <w:t>Abertura (mm)</w:t>
            </w:r>
          </w:p>
        </w:tc>
        <w:tc>
          <w:tcPr>
            <w:tcW w:type="dxa" w:w="1234"/>
            <w:shd w:val="clear" w:color="auto" w:fill="0E3A34"/>
          </w:tcPr>
          <w:p>
            <w:r>
              <w:rPr>
                <w:b/>
                <w:color w:val="F5EFE0"/>
                <w:sz w:val="17"/>
              </w:rPr>
              <w:t>Origem (hipótese)</w:t>
            </w:r>
          </w:p>
        </w:tc>
        <w:tc>
          <w:tcPr>
            <w:tcW w:type="dxa" w:w="1234"/>
            <w:shd w:val="clear" w:color="auto" w:fill="0E3A34"/>
          </w:tcPr>
          <w:p>
            <w:r>
              <w:rPr>
                <w:b/>
                <w:color w:val="F5EFE0"/>
                <w:sz w:val="17"/>
              </w:rPr>
              <w:t>Situação</w:t>
            </w:r>
          </w:p>
        </w:tc>
        <w:tc>
          <w:tcPr>
            <w:tcW w:type="dxa" w:w="1234"/>
            <w:shd w:val="clear" w:color="auto" w:fill="0E3A34"/>
          </w:tcPr>
          <w:p>
            <w:r>
              <w:rPr>
                <w:b/>
                <w:color w:val="F5EFE0"/>
                <w:sz w:val="17"/>
              </w:rPr>
              <w:t>Gravidade</w:t>
            </w:r>
          </w:p>
        </w:tc>
      </w:tr>
      <w:tr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</w:tr>
      <w:tr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</w:tr>
      <w:tr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  <w:tc>
          <w:tcPr>
            <w:tcW w:type="dxa" w:w="1234"/>
          </w:tcPr>
          <w:p>
            <w:r>
              <w:rPr>
                <w:color w:val="9C6500"/>
                <w:sz w:val="17"/>
              </w:rPr>
              <w:t>[ ]</w:t>
            </w:r>
          </w:p>
        </w:tc>
      </w:tr>
    </w:tbl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6. ANÁLISE E CAUSA RAIZ</w:t>
      </w:r>
    </w:p>
    <w:p>
      <w:r>
        <w:t>Descreva o padrão dominante do quadro fissuratório e a causa raiz mais provável, distinguindo sintoma de causa. Fundamente com os achados dos itens 4 e 5.</w:t>
      </w:r>
    </w:p>
    <w:p>
      <w:r>
        <w:rPr>
          <w:b/>
          <w:color w:val="0E3A34"/>
        </w:rPr>
        <w:t xml:space="preserve">Padrão dominante observado: </w:t>
      </w:r>
      <w:r>
        <w:rPr>
          <w:i/>
          <w:color w:val="9C6500"/>
        </w:rPr>
        <w:t>[ex.: fissuras diagonais concordantes apontando para o canto X]</w:t>
      </w:r>
    </w:p>
    <w:p>
      <w:r>
        <w:rPr>
          <w:b/>
          <w:color w:val="0E3A34"/>
        </w:rPr>
        <w:t xml:space="preserve">Causa raiz provável: </w:t>
      </w:r>
      <w:r>
        <w:rPr>
          <w:i/>
          <w:color w:val="9C6500"/>
        </w:rPr>
        <w:t>[ex.: recalque diferencial de fundação a investigar (NBR 6122:2019)]</w:t>
      </w:r>
    </w:p>
    <w:p>
      <w:r>
        <w:rPr>
          <w:b/>
          <w:color w:val="0E3A34"/>
        </w:rPr>
        <w:t xml:space="preserve">Causas secundárias / associadas: </w:t>
      </w:r>
      <w:r>
        <w:rPr>
          <w:i/>
          <w:color w:val="9C6500"/>
        </w:rPr>
        <w:t>[ex.: umidade ascendente na base (NBR 9575:2010)]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7. RECOMENDAÇÕES (com prazo e responsável)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C5A4E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1C5A4E"/>
          </w:tcPr>
          <w:p>
            <w:r>
              <w:rPr>
                <w:b/>
                <w:color w:val="FFFFFF"/>
                <w:sz w:val="18"/>
              </w:rPr>
              <w:t>Recomendação</w:t>
            </w:r>
          </w:p>
        </w:tc>
        <w:tc>
          <w:tcPr>
            <w:tcW w:type="dxa" w:w="1728"/>
            <w:shd w:val="clear" w:color="auto" w:fill="1C5A4E"/>
          </w:tcPr>
          <w:p>
            <w:r>
              <w:rPr>
                <w:b/>
                <w:color w:val="FFFFFF"/>
                <w:sz w:val="18"/>
              </w:rPr>
              <w:t>Prazo</w:t>
            </w:r>
          </w:p>
        </w:tc>
        <w:tc>
          <w:tcPr>
            <w:tcW w:type="dxa" w:w="1728"/>
            <w:shd w:val="clear" w:color="auto" w:fill="1C5A4E"/>
          </w:tcPr>
          <w:p>
            <w:r>
              <w:rPr>
                <w:b/>
                <w:color w:val="FFFFFF"/>
                <w:sz w:val="18"/>
              </w:rPr>
              <w:t>Responsável</w:t>
            </w:r>
          </w:p>
        </w:tc>
        <w:tc>
          <w:tcPr>
            <w:tcW w:type="dxa" w:w="1728"/>
            <w:shd w:val="clear" w:color="auto" w:fill="1C5A4E"/>
          </w:tcPr>
          <w:p>
            <w:r>
              <w:rPr>
                <w:b/>
                <w:color w:val="FFFFFF"/>
                <w:sz w:val="18"/>
              </w:rPr>
              <w:t>Prioridade</w:t>
            </w:r>
          </w:p>
        </w:tc>
      </w:tr>
      <w:tr>
        <w:tc>
          <w:tcPr>
            <w:tcW w:type="dxa" w:w="1728"/>
          </w:tcPr>
          <w:p>
            <w:r>
              <w:rPr>
                <w:color w:val="9C6500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[Instalar monitoramento (selo de gesso) nas fissuras 1 a 3]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[imediato]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[eng. responsável]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[Alta/Média/Baixa]</w:t>
            </w:r>
          </w:p>
        </w:tc>
      </w:tr>
      <w:tr>
        <w:tc>
          <w:tcPr>
            <w:tcW w:type="dxa" w:w="1728"/>
          </w:tcPr>
          <w:p>
            <w:r>
              <w:rPr>
                <w:color w:val="9C6500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[Investigação geotécnica/de fundações]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[__ dias]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[especialista]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</w:tr>
      <w:tr>
        <w:tc>
          <w:tcPr>
            <w:tcW w:type="dxa" w:w="1728"/>
          </w:tcPr>
          <w:p>
            <w:r>
              <w:rPr>
                <w:color w:val="9C6500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[Tratar origem de umidade antes do acabamento]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[__ dias]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  <w:tc>
          <w:tcPr>
            <w:tcW w:type="dxa" w:w="1728"/>
          </w:tcPr>
          <w:p>
            <w:r>
              <w:rPr>
                <w:color w:val="9C6500"/>
                <w:sz w:val="18"/>
              </w:rPr>
              <w:t>[ ]</w:t>
            </w:r>
          </w:p>
        </w:tc>
      </w:tr>
    </w:tbl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8. ENCAMINHAMENTOS E CONCLUSÃO</w:t>
      </w:r>
    </w:p>
    <w:p>
      <w:r>
        <w:t>Síntese objetiva do diagnóstico e do próximo passo. Evite promessas de resultado; descreva capacidades e recomendações técnicas.</w:t>
      </w:r>
    </w:p>
    <w:p>
      <w:r>
        <w:rPr>
          <w:b/>
          <w:color w:val="0E3A34"/>
        </w:rPr>
        <w:t xml:space="preserve">Conclusão: </w:t>
      </w:r>
      <w:r>
        <w:rPr>
          <w:i/>
          <w:color w:val="9C6500"/>
        </w:rPr>
        <w:t>[ex.: quadro compatível com recalque diferencial ativo; recomenda-se investigação e monitoramento; havendo evolução, avaliar escoramento/interdição]</w:t>
      </w:r>
    </w:p>
    <w:p>
      <w:pPr>
        <w:spacing w:before="200" w:after="60"/>
      </w:pPr>
      <w:r>
        <w:rPr>
          <w:rFonts w:ascii="Georgia" w:hAnsi="Georgia"/>
          <w:b/>
          <w:color w:val="0E3A34"/>
          <w:sz w:val="26"/>
        </w:rPr>
        <w:t>9. RESPONSABILIDADE TÉCNICA</w:t>
      </w:r>
    </w:p>
    <w:p/>
    <w:p>
      <w:pPr>
        <w:jc w:val="center"/>
      </w:pPr>
      <w:r>
        <w:rPr>
          <w:color w:val="6B6B63"/>
        </w:rPr>
        <w:t>_______________________________________________</w:t>
        <w:br/>
      </w:r>
      <w:r>
        <w:rPr>
          <w:b/>
          <w:color w:val="0E3A34"/>
        </w:rPr>
        <w:t>Gustavo Domingos — Engenheiro Civil</w:t>
        <w:br/>
        <w:t>CREA-PR 140.964-D · CREA-SP 5071652757</w:t>
        <w:br/>
      </w:r>
      <w:r>
        <w:rPr>
          <w:color w:val="6B6B63"/>
        </w:rPr>
        <w:t>Perito judicial atuante em processos do TJ-PR e do TJ-SP  [VALIDAR redação — D1]</w:t>
      </w:r>
    </w:p>
    <w:p>
      <w:pPr>
        <w:jc w:val="center"/>
      </w:pPr>
      <w:r>
        <w:rPr>
          <w:color w:val="6B6B63"/>
          <w:sz w:val="16"/>
        </w:rPr>
        <w:t>Escola de Obra · GD Engenharia e Perícia · engenhariagd.com.br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