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b w:val="1"/>
          <w:sz w:val="48"/>
          <w:szCs w:val="48"/>
          <w:rtl w:val="0"/>
        </w:rPr>
        <w:t xml:space="preserve"> FONOAUDIOLOGIA                         </w:t>
      </w:r>
      <w:r w:rsidDel="00000000" w:rsidR="00000000" w:rsidRPr="00000000">
        <w:rPr>
          <w:rtl w:val="0"/>
        </w:rPr>
        <w:t xml:space="preserve">                                                            </w:t>
      </w:r>
      <w:r w:rsidDel="00000000" w:rsidR="00000000" w:rsidRPr="00000000">
        <w:rPr/>
        <w:drawing>
          <wp:inline distB="0" distT="0" distL="0" distR="0">
            <wp:extent cx="1319787" cy="132283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9787" cy="13228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A fonoaudiologia pode estar presente em todas as fases da nossa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vida, com o objetivo de proporcionar qualidade nos aspectos relacionados à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comunicação. Porém, no primeiro Ciclo da Vida (infância) é onde possui sua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maior contribuição auxiliando no diagnóstico e reabilitação voltada à fala,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linguagem oral e escrita, leitura, voz, deglutição, motricidade orofacial e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audição, contribuindo com a intervenção precoce logo após o nascimento e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evitando problemas que possam prejudicar a criança no futuro.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Ao longo da primeira infância é onde possuímos nosso “Pico de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Desenvolvimento” adquirimos novas experiências todos os dias e durante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esse caminho sinais e sintomas podem aparecer, desde os mais graves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causados por problemas neurológicos até os mais comuns como, por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exemplo, uso prolongado de chupeta e mamadeira que podem alterar a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fluência e inteligibilidade da fala e futuramente causar dificuldades que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afetarão o desenvolvimento pedagógico das crianças, como as dificuldades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de leitura/escrita. Portanto, ao menor sinal de alterações na comunicação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procure um Fonoaudiólogo e agende sua avaliação!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Pamela Trindade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Fonoaudióloga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CRFa 3-10358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-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