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Nesta atividade a equipe deve preparar um diagrama lógico que esteja normalizado na F3.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 estrutura será de um banco para a biblioteca do Sesi Referência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Lembre-se de trazer no mínimo: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Livros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Autores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Gêneros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Leitores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Bibliotecários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Repositores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Estante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Estoque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Salas de Estudo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Enriqueça essas entidades com no mínimo 3 atributos em cada. Fique atento para os atributos e as cardinalidades.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REGRA DE NEGÓCIOS: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05"/>
        <w:tblGridChange w:id="0">
          <w:tblGrid>
            <w:gridCol w:w="2295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A estante pode estar vazia ou ser separada por mais de um gênero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O autor deve escrever apenas um livro de uma vez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Para o livro existir não precisa existir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Para ser leitor precisa ler no mínimo um livro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O livro pode ter mais de um gênero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O gênero não precisa de um livro para existir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RN007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  <w:rtl w:val="0"/>
              </w:rPr>
              <w:t xml:space="preserve">O bibliotecário pode não estar catalogando livro naquele momento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