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rPr>
          <w:trHeight w:val="280" w:hRule="atLeast"/>
        </w:trPr>
        <w:tc>
          <w:tcPr>
            <w:tcW w:type="dxa" w:w="9360"/>
            <w:gridSpan w:val="1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A8A8A8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By host group</w:t>
            </w:r>
          </w:p>
        </w:tc>
      </w:tr>
      <w:tr>
        <w:trPr>
          <w:trHeight w:val="260" w:hRule="atLeast"/>
        </w:trPr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12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PB2</w:t>
            </w:r>
          </w:p>
        </w:tc>
        <w:tc>
          <w:tcPr>
            <w:tcW w:type="dxa" w:w="1512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PB1</w:t>
            </w:r>
          </w:p>
        </w:tc>
        <w:tc>
          <w:tcPr>
            <w:tcW w:type="dxa" w:w="1512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PA</w:t>
            </w:r>
          </w:p>
        </w:tc>
        <w:tc>
          <w:tcPr>
            <w:tcW w:type="dxa" w:w="1512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NP</w:t>
            </w:r>
          </w:p>
        </w:tc>
        <w:tc>
          <w:tcPr>
            <w:tcW w:type="dxa" w:w="1512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MP</w:t>
            </w:r>
          </w:p>
        </w:tc>
      </w:tr>
      <w:tr>
        <w:trPr>
          <w:trHeight w:val="24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Host group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Waterfowl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Shorebirds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Gulls/Seabirds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Terrestrial/Domestic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Environmental/Other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159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98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158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99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154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103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163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94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165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92</w:t>
            </w:r>
          </w:p>
        </w:tc>
      </w:tr>
      <w:tr>
        <w:trPr>
          <w:trHeight w:val="280" w:hRule="atLeast"/>
        </w:trPr>
        <w:tc>
          <w:tcPr>
            <w:tcW w:type="dxa" w:w="9360"/>
            <w:gridSpan w:val="1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A8A8A8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By country</w:t>
            </w:r>
          </w:p>
        </w:tc>
      </w:tr>
      <w:tr>
        <w:trPr>
          <w:trHeight w:val="260" w:hRule="atLeast"/>
        </w:trPr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12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PB2</w:t>
            </w:r>
          </w:p>
        </w:tc>
        <w:tc>
          <w:tcPr>
            <w:tcW w:type="dxa" w:w="1512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PB1</w:t>
            </w:r>
          </w:p>
        </w:tc>
        <w:tc>
          <w:tcPr>
            <w:tcW w:type="dxa" w:w="1512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PA</w:t>
            </w:r>
          </w:p>
        </w:tc>
        <w:tc>
          <w:tcPr>
            <w:tcW w:type="dxa" w:w="1512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NP</w:t>
            </w:r>
          </w:p>
        </w:tc>
        <w:tc>
          <w:tcPr>
            <w:tcW w:type="dxa" w:w="1512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7"/>
                <w:szCs w:val="17"/>
              </w:rPr>
              <w:t xml:space="preserve">MP</w:t>
            </w:r>
          </w:p>
        </w:tc>
      </w:tr>
      <w:tr>
        <w:trPr>
          <w:trHeight w:val="24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Country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0D0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Argentina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Bolivia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Brazil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Chile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Colombia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Peru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trHeight w:val="250" w:hRule="atLeast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ind w:left="8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159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97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158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98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154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102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163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93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165</w:t>
            </w:r>
          </w:p>
        </w:tc>
        <w:tc>
          <w:tcPr>
            <w:tcW w:type="dxa" w:w="75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EBEB" w:color="auto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91</w:t>
            </w:r>
          </w:p>
        </w:tc>
      </w:tr>
    </w:tbl>
    <w:p>
      <w:pPr>
        <w:spacing w:before="120"/>
      </w:pPr>
      <w:r>
        <w:rPr>
          <w:rFonts w:ascii="Palatino Linotype" w:cs="Palatino Linotype" w:eastAsia="Palatino Linotype" w:hAnsi="Palatino Linotype"/>
          <w:i/>
          <w:iCs/>
          <w:sz w:val="15"/>
          <w:szCs w:val="15"/>
        </w:rPr>
        <w:t xml:space="preserve">S = Southern Cone phylogroup; N = Equatorial/Northern phylogroup. Counts represent the number of isolates assigned to each phylogroup in the maximum-likelihood tree for each gene segment. NS excluded from all analyses (A/B allelic structure).</w:t>
      </w:r>
    </w:p>
    <w:sectPr>
      <w:pgSz w:w="16838" w:h="11906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2026-09-24T14:02:20.016Z</dcterms:created>
  <dcterms:modified xsi:type="dcterms:W3CDTF">2026-09-24T14:02:20.025Z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