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19A" w:rsidRPr="000C019A" w:rsidRDefault="000C019A" w:rsidP="000C01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pt-BR"/>
        </w:rPr>
      </w:pPr>
      <w:proofErr w:type="gramStart"/>
      <w:r w:rsidRPr="000C019A">
        <w:rPr>
          <w:rFonts w:ascii="Arial" w:eastAsia="Times New Roman" w:hAnsi="Arial" w:cs="Arial"/>
          <w:b/>
          <w:bCs/>
          <w:lang w:eastAsia="pt-BR"/>
        </w:rPr>
        <w:t>ATA</w:t>
      </w:r>
      <w:proofErr w:type="gramEnd"/>
      <w:r w:rsidRPr="000C019A">
        <w:rPr>
          <w:rFonts w:ascii="Arial" w:eastAsia="Times New Roman" w:hAnsi="Arial" w:cs="Arial"/>
          <w:b/>
          <w:bCs/>
          <w:lang w:eastAsia="pt-BR"/>
        </w:rPr>
        <w:t xml:space="preserve"> NOTARIAL DE ADJUDICAÇÃO COMPULSÓRIA EXTRAJUDICIAL, DOCUMENTOS.</w:t>
      </w:r>
    </w:p>
    <w:p w:rsidR="000C019A" w:rsidRPr="000C019A" w:rsidRDefault="000C019A" w:rsidP="000C019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(Fundamento: Art. 216-B da Lei 6.015/73 e Provimento 149/2023 CNJ)</w:t>
      </w:r>
    </w:p>
    <w:p w:rsidR="000C019A" w:rsidRPr="000C019A" w:rsidRDefault="000C019A" w:rsidP="000C019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1. Qualificação das Partes (Solicitantes e Requeridos)</w:t>
      </w:r>
    </w:p>
    <w:p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Solicitantes:</w:t>
      </w:r>
      <w:r w:rsidRPr="000C019A">
        <w:rPr>
          <w:rFonts w:ascii="Arial" w:eastAsia="Times New Roman" w:hAnsi="Arial" w:cs="Arial"/>
          <w:lang w:eastAsia="pt-BR"/>
        </w:rPr>
        <w:t xml:space="preserve"> RG, CPF (ou CNH), profissão, e-mail e endereço completo.</w:t>
      </w:r>
    </w:p>
    <w:p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Estado Civil:</w:t>
      </w:r>
      <w:r w:rsidRPr="000C019A">
        <w:rPr>
          <w:rFonts w:ascii="Arial" w:eastAsia="Times New Roman" w:hAnsi="Arial" w:cs="Arial"/>
          <w:lang w:eastAsia="pt-BR"/>
        </w:rPr>
        <w:t xml:space="preserve"> Certidão de Casamento ou Nascimento (atualizada em 90 dias). Se houver pacto antenupcial, </w:t>
      </w:r>
      <w:proofErr w:type="gramStart"/>
      <w:r w:rsidRPr="000C019A">
        <w:rPr>
          <w:rFonts w:ascii="Arial" w:eastAsia="Times New Roman" w:hAnsi="Arial" w:cs="Arial"/>
          <w:lang w:eastAsia="pt-BR"/>
        </w:rPr>
        <w:t>trazer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 a escritura e o registro.</w:t>
      </w:r>
    </w:p>
    <w:p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Cônjuges/Companheiros:</w:t>
      </w:r>
      <w:r w:rsidRPr="000C019A">
        <w:rPr>
          <w:rFonts w:ascii="Arial" w:eastAsia="Times New Roman" w:hAnsi="Arial" w:cs="Arial"/>
          <w:lang w:eastAsia="pt-BR"/>
        </w:rPr>
        <w:t xml:space="preserve"> Qualificação completa (necessário para o requerimento e anuência, dependendo do regime de bens).</w:t>
      </w:r>
    </w:p>
    <w:p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Proprietários (Requeridos):</w:t>
      </w:r>
      <w:r w:rsidRPr="000C019A">
        <w:rPr>
          <w:rFonts w:ascii="Arial" w:eastAsia="Times New Roman" w:hAnsi="Arial" w:cs="Arial"/>
          <w:lang w:eastAsia="pt-BR"/>
        </w:rPr>
        <w:t xml:space="preserve"> Qualificação completa conforme consta na matrícula.</w:t>
      </w:r>
    </w:p>
    <w:p w:rsidR="000C019A" w:rsidRPr="000C019A" w:rsidRDefault="000C019A" w:rsidP="000C01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Sucessores (se houver falecimento):</w:t>
      </w:r>
      <w:r w:rsidRPr="000C019A">
        <w:rPr>
          <w:rFonts w:ascii="Arial" w:eastAsia="Times New Roman" w:hAnsi="Arial" w:cs="Arial"/>
          <w:lang w:eastAsia="pt-BR"/>
        </w:rPr>
        <w:t xml:space="preserve"> Certidão de Óbito e prova da sucessão (Inventário/Partilha) para comprovar quem são os atuais responsáveis pela obrigação de fazer.</w:t>
      </w:r>
    </w:p>
    <w:p w:rsidR="000C019A" w:rsidRPr="000C019A" w:rsidRDefault="000C019A" w:rsidP="000C019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2. Assistência Jurídica (Obrigatória)</w:t>
      </w:r>
    </w:p>
    <w:p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Advogado(a):</w:t>
      </w:r>
      <w:r w:rsidRPr="000C019A">
        <w:rPr>
          <w:rFonts w:ascii="Arial" w:eastAsia="Times New Roman" w:hAnsi="Arial" w:cs="Arial"/>
          <w:lang w:eastAsia="pt-BR"/>
        </w:rPr>
        <w:t xml:space="preserve"> Carteira da OAB, CPF e endereço profissional.</w:t>
      </w:r>
    </w:p>
    <w:p w:rsidR="000C019A" w:rsidRPr="000C019A" w:rsidRDefault="000C019A" w:rsidP="000C01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Procuração:</w:t>
      </w:r>
      <w:r w:rsidRPr="000C019A">
        <w:rPr>
          <w:rFonts w:ascii="Arial" w:eastAsia="Times New Roman" w:hAnsi="Arial" w:cs="Arial"/>
          <w:lang w:eastAsia="pt-BR"/>
        </w:rPr>
        <w:t xml:space="preserve"> Instrumento de mandato com </w:t>
      </w:r>
      <w:r w:rsidRPr="000C019A">
        <w:rPr>
          <w:rFonts w:ascii="Arial" w:eastAsia="Times New Roman" w:hAnsi="Arial" w:cs="Arial"/>
          <w:b/>
          <w:bCs/>
          <w:lang w:eastAsia="pt-BR"/>
        </w:rPr>
        <w:t>poderes específicos</w:t>
      </w:r>
      <w:r w:rsidRPr="000C019A">
        <w:rPr>
          <w:rFonts w:ascii="Arial" w:eastAsia="Times New Roman" w:hAnsi="Arial" w:cs="Arial"/>
          <w:lang w:eastAsia="pt-BR"/>
        </w:rPr>
        <w:t xml:space="preserve"> para o pedido de adjudicação compulsória extrajudicial (Art. 440-G, VI).</w:t>
      </w:r>
    </w:p>
    <w:p w:rsidR="000C019A" w:rsidRPr="000C019A" w:rsidRDefault="000C019A" w:rsidP="000C019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3. O Imóvel e o Título</w:t>
      </w:r>
    </w:p>
    <w:p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Certidão de Matrícula/Transcrição:</w:t>
      </w:r>
      <w:r w:rsidRPr="000C019A">
        <w:rPr>
          <w:rFonts w:ascii="Arial" w:eastAsia="Times New Roman" w:hAnsi="Arial" w:cs="Arial"/>
          <w:lang w:eastAsia="pt-BR"/>
        </w:rPr>
        <w:t xml:space="preserve"> Atualizada (máximo 30 dias) com negativa de ônus e alienações.</w:t>
      </w:r>
    </w:p>
    <w:p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Instrumento de Promessa:</w:t>
      </w:r>
      <w:r w:rsidRPr="000C019A">
        <w:rPr>
          <w:rFonts w:ascii="Arial" w:eastAsia="Times New Roman" w:hAnsi="Arial" w:cs="Arial"/>
          <w:lang w:eastAsia="pt-BR"/>
        </w:rPr>
        <w:t xml:space="preserve"> Contrato particular de compra e venda, cessão ou sucessão (original ou cópia autenticada).</w:t>
      </w:r>
    </w:p>
    <w:p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Cadeia de Transmissões:</w:t>
      </w:r>
      <w:r w:rsidRPr="000C019A">
        <w:rPr>
          <w:rFonts w:ascii="Arial" w:eastAsia="Times New Roman" w:hAnsi="Arial" w:cs="Arial"/>
          <w:lang w:eastAsia="pt-BR"/>
        </w:rPr>
        <w:t xml:space="preserve"> Se o solicitante não comprou direto do dono da matrícula, apresentar todos os contratos intermediários (cessões) que provam a continuidade.</w:t>
      </w:r>
    </w:p>
    <w:p w:rsidR="000C019A" w:rsidRPr="000C019A" w:rsidRDefault="000C019A" w:rsidP="000C01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Certidão de Valor Venal :</w:t>
      </w:r>
      <w:r w:rsidRPr="000C019A">
        <w:rPr>
          <w:rFonts w:ascii="Arial" w:eastAsia="Times New Roman" w:hAnsi="Arial" w:cs="Arial"/>
          <w:lang w:eastAsia="pt-BR"/>
        </w:rPr>
        <w:t xml:space="preserve"> Do ano corrente ou guia de lançamento do IPTU/ITR.</w:t>
      </w:r>
    </w:p>
    <w:p w:rsidR="000C019A" w:rsidRPr="000C019A" w:rsidRDefault="000C019A" w:rsidP="000C019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4. Prova de Quitação e Inadimplemento</w:t>
      </w:r>
    </w:p>
    <w:p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Prova de Pagamento:</w:t>
      </w:r>
      <w:r w:rsidRPr="000C019A">
        <w:rPr>
          <w:rFonts w:ascii="Arial" w:eastAsia="Times New Roman" w:hAnsi="Arial" w:cs="Arial"/>
          <w:lang w:eastAsia="pt-BR"/>
        </w:rPr>
        <w:t xml:space="preserve"> Recibos, extratos bancários, cheques compensados ou </w:t>
      </w:r>
      <w:r w:rsidRPr="000C019A">
        <w:rPr>
          <w:rFonts w:ascii="Arial" w:eastAsia="Times New Roman" w:hAnsi="Arial" w:cs="Arial"/>
          <w:b/>
          <w:bCs/>
          <w:lang w:eastAsia="pt-BR"/>
        </w:rPr>
        <w:t>Termo de Quitação</w:t>
      </w:r>
      <w:r w:rsidRPr="000C019A">
        <w:rPr>
          <w:rFonts w:ascii="Arial" w:eastAsia="Times New Roman" w:hAnsi="Arial" w:cs="Arial"/>
          <w:lang w:eastAsia="pt-BR"/>
        </w:rPr>
        <w:t xml:space="preserve"> assinado pelo vendedor (com firma reconhecida).</w:t>
      </w:r>
    </w:p>
    <w:p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Notificação Extrajudicial (Essencial):</w:t>
      </w:r>
      <w:r w:rsidRPr="000C019A">
        <w:rPr>
          <w:rFonts w:ascii="Arial" w:eastAsia="Times New Roman" w:hAnsi="Arial" w:cs="Arial"/>
          <w:lang w:eastAsia="pt-BR"/>
        </w:rPr>
        <w:t xml:space="preserve"> Comprovação de que o vendedor (ou sucessores) foi notificado pelo Registro de Imóveis ou RTD e </w:t>
      </w:r>
      <w:r w:rsidRPr="000C019A">
        <w:rPr>
          <w:rFonts w:ascii="Arial" w:eastAsia="Times New Roman" w:hAnsi="Arial" w:cs="Arial"/>
          <w:b/>
          <w:bCs/>
          <w:lang w:eastAsia="pt-BR"/>
        </w:rPr>
        <w:t>não outorgou a escritura no prazo de 15 dias</w:t>
      </w:r>
      <w:r w:rsidRPr="000C019A">
        <w:rPr>
          <w:rFonts w:ascii="Arial" w:eastAsia="Times New Roman" w:hAnsi="Arial" w:cs="Arial"/>
          <w:lang w:eastAsia="pt-BR"/>
        </w:rPr>
        <w:t xml:space="preserve"> (Art. 216-B, §1º, II).</w:t>
      </w:r>
    </w:p>
    <w:p w:rsidR="000C019A" w:rsidRPr="000C019A" w:rsidRDefault="000C019A" w:rsidP="000C0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Prova de Recusa/Óbice:</w:t>
      </w:r>
      <w:r w:rsidRPr="000C019A">
        <w:rPr>
          <w:rFonts w:ascii="Arial" w:eastAsia="Times New Roman" w:hAnsi="Arial" w:cs="Arial"/>
          <w:lang w:eastAsia="pt-BR"/>
        </w:rPr>
        <w:t xml:space="preserve"> Documentos que demonstrem a impossibilidade de obtenção da escritura amigável (ex: falecimento do vendedor sem inventário, empresa vendedora extinta, paradeiro desconhecido).</w:t>
      </w:r>
    </w:p>
    <w:p w:rsidR="000C019A" w:rsidRPr="000C019A" w:rsidRDefault="000C019A" w:rsidP="000C019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5. Certidões de Distribuição (Inexistência de Litígio)</w:t>
      </w:r>
    </w:p>
    <w:p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Justiça Estadual:</w:t>
      </w:r>
      <w:r w:rsidRPr="000C019A">
        <w:rPr>
          <w:rFonts w:ascii="Arial" w:eastAsia="Times New Roman" w:hAnsi="Arial" w:cs="Arial"/>
          <w:lang w:eastAsia="pt-BR"/>
        </w:rPr>
        <w:t xml:space="preserve"> Certidões cíveis (negativas) da comarca do imóvel e do domicílio do requerente (Art. 440-G, IV).</w:t>
      </w:r>
    </w:p>
    <w:p w:rsidR="000C019A" w:rsidRPr="000C019A" w:rsidRDefault="000C019A" w:rsidP="000C01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Justiça Federal:</w:t>
      </w:r>
      <w:r w:rsidRPr="000C019A">
        <w:rPr>
          <w:rFonts w:ascii="Arial" w:eastAsia="Times New Roman" w:hAnsi="Arial" w:cs="Arial"/>
          <w:lang w:eastAsia="pt-BR"/>
        </w:rPr>
        <w:t xml:space="preserve"> Certidões cíveis (negativas) da seção judiciária do imóvel e do domicílio do requerente.</w:t>
      </w:r>
    </w:p>
    <w:p w:rsidR="000C019A" w:rsidRPr="000C019A" w:rsidRDefault="000C019A" w:rsidP="000C01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spellStart"/>
      <w:r w:rsidRPr="000C019A">
        <w:rPr>
          <w:rFonts w:ascii="Arial" w:eastAsia="Times New Roman" w:hAnsi="Arial" w:cs="Arial"/>
          <w:i/>
          <w:iCs/>
          <w:lang w:eastAsia="pt-BR"/>
        </w:rPr>
        <w:lastRenderedPageBreak/>
        <w:t>Obs</w:t>
      </w:r>
      <w:proofErr w:type="spellEnd"/>
      <w:r w:rsidRPr="000C019A">
        <w:rPr>
          <w:rFonts w:ascii="Arial" w:eastAsia="Times New Roman" w:hAnsi="Arial" w:cs="Arial"/>
          <w:i/>
          <w:iCs/>
          <w:lang w:eastAsia="pt-BR"/>
        </w:rPr>
        <w:t>: As certidões devem comprovar que não há ações discutindo o contrato ou a posse do imóvel.</w:t>
      </w:r>
    </w:p>
    <w:p w:rsidR="000C019A" w:rsidRPr="000C019A" w:rsidRDefault="000C019A" w:rsidP="000C019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6. Itens Fiscais e Consultas</w:t>
      </w:r>
    </w:p>
    <w:p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ITBI:</w:t>
      </w:r>
      <w:r w:rsidRPr="000C019A">
        <w:rPr>
          <w:rFonts w:ascii="Arial" w:eastAsia="Times New Roman" w:hAnsi="Arial" w:cs="Arial"/>
          <w:lang w:eastAsia="pt-BR"/>
        </w:rPr>
        <w:t>Não é necessário para fins de lavratura da Ata Notarial no Cartório de Notas, porém o Registro de Imóveis pede  .</w:t>
      </w:r>
    </w:p>
    <w:p w:rsidR="000C019A" w:rsidRPr="000C019A" w:rsidRDefault="000C019A" w:rsidP="000C01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0C019A">
        <w:rPr>
          <w:rFonts w:ascii="Arial" w:eastAsia="Times New Roman" w:hAnsi="Arial" w:cs="Arial"/>
          <w:lang w:eastAsia="pt-BR"/>
        </w:rPr>
        <w:t xml:space="preserve">[ </w:t>
      </w:r>
      <w:proofErr w:type="gramEnd"/>
      <w:r w:rsidRPr="000C019A">
        <w:rPr>
          <w:rFonts w:ascii="Arial" w:eastAsia="Times New Roman" w:hAnsi="Arial" w:cs="Arial"/>
          <w:lang w:eastAsia="pt-BR"/>
        </w:rPr>
        <w:t xml:space="preserve">] </w:t>
      </w:r>
      <w:r w:rsidRPr="000C019A">
        <w:rPr>
          <w:rFonts w:ascii="Arial" w:eastAsia="Times New Roman" w:hAnsi="Arial" w:cs="Arial"/>
          <w:b/>
          <w:bCs/>
          <w:lang w:eastAsia="pt-BR"/>
        </w:rPr>
        <w:t>Consulta CNIB:</w:t>
      </w:r>
      <w:r w:rsidRPr="000C019A">
        <w:rPr>
          <w:rFonts w:ascii="Arial" w:eastAsia="Times New Roman" w:hAnsi="Arial" w:cs="Arial"/>
          <w:lang w:eastAsia="pt-BR"/>
        </w:rPr>
        <w:t xml:space="preserve"> Realizada pelo cartório no ato da lavratura (Central Nacional de Indisponibilidade de Bens) em nome de todas as partes.</w:t>
      </w:r>
    </w:p>
    <w:p w:rsidR="000C019A" w:rsidRPr="000C019A" w:rsidRDefault="000C019A" w:rsidP="000C019A">
      <w:pPr>
        <w:spacing w:after="0" w:line="240" w:lineRule="auto"/>
        <w:rPr>
          <w:rFonts w:ascii="Arial" w:eastAsia="Times New Roman" w:hAnsi="Arial" w:cs="Arial"/>
          <w:lang w:eastAsia="pt-BR"/>
        </w:rPr>
      </w:pPr>
      <w:r w:rsidRPr="000C019A">
        <w:rPr>
          <w:rFonts w:ascii="Arial" w:eastAsia="Times New Roman" w:hAnsi="Arial" w:cs="Arial"/>
          <w:lang w:eastAsia="pt-BR"/>
        </w:rPr>
        <w:pict>
          <v:rect id="_x0000_i1025" style="width:0;height:1.5pt" o:hralign="center" o:hrstd="t" o:hr="t" fillcolor="#a0a0a0" stroked="f"/>
        </w:pict>
      </w:r>
    </w:p>
    <w:p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Súmula 239 do STJ:</w:t>
      </w:r>
      <w:r w:rsidRPr="000C019A">
        <w:rPr>
          <w:rFonts w:ascii="Arial" w:eastAsia="Times New Roman" w:hAnsi="Arial" w:cs="Arial"/>
          <w:lang w:eastAsia="pt-BR"/>
        </w:rPr>
        <w:t xml:space="preserve"> </w:t>
      </w:r>
      <w:r w:rsidR="002232F9">
        <w:rPr>
          <w:rFonts w:ascii="Arial" w:eastAsia="Times New Roman" w:hAnsi="Arial" w:cs="Arial"/>
          <w:lang w:eastAsia="pt-BR"/>
        </w:rPr>
        <w:t>“</w:t>
      </w:r>
      <w:r w:rsidRPr="000C019A">
        <w:rPr>
          <w:rFonts w:ascii="Arial" w:hAnsi="Arial" w:cs="Arial"/>
          <w:color w:val="0F172A"/>
          <w:shd w:val="clear" w:color="auto" w:fill="FFFFFF"/>
        </w:rPr>
        <w:t>O direito à adjudicação compulsória não se condiciona ao registro do compromisso de compra e venda no cartório de imóveis.</w:t>
      </w:r>
      <w:r w:rsidR="002232F9">
        <w:rPr>
          <w:rFonts w:ascii="Arial" w:eastAsia="Times New Roman" w:hAnsi="Arial" w:cs="Arial"/>
          <w:b/>
          <w:bCs/>
          <w:lang w:eastAsia="pt-BR"/>
        </w:rPr>
        <w:t>”</w:t>
      </w:r>
    </w:p>
    <w:p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Ato de Conteúdo Econômico:</w:t>
      </w:r>
      <w:r w:rsidRPr="000C019A">
        <w:rPr>
          <w:rFonts w:ascii="Arial" w:eastAsia="Times New Roman" w:hAnsi="Arial" w:cs="Arial"/>
          <w:lang w:eastAsia="pt-BR"/>
        </w:rPr>
        <w:t xml:space="preserve"> Para fins de cobrança de emolumentos, a ata de adjudicação é considerada ato com valor econômico (baseado no valor venal ou do negócio atualizado).</w:t>
      </w:r>
    </w:p>
    <w:p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Natureza da Ata:</w:t>
      </w:r>
      <w:r w:rsidRPr="000C019A">
        <w:rPr>
          <w:rFonts w:ascii="Arial" w:eastAsia="Times New Roman" w:hAnsi="Arial" w:cs="Arial"/>
          <w:lang w:eastAsia="pt-BR"/>
        </w:rPr>
        <w:t xml:space="preserve"> A ata notarial de adjudicação é um documento de </w:t>
      </w:r>
      <w:r w:rsidRPr="000C019A">
        <w:rPr>
          <w:rFonts w:ascii="Arial" w:eastAsia="Times New Roman" w:hAnsi="Arial" w:cs="Arial"/>
          <w:b/>
          <w:bCs/>
          <w:lang w:eastAsia="pt-BR"/>
        </w:rPr>
        <w:t>verificação de documentos e fatos</w:t>
      </w:r>
      <w:r w:rsidRPr="000C019A">
        <w:rPr>
          <w:rFonts w:ascii="Arial" w:eastAsia="Times New Roman" w:hAnsi="Arial" w:cs="Arial"/>
          <w:lang w:eastAsia="pt-BR"/>
        </w:rPr>
        <w:t xml:space="preserve">. Quem defere o registro da propriedade é o Oficial de Registro de Imóveis após a qualificação </w:t>
      </w:r>
      <w:proofErr w:type="spellStart"/>
      <w:r w:rsidRPr="000C019A">
        <w:rPr>
          <w:rFonts w:ascii="Arial" w:eastAsia="Times New Roman" w:hAnsi="Arial" w:cs="Arial"/>
          <w:lang w:eastAsia="pt-BR"/>
        </w:rPr>
        <w:t>registral</w:t>
      </w:r>
      <w:proofErr w:type="spellEnd"/>
      <w:r w:rsidRPr="000C019A">
        <w:rPr>
          <w:rFonts w:ascii="Arial" w:eastAsia="Times New Roman" w:hAnsi="Arial" w:cs="Arial"/>
          <w:lang w:eastAsia="pt-BR"/>
        </w:rPr>
        <w:t>.</w:t>
      </w:r>
    </w:p>
    <w:p w:rsidR="000C019A" w:rsidRPr="000C019A" w:rsidRDefault="000C019A" w:rsidP="000C01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0C019A">
        <w:rPr>
          <w:rFonts w:ascii="Arial" w:eastAsia="Times New Roman" w:hAnsi="Arial" w:cs="Arial"/>
          <w:b/>
          <w:bCs/>
          <w:lang w:eastAsia="pt-BR"/>
        </w:rPr>
        <w:t>Diligência Opcional:</w:t>
      </w:r>
      <w:r w:rsidRPr="000C019A">
        <w:rPr>
          <w:rFonts w:ascii="Arial" w:eastAsia="Times New Roman" w:hAnsi="Arial" w:cs="Arial"/>
          <w:lang w:eastAsia="pt-BR"/>
        </w:rPr>
        <w:t xml:space="preserve"> Diferente da Usucapião, na Adjudicação a diligência no local é facultativa, a menos que existam dúvidas sobre a posse ou a existência do imóvel que precisem ser sanadas para a segurança do ato.</w:t>
      </w:r>
    </w:p>
    <w:p w:rsidR="00820415" w:rsidRPr="000C019A" w:rsidRDefault="00820415">
      <w:pPr>
        <w:rPr>
          <w:rFonts w:ascii="Arial" w:hAnsi="Arial" w:cs="Arial"/>
        </w:rPr>
      </w:pPr>
    </w:p>
    <w:sectPr w:rsidR="00820415" w:rsidRPr="000C019A" w:rsidSect="00820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13AFC"/>
    <w:multiLevelType w:val="multilevel"/>
    <w:tmpl w:val="05C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F32266"/>
    <w:multiLevelType w:val="multilevel"/>
    <w:tmpl w:val="06C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E17768"/>
    <w:multiLevelType w:val="multilevel"/>
    <w:tmpl w:val="4CA8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2E94B6B"/>
    <w:multiLevelType w:val="multilevel"/>
    <w:tmpl w:val="2C5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A37EC4"/>
    <w:multiLevelType w:val="multilevel"/>
    <w:tmpl w:val="D54EA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CC6B69"/>
    <w:multiLevelType w:val="multilevel"/>
    <w:tmpl w:val="DEB6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B8C757E"/>
    <w:multiLevelType w:val="multilevel"/>
    <w:tmpl w:val="848A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C019A"/>
    <w:rsid w:val="000C019A"/>
    <w:rsid w:val="002232F9"/>
    <w:rsid w:val="008204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415"/>
  </w:style>
  <w:style w:type="paragraph" w:styleId="Ttulo3">
    <w:name w:val="heading 3"/>
    <w:basedOn w:val="Normal"/>
    <w:link w:val="Ttulo3Char"/>
    <w:uiPriority w:val="9"/>
    <w:qFormat/>
    <w:rsid w:val="000C0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C0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0C019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C019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C0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83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549</Words>
  <Characters>2966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Pedro.Pizarro</dc:creator>
  <cp:lastModifiedBy>Pedro.Pizarro</cp:lastModifiedBy>
  <cp:revision>2</cp:revision>
  <dcterms:created xsi:type="dcterms:W3CDTF">2026-04-01T17:57:00Z</dcterms:created>
  <dcterms:modified xsi:type="dcterms:W3CDTF">2026-04-01T18:05:00Z</dcterms:modified>
</cp:coreProperties>
</file>