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EF6" w:rsidRPr="002E4EF6" w:rsidRDefault="002E4EF6" w:rsidP="002E4EF6">
      <w:pPr>
        <w:jc w:val="center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b/>
          <w:sz w:val="24"/>
          <w:szCs w:val="24"/>
          <w:lang w:eastAsia="pt-BR"/>
        </w:rPr>
        <w:t>DECLARAÇÃO DIRETIVA DE ANTECIPAÇÃO DE VONTADE</w:t>
      </w:r>
    </w:p>
    <w:p w:rsidR="002E4EF6" w:rsidRDefault="002E4EF6" w:rsidP="002E4EF6">
      <w:pPr>
        <w:jc w:val="center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b/>
          <w:sz w:val="24"/>
          <w:szCs w:val="24"/>
          <w:lang w:eastAsia="pt-BR"/>
        </w:rPr>
        <w:t>TESTAMENTO VITAL</w:t>
      </w:r>
    </w:p>
    <w:p w:rsidR="002E4EF6" w:rsidRPr="002E4EF6" w:rsidRDefault="002E4EF6" w:rsidP="002E4EF6">
      <w:pPr>
        <w:jc w:val="both"/>
        <w:rPr>
          <w:sz w:val="24"/>
          <w:szCs w:val="24"/>
        </w:rPr>
      </w:pPr>
    </w:p>
    <w:p w:rsidR="002E4EF6" w:rsidRPr="002E4EF6" w:rsidRDefault="002E4EF6" w:rsidP="002E4EF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82338A">
        <w:rPr>
          <w:rFonts w:ascii="Arial" w:eastAsia="Times New Roman" w:hAnsi="Arial" w:cs="Arial"/>
          <w:b/>
          <w:sz w:val="24"/>
          <w:szCs w:val="24"/>
          <w:lang w:eastAsia="pt-BR"/>
        </w:rPr>
        <w:t>DECLARAÇÃO DIRETIVA DE ANTECIPAÇÃO DE VONTADE</w:t>
      </w:r>
      <w:r w:rsidRPr="002E4EF6">
        <w:rPr>
          <w:rFonts w:ascii="Arial" w:eastAsia="Times New Roman" w:hAnsi="Arial" w:cs="Arial"/>
          <w:sz w:val="24"/>
          <w:szCs w:val="24"/>
          <w:lang w:eastAsia="pt-BR"/>
        </w:rPr>
        <w:t xml:space="preserve">, também conhecida como </w:t>
      </w:r>
      <w:r w:rsidRPr="002E4EF6">
        <w:rPr>
          <w:rFonts w:ascii="Arial" w:eastAsia="Times New Roman" w:hAnsi="Arial" w:cs="Arial"/>
          <w:b/>
          <w:sz w:val="24"/>
          <w:szCs w:val="24"/>
          <w:lang w:eastAsia="pt-BR"/>
        </w:rPr>
        <w:t>TESTAMENTO VITAL</w:t>
      </w:r>
      <w:r w:rsidRPr="002E4EF6">
        <w:rPr>
          <w:rFonts w:ascii="Arial" w:eastAsia="Times New Roman" w:hAnsi="Arial" w:cs="Arial"/>
          <w:sz w:val="24"/>
          <w:szCs w:val="24"/>
          <w:lang w:eastAsia="pt-BR"/>
        </w:rPr>
        <w:t>, pode ser formalizada por meio de escritura pública, mas a presença de testemunhas não é obrigatória. A assinatura da declaração pode ser feita perante um tabelião de notas, ou perante duas testemunhas. </w:t>
      </w:r>
    </w:p>
    <w:p w:rsidR="002E4EF6" w:rsidRPr="002E4EF6" w:rsidRDefault="002E4EF6" w:rsidP="002E4EF6">
      <w:pPr>
        <w:shd w:val="clear" w:color="auto" w:fill="FFFFFF"/>
        <w:spacing w:after="107" w:line="279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sz w:val="24"/>
          <w:szCs w:val="24"/>
          <w:lang w:eastAsia="pt-BR"/>
        </w:rPr>
        <w:t>Detalhes:</w:t>
      </w:r>
    </w:p>
    <w:p w:rsidR="002E4EF6" w:rsidRPr="002E4EF6" w:rsidRDefault="002E4EF6" w:rsidP="002E4EF6">
      <w:pPr>
        <w:numPr>
          <w:ilvl w:val="0"/>
          <w:numId w:val="1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Opções para Formalização:</w:t>
      </w:r>
    </w:p>
    <w:p w:rsidR="002E4EF6" w:rsidRDefault="002E4EF6" w:rsidP="002E4EF6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spacing w:val="1"/>
          <w:sz w:val="24"/>
          <w:szCs w:val="24"/>
          <w:lang w:eastAsia="pt-BR"/>
        </w:rPr>
        <w:t>A declaração pode ser feita por meio de uma escritura pública, que garante a sua validade e segurança jurídica, ou em documento particular, assinado perante duas testemunhas. </w:t>
      </w:r>
    </w:p>
    <w:p w:rsidR="002E4EF6" w:rsidRPr="002E4EF6" w:rsidRDefault="002E4EF6" w:rsidP="002E4EF6">
      <w:pPr>
        <w:shd w:val="clear" w:color="auto" w:fill="FFFFFF"/>
        <w:spacing w:after="86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E4EF6" w:rsidRPr="002E4EF6" w:rsidRDefault="002E4EF6" w:rsidP="002E4EF6">
      <w:pPr>
        <w:numPr>
          <w:ilvl w:val="0"/>
          <w:numId w:val="1"/>
        </w:numPr>
        <w:shd w:val="clear" w:color="auto" w:fill="FFFFFF"/>
        <w:spacing w:after="86" w:line="236" w:lineRule="atLeast"/>
        <w:ind w:left="-3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Presença de Testemunhas:</w:t>
      </w:r>
    </w:p>
    <w:p w:rsidR="002E4EF6" w:rsidRDefault="002E4EF6" w:rsidP="002E4EF6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spacing w:val="1"/>
          <w:sz w:val="24"/>
          <w:szCs w:val="24"/>
          <w:lang w:eastAsia="pt-BR"/>
        </w:rPr>
        <w:t>Embora não seja obrigatória, a presença de testemunhas é recomendada para garantir a autenticidade do documento e a sua vontade expressa, </w:t>
      </w:r>
      <w:hyperlink r:id="rId5" w:history="1">
        <w:r w:rsidRPr="002E4EF6">
          <w:rPr>
            <w:rFonts w:ascii="Arial" w:eastAsia="Times New Roman" w:hAnsi="Arial" w:cs="Arial"/>
            <w:spacing w:val="1"/>
            <w:sz w:val="24"/>
            <w:szCs w:val="24"/>
            <w:u w:val="single"/>
            <w:lang w:eastAsia="pt-BR"/>
          </w:rPr>
          <w:t>segundo o 4º Tabelião de Notas de SBC</w:t>
        </w:r>
      </w:hyperlink>
      <w:r w:rsidRPr="002E4EF6">
        <w:rPr>
          <w:rFonts w:ascii="Arial" w:eastAsia="Times New Roman" w:hAnsi="Arial" w:cs="Arial"/>
          <w:spacing w:val="1"/>
          <w:sz w:val="24"/>
          <w:szCs w:val="24"/>
          <w:lang w:eastAsia="pt-BR"/>
        </w:rPr>
        <w:t>. </w:t>
      </w:r>
    </w:p>
    <w:p w:rsidR="002E4EF6" w:rsidRPr="002E4EF6" w:rsidRDefault="002E4EF6" w:rsidP="002E4EF6">
      <w:pPr>
        <w:shd w:val="clear" w:color="auto" w:fill="FFFFFF"/>
        <w:spacing w:after="86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E4EF6" w:rsidRPr="002E4EF6" w:rsidRDefault="002E4EF6" w:rsidP="002E4EF6">
      <w:pPr>
        <w:numPr>
          <w:ilvl w:val="0"/>
          <w:numId w:val="1"/>
        </w:numPr>
        <w:shd w:val="clear" w:color="auto" w:fill="FFFFFF"/>
        <w:spacing w:after="86" w:line="236" w:lineRule="atLeast"/>
        <w:ind w:left="-3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Testemunhas </w:t>
      </w:r>
      <w:proofErr w:type="spellStart"/>
      <w:r w:rsidRPr="002E4E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Idoneas</w:t>
      </w:r>
      <w:proofErr w:type="spellEnd"/>
      <w:r w:rsidRPr="002E4E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2E4EF6" w:rsidRDefault="002E4EF6" w:rsidP="002E4EF6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a escolha for pela presença de testemunhas, elas devem ser maiores de idade e capazes, e devem estar presentes no momento da assinatura da declaração, </w:t>
      </w:r>
      <w:hyperlink r:id="rId6" w:history="1">
        <w:r w:rsidRPr="002E4EF6">
          <w:rPr>
            <w:rFonts w:ascii="Arial" w:eastAsia="Times New Roman" w:hAnsi="Arial" w:cs="Arial"/>
            <w:spacing w:val="1"/>
            <w:sz w:val="24"/>
            <w:szCs w:val="24"/>
            <w:u w:val="single"/>
            <w:lang w:eastAsia="pt-BR"/>
          </w:rPr>
          <w:t>segundo o 4º Tabelião de Notas de SBC</w:t>
        </w:r>
      </w:hyperlink>
      <w:r w:rsidRPr="002E4EF6">
        <w:rPr>
          <w:rFonts w:ascii="Arial" w:eastAsia="Times New Roman" w:hAnsi="Arial" w:cs="Arial"/>
          <w:spacing w:val="1"/>
          <w:sz w:val="24"/>
          <w:szCs w:val="24"/>
          <w:lang w:eastAsia="pt-BR"/>
        </w:rPr>
        <w:t>. </w:t>
      </w:r>
    </w:p>
    <w:p w:rsidR="002E4EF6" w:rsidRPr="002E4EF6" w:rsidRDefault="002E4EF6" w:rsidP="002E4EF6">
      <w:pPr>
        <w:shd w:val="clear" w:color="auto" w:fill="FFFFFF"/>
        <w:spacing w:after="86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E4EF6" w:rsidRPr="002E4EF6" w:rsidRDefault="002E4EF6" w:rsidP="002E4EF6">
      <w:pPr>
        <w:numPr>
          <w:ilvl w:val="0"/>
          <w:numId w:val="1"/>
        </w:numPr>
        <w:shd w:val="clear" w:color="auto" w:fill="FFFFFF"/>
        <w:spacing w:after="0" w:line="236" w:lineRule="atLeast"/>
        <w:ind w:left="-3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Escritura Pública:</w:t>
      </w:r>
    </w:p>
    <w:p w:rsidR="002E4EF6" w:rsidRDefault="002E4EF6" w:rsidP="002E4EF6">
      <w:pPr>
        <w:shd w:val="clear" w:color="auto" w:fill="FFFFFF"/>
        <w:spacing w:after="0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spacing w:val="1"/>
          <w:sz w:val="24"/>
          <w:szCs w:val="24"/>
          <w:lang w:eastAsia="pt-BR"/>
        </w:rPr>
        <w:t>A escritura pública garante a identificação do declarante, a certeza da data e a garantia de que a vontade foi manifestada livremente, </w:t>
      </w:r>
      <w:hyperlink r:id="rId7" w:history="1">
        <w:r w:rsidRPr="002E4EF6">
          <w:rPr>
            <w:rFonts w:ascii="Arial" w:eastAsia="Times New Roman" w:hAnsi="Arial" w:cs="Arial"/>
            <w:spacing w:val="1"/>
            <w:sz w:val="24"/>
            <w:szCs w:val="24"/>
            <w:u w:val="single"/>
            <w:lang w:eastAsia="pt-BR"/>
          </w:rPr>
          <w:t>segundo o 9º Tabelionato de Notas de Porto Alegre</w:t>
        </w:r>
      </w:hyperlink>
      <w:r w:rsidRPr="002E4EF6">
        <w:rPr>
          <w:rFonts w:ascii="Arial" w:eastAsia="Times New Roman" w:hAnsi="Arial" w:cs="Arial"/>
          <w:spacing w:val="1"/>
          <w:sz w:val="24"/>
          <w:szCs w:val="24"/>
          <w:lang w:eastAsia="pt-BR"/>
        </w:rPr>
        <w:t>. </w:t>
      </w:r>
    </w:p>
    <w:p w:rsidR="002E4EF6" w:rsidRPr="002E4EF6" w:rsidRDefault="002E4EF6" w:rsidP="002E4EF6">
      <w:pPr>
        <w:shd w:val="clear" w:color="auto" w:fill="FFFFFF"/>
        <w:spacing w:after="0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E4EF6" w:rsidRPr="002E4EF6" w:rsidRDefault="002E4EF6" w:rsidP="002E4EF6">
      <w:pPr>
        <w:shd w:val="clear" w:color="auto" w:fill="FFFFFF"/>
        <w:spacing w:after="107" w:line="279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sz w:val="24"/>
          <w:szCs w:val="24"/>
          <w:lang w:eastAsia="pt-BR"/>
        </w:rPr>
        <w:t>Em resumo:</w:t>
      </w:r>
    </w:p>
    <w:p w:rsidR="002E4EF6" w:rsidRPr="002E4EF6" w:rsidRDefault="002E4EF6" w:rsidP="002E4EF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E4EF6">
        <w:rPr>
          <w:rFonts w:ascii="Arial" w:eastAsia="Times New Roman" w:hAnsi="Arial" w:cs="Arial"/>
          <w:sz w:val="24"/>
          <w:szCs w:val="24"/>
          <w:lang w:eastAsia="pt-BR"/>
        </w:rPr>
        <w:t>A escritura pública é uma forma segura e formal de formalizar a DECLARAÇÃO DIRETIVA DE ANTECIPAÇÃO DE VONTADE, mas a presença de testemunhas não é obrigatória. Se optar por não fazer a escritura pública, a declaração pode ser assinada perante duas testemunhas, segundo o 4º Tabelião de Notas de SBC. </w:t>
      </w:r>
    </w:p>
    <w:p w:rsidR="002E4EF6" w:rsidRDefault="002E4EF6" w:rsidP="002E4EF6">
      <w:pPr>
        <w:jc w:val="both"/>
        <w:rPr>
          <w:sz w:val="24"/>
          <w:szCs w:val="24"/>
        </w:rPr>
      </w:pPr>
    </w:p>
    <w:p w:rsidR="002E4EF6" w:rsidRDefault="002E4EF6" w:rsidP="002E4EF6">
      <w:pPr>
        <w:jc w:val="both"/>
        <w:rPr>
          <w:sz w:val="24"/>
          <w:szCs w:val="24"/>
        </w:rPr>
      </w:pPr>
    </w:p>
    <w:p w:rsidR="002E4EF6" w:rsidRDefault="002E4EF6" w:rsidP="002E4EF6">
      <w:pPr>
        <w:jc w:val="both"/>
        <w:rPr>
          <w:sz w:val="24"/>
          <w:szCs w:val="24"/>
        </w:rPr>
      </w:pPr>
    </w:p>
    <w:p w:rsidR="002E4EF6" w:rsidRDefault="002E4EF6" w:rsidP="002E4EF6">
      <w:pPr>
        <w:jc w:val="both"/>
        <w:rPr>
          <w:sz w:val="24"/>
          <w:szCs w:val="24"/>
        </w:rPr>
      </w:pPr>
    </w:p>
    <w:p w:rsidR="00463240" w:rsidRDefault="00463240" w:rsidP="00463240">
      <w:pPr>
        <w:jc w:val="center"/>
        <w:rPr>
          <w:rFonts w:ascii="Arial" w:hAnsi="Arial" w:cs="Arial"/>
          <w:sz w:val="24"/>
          <w:szCs w:val="24"/>
          <w:u w:val="single"/>
        </w:rPr>
      </w:pPr>
      <w:r w:rsidRPr="00463240">
        <w:rPr>
          <w:rFonts w:ascii="Arial" w:hAnsi="Arial" w:cs="Arial"/>
          <w:b/>
          <w:sz w:val="24"/>
          <w:szCs w:val="24"/>
          <w:u w:val="single"/>
        </w:rPr>
        <w:lastRenderedPageBreak/>
        <w:t>BASE LEGAL DA</w:t>
      </w:r>
      <w:r w:rsidRPr="00463240">
        <w:rPr>
          <w:rFonts w:ascii="Arial" w:hAnsi="Arial" w:cs="Arial"/>
          <w:sz w:val="24"/>
          <w:szCs w:val="24"/>
          <w:u w:val="single"/>
        </w:rPr>
        <w:t xml:space="preserve"> </w:t>
      </w:r>
    </w:p>
    <w:p w:rsidR="002E4EF6" w:rsidRPr="00463240" w:rsidRDefault="00463240" w:rsidP="00463240">
      <w:pPr>
        <w:jc w:val="center"/>
        <w:rPr>
          <w:rFonts w:ascii="Arial" w:hAnsi="Arial" w:cs="Arial"/>
          <w:sz w:val="24"/>
          <w:szCs w:val="24"/>
          <w:u w:val="single"/>
        </w:rPr>
      </w:pPr>
      <w:r w:rsidRPr="00463240">
        <w:rPr>
          <w:rFonts w:ascii="Arial" w:eastAsia="Times New Roman" w:hAnsi="Arial" w:cs="Arial"/>
          <w:b/>
          <w:sz w:val="24"/>
          <w:szCs w:val="24"/>
          <w:u w:val="single"/>
          <w:lang w:eastAsia="pt-BR"/>
        </w:rPr>
        <w:t>DECLARAÇÃO DIRETIVA DE ANTECIPAÇÃO DE VONTA</w:t>
      </w:r>
      <w:r>
        <w:rPr>
          <w:rFonts w:ascii="Arial" w:eastAsia="Times New Roman" w:hAnsi="Arial" w:cs="Arial"/>
          <w:b/>
          <w:sz w:val="24"/>
          <w:szCs w:val="24"/>
          <w:u w:val="single"/>
          <w:lang w:eastAsia="pt-BR"/>
        </w:rPr>
        <w:t>DE</w:t>
      </w:r>
    </w:p>
    <w:p w:rsidR="002E4EF6" w:rsidRPr="00463240" w:rsidRDefault="002E4EF6" w:rsidP="00463240">
      <w:pPr>
        <w:jc w:val="both"/>
        <w:rPr>
          <w:sz w:val="24"/>
          <w:szCs w:val="24"/>
        </w:rPr>
      </w:pPr>
    </w:p>
    <w:p w:rsidR="00463240" w:rsidRPr="00463240" w:rsidRDefault="00463240" w:rsidP="00463240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lang w:eastAsia="pt-BR"/>
        </w:rPr>
        <w:t xml:space="preserve">A base legal para as Diretivas Antecipadas de Vontade (DAV) no Brasil é a </w:t>
      </w:r>
      <w:r w:rsidRPr="00463240">
        <w:rPr>
          <w:rFonts w:ascii="Arial" w:eastAsia="Times New Roman" w:hAnsi="Arial" w:cs="Arial"/>
          <w:b/>
          <w:sz w:val="24"/>
          <w:szCs w:val="24"/>
          <w:highlight w:val="magenta"/>
          <w:u w:val="single"/>
          <w:lang w:eastAsia="pt-BR"/>
        </w:rPr>
        <w:t>Resolução CFM nº 1.995/2012</w:t>
      </w:r>
      <w:r w:rsidRPr="00463240">
        <w:rPr>
          <w:rFonts w:ascii="Arial" w:eastAsia="Times New Roman" w:hAnsi="Arial" w:cs="Arial"/>
          <w:sz w:val="24"/>
          <w:szCs w:val="24"/>
          <w:lang w:eastAsia="pt-BR"/>
        </w:rPr>
        <w:t xml:space="preserve"> do Conselho Federal de Medicina. Esta resolução estabelece as normas para a sua criação, registro e aplicação, garantindo que a vontade do paciente seja respeitada em relação aos cuidados e tratamentos a serem recebidos quando não puder expressar livremente sua vontade. </w:t>
      </w:r>
    </w:p>
    <w:p w:rsidR="00463240" w:rsidRPr="00463240" w:rsidRDefault="00463240" w:rsidP="00463240">
      <w:pPr>
        <w:shd w:val="clear" w:color="auto" w:fill="FFFFFF"/>
        <w:spacing w:after="107" w:line="279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lang w:eastAsia="pt-BR"/>
        </w:rPr>
        <w:t>Elaboração:</w:t>
      </w:r>
    </w:p>
    <w:p w:rsidR="00463240" w:rsidRPr="00463240" w:rsidRDefault="00463240" w:rsidP="00463240">
      <w:pPr>
        <w:numPr>
          <w:ilvl w:val="0"/>
          <w:numId w:val="2"/>
        </w:numPr>
        <w:shd w:val="clear" w:color="auto" w:fill="FFFFFF"/>
        <w:spacing w:after="86" w:line="236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lang w:eastAsia="pt-BR"/>
        </w:rPr>
        <w:t xml:space="preserve">As DAV são </w:t>
      </w:r>
      <w:proofErr w:type="gramStart"/>
      <w:r w:rsidRPr="00463240">
        <w:rPr>
          <w:rFonts w:ascii="Arial" w:eastAsia="Times New Roman" w:hAnsi="Arial" w:cs="Arial"/>
          <w:sz w:val="24"/>
          <w:szCs w:val="24"/>
          <w:lang w:eastAsia="pt-BR"/>
        </w:rPr>
        <w:t>formuladas de forma escrita, podendo ser por meio de um documento específico ou incluso no prontuário do paciente</w:t>
      </w:r>
      <w:proofErr w:type="gramEnd"/>
      <w:r w:rsidRPr="0046324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63240" w:rsidRPr="00463240" w:rsidRDefault="00463240" w:rsidP="00463240">
      <w:pPr>
        <w:numPr>
          <w:ilvl w:val="0"/>
          <w:numId w:val="2"/>
        </w:numPr>
        <w:shd w:val="clear" w:color="auto" w:fill="FFFFFF"/>
        <w:spacing w:after="86" w:line="236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lang w:eastAsia="pt-BR"/>
        </w:rPr>
        <w:t>Recomenda-se que sejam elaboradas com o auxílio de um profissional médico para garantir que as vontades do paciente sejam manifestadas de forma consciente.</w:t>
      </w:r>
    </w:p>
    <w:p w:rsidR="00463240" w:rsidRPr="00463240" w:rsidRDefault="00463240" w:rsidP="00463240">
      <w:pPr>
        <w:numPr>
          <w:ilvl w:val="0"/>
          <w:numId w:val="2"/>
        </w:numPr>
        <w:shd w:val="clear" w:color="auto" w:fill="FFFFFF"/>
        <w:spacing w:after="0" w:line="236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lang w:eastAsia="pt-BR"/>
        </w:rPr>
        <w:t xml:space="preserve">Apesar de não ser </w:t>
      </w:r>
      <w:proofErr w:type="gramStart"/>
      <w:r w:rsidRPr="00463240">
        <w:rPr>
          <w:rFonts w:ascii="Arial" w:eastAsia="Times New Roman" w:hAnsi="Arial" w:cs="Arial"/>
          <w:sz w:val="24"/>
          <w:szCs w:val="24"/>
          <w:lang w:eastAsia="pt-BR"/>
        </w:rPr>
        <w:t>obrigatório, a escritura pública do documento</w:t>
      </w:r>
      <w:proofErr w:type="gramEnd"/>
      <w:r w:rsidRPr="00463240">
        <w:rPr>
          <w:rFonts w:ascii="Arial" w:eastAsia="Times New Roman" w:hAnsi="Arial" w:cs="Arial"/>
          <w:sz w:val="24"/>
          <w:szCs w:val="24"/>
          <w:lang w:eastAsia="pt-BR"/>
        </w:rPr>
        <w:t xml:space="preserve"> pode fortalecer a validade da DAV. </w:t>
      </w:r>
    </w:p>
    <w:p w:rsidR="00463240" w:rsidRPr="00463240" w:rsidRDefault="00463240" w:rsidP="00463240">
      <w:pPr>
        <w:shd w:val="clear" w:color="auto" w:fill="FFFFFF"/>
        <w:spacing w:after="0" w:line="23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63240" w:rsidRPr="00463240" w:rsidRDefault="00463240" w:rsidP="00463240">
      <w:pPr>
        <w:shd w:val="clear" w:color="auto" w:fill="FFFFFF"/>
        <w:spacing w:after="107" w:line="279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lang w:eastAsia="pt-BR"/>
        </w:rPr>
        <w:t>Conteúdo:</w:t>
      </w:r>
    </w:p>
    <w:p w:rsidR="00463240" w:rsidRPr="00463240" w:rsidRDefault="00463240" w:rsidP="00463240">
      <w:pPr>
        <w:numPr>
          <w:ilvl w:val="0"/>
          <w:numId w:val="3"/>
        </w:numPr>
        <w:shd w:val="clear" w:color="auto" w:fill="FFFFFF"/>
        <w:spacing w:after="86" w:line="236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lang w:eastAsia="pt-BR"/>
        </w:rPr>
        <w:t xml:space="preserve">A DAV pode incluir informações sobre os cuidados e tratamentos que o paciente deseja receber ou não, incluindo procedimentos como </w:t>
      </w:r>
      <w:proofErr w:type="spellStart"/>
      <w:r w:rsidRPr="00463240">
        <w:rPr>
          <w:rFonts w:ascii="Arial" w:eastAsia="Times New Roman" w:hAnsi="Arial" w:cs="Arial"/>
          <w:sz w:val="24"/>
          <w:szCs w:val="24"/>
          <w:lang w:eastAsia="pt-BR"/>
        </w:rPr>
        <w:t>entubação</w:t>
      </w:r>
      <w:proofErr w:type="spellEnd"/>
      <w:r w:rsidRPr="00463240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463240">
        <w:rPr>
          <w:rFonts w:ascii="Arial" w:eastAsia="Times New Roman" w:hAnsi="Arial" w:cs="Arial"/>
          <w:sz w:val="24"/>
          <w:szCs w:val="24"/>
          <w:lang w:eastAsia="pt-BR"/>
        </w:rPr>
        <w:t>traqueostomia</w:t>
      </w:r>
      <w:proofErr w:type="spellEnd"/>
      <w:r w:rsidRPr="00463240">
        <w:rPr>
          <w:rFonts w:ascii="Arial" w:eastAsia="Times New Roman" w:hAnsi="Arial" w:cs="Arial"/>
          <w:sz w:val="24"/>
          <w:szCs w:val="24"/>
          <w:lang w:eastAsia="pt-BR"/>
        </w:rPr>
        <w:t xml:space="preserve">, quimioterapia, radioterapia, cirurgias, transfusões, </w:t>
      </w:r>
      <w:proofErr w:type="spellStart"/>
      <w:r w:rsidRPr="00463240">
        <w:rPr>
          <w:rFonts w:ascii="Arial" w:eastAsia="Times New Roman" w:hAnsi="Arial" w:cs="Arial"/>
          <w:sz w:val="24"/>
          <w:szCs w:val="24"/>
          <w:lang w:eastAsia="pt-BR"/>
        </w:rPr>
        <w:t>oxigenoterapia</w:t>
      </w:r>
      <w:proofErr w:type="spellEnd"/>
      <w:r w:rsidRPr="00463240">
        <w:rPr>
          <w:rFonts w:ascii="Arial" w:eastAsia="Times New Roman" w:hAnsi="Arial" w:cs="Arial"/>
          <w:sz w:val="24"/>
          <w:szCs w:val="24"/>
          <w:lang w:eastAsia="pt-BR"/>
        </w:rPr>
        <w:t xml:space="preserve">, nutrição </w:t>
      </w:r>
      <w:proofErr w:type="spellStart"/>
      <w:r w:rsidRPr="00463240">
        <w:rPr>
          <w:rFonts w:ascii="Arial" w:eastAsia="Times New Roman" w:hAnsi="Arial" w:cs="Arial"/>
          <w:sz w:val="24"/>
          <w:szCs w:val="24"/>
          <w:lang w:eastAsia="pt-BR"/>
        </w:rPr>
        <w:t>enteral</w:t>
      </w:r>
      <w:proofErr w:type="spellEnd"/>
      <w:r w:rsidRPr="00463240">
        <w:rPr>
          <w:rFonts w:ascii="Arial" w:eastAsia="Times New Roman" w:hAnsi="Arial" w:cs="Arial"/>
          <w:sz w:val="24"/>
          <w:szCs w:val="24"/>
          <w:lang w:eastAsia="pt-BR"/>
        </w:rPr>
        <w:t>/parenteral, etc.</w:t>
      </w:r>
    </w:p>
    <w:p w:rsidR="00463240" w:rsidRPr="00463240" w:rsidRDefault="00463240" w:rsidP="00463240">
      <w:pPr>
        <w:numPr>
          <w:ilvl w:val="0"/>
          <w:numId w:val="3"/>
        </w:numPr>
        <w:shd w:val="clear" w:color="auto" w:fill="FFFFFF"/>
        <w:spacing w:after="0" w:line="236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lang w:eastAsia="pt-BR"/>
        </w:rPr>
        <w:t>É importante que a DAV seja clara e precisa, para que a sua intenção seja compreendida e respeitada pelos profissionais de saúde. </w:t>
      </w:r>
    </w:p>
    <w:p w:rsidR="00463240" w:rsidRPr="00463240" w:rsidRDefault="00463240" w:rsidP="00463240">
      <w:pPr>
        <w:shd w:val="clear" w:color="auto" w:fill="FFFFFF"/>
        <w:spacing w:after="0" w:line="23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63240" w:rsidRPr="00463240" w:rsidRDefault="00463240" w:rsidP="00463240">
      <w:pPr>
        <w:shd w:val="clear" w:color="auto" w:fill="FFFFFF"/>
        <w:spacing w:after="107" w:line="279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lang w:eastAsia="pt-BR"/>
        </w:rPr>
        <w:t>Aplicabilidade:</w:t>
      </w:r>
    </w:p>
    <w:p w:rsidR="00463240" w:rsidRPr="00463240" w:rsidRDefault="00463240" w:rsidP="00463240">
      <w:pPr>
        <w:numPr>
          <w:ilvl w:val="0"/>
          <w:numId w:val="4"/>
        </w:numPr>
        <w:shd w:val="clear" w:color="auto" w:fill="FFFFFF"/>
        <w:spacing w:after="86" w:line="236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lang w:eastAsia="pt-BR"/>
        </w:rPr>
        <w:t xml:space="preserve">A DAV prevalece sobre a opinião de familiares e outros, inclusive sobre </w:t>
      </w:r>
      <w:proofErr w:type="gramStart"/>
      <w:r w:rsidRPr="00463240">
        <w:rPr>
          <w:rFonts w:ascii="Arial" w:eastAsia="Times New Roman" w:hAnsi="Arial" w:cs="Arial"/>
          <w:sz w:val="24"/>
          <w:szCs w:val="24"/>
          <w:lang w:eastAsia="pt-BR"/>
        </w:rPr>
        <w:t>pareceres</w:t>
      </w:r>
      <w:proofErr w:type="gramEnd"/>
      <w:r w:rsidRPr="00463240">
        <w:rPr>
          <w:rFonts w:ascii="Arial" w:eastAsia="Times New Roman" w:hAnsi="Arial" w:cs="Arial"/>
          <w:sz w:val="24"/>
          <w:szCs w:val="24"/>
          <w:lang w:eastAsia="pt-BR"/>
        </w:rPr>
        <w:t xml:space="preserve"> não médicos, na tomada de decisões sobre cuidados e tratamentos. </w:t>
      </w:r>
    </w:p>
    <w:p w:rsidR="00463240" w:rsidRPr="00463240" w:rsidRDefault="00463240" w:rsidP="00463240">
      <w:pPr>
        <w:numPr>
          <w:ilvl w:val="0"/>
          <w:numId w:val="4"/>
        </w:numPr>
        <w:shd w:val="clear" w:color="auto" w:fill="FFFFFF"/>
        <w:spacing w:after="86" w:line="236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lang w:eastAsia="pt-BR"/>
        </w:rPr>
        <w:t>No entanto, é importante ressaltar que a eutanásia não é permitida no Brasil, ou seja, a DAV não pode incluir a solicitação de interrupção da vida. </w:t>
      </w:r>
    </w:p>
    <w:p w:rsidR="00463240" w:rsidRDefault="00463240" w:rsidP="00463240">
      <w:pPr>
        <w:numPr>
          <w:ilvl w:val="0"/>
          <w:numId w:val="4"/>
        </w:numPr>
        <w:shd w:val="clear" w:color="auto" w:fill="FFFFFF"/>
        <w:spacing w:after="0" w:line="236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lang w:eastAsia="pt-BR"/>
        </w:rPr>
        <w:t>A DAV pode ser revogada a qualquer momento pelo paciente, desde que ele ainda tenha capacidade para expressar sua vontade. </w:t>
      </w:r>
    </w:p>
    <w:p w:rsidR="00463240" w:rsidRPr="00463240" w:rsidRDefault="00463240" w:rsidP="00463240">
      <w:pPr>
        <w:shd w:val="clear" w:color="auto" w:fill="FFFFFF"/>
        <w:spacing w:after="0" w:line="236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463240" w:rsidRPr="00463240" w:rsidRDefault="00463240" w:rsidP="0046324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3240">
        <w:rPr>
          <w:rFonts w:ascii="Arial" w:eastAsia="Times New Roman" w:hAnsi="Arial" w:cs="Arial"/>
          <w:sz w:val="24"/>
          <w:szCs w:val="24"/>
          <w:highlight w:val="magenta"/>
          <w:lang w:eastAsia="pt-BR"/>
        </w:rPr>
        <w:t>Em resumo: A Resolução CFM nº 1.995/2012 é a base legal para as DAV no Brasil, permitindo que as pessoas manifestem suas vontades sobre cuidados e tratamentos futuros, garantindo o respeito à autonomia do paciente</w:t>
      </w:r>
      <w:r w:rsidRPr="00463240">
        <w:rPr>
          <w:rFonts w:ascii="Arial" w:eastAsia="Times New Roman" w:hAnsi="Arial" w:cs="Arial"/>
          <w:sz w:val="24"/>
          <w:szCs w:val="24"/>
          <w:lang w:eastAsia="pt-BR"/>
        </w:rPr>
        <w:t>. </w:t>
      </w:r>
    </w:p>
    <w:p w:rsidR="00463240" w:rsidRPr="00463240" w:rsidRDefault="00463240" w:rsidP="00463240">
      <w:pPr>
        <w:jc w:val="both"/>
        <w:rPr>
          <w:sz w:val="24"/>
          <w:szCs w:val="24"/>
        </w:rPr>
      </w:pPr>
    </w:p>
    <w:p w:rsidR="002E4EF6" w:rsidRDefault="002E4EF6" w:rsidP="002E4EF6">
      <w:pPr>
        <w:jc w:val="both"/>
        <w:rPr>
          <w:sz w:val="24"/>
          <w:szCs w:val="24"/>
        </w:rPr>
      </w:pPr>
    </w:p>
    <w:p w:rsidR="002E4EF6" w:rsidRPr="002E4EF6" w:rsidRDefault="002E4EF6" w:rsidP="002E4EF6">
      <w:pPr>
        <w:jc w:val="both"/>
        <w:rPr>
          <w:sz w:val="24"/>
          <w:szCs w:val="24"/>
        </w:rPr>
      </w:pPr>
    </w:p>
    <w:sectPr w:rsidR="002E4EF6" w:rsidRPr="002E4EF6" w:rsidSect="004455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F00AD"/>
    <w:multiLevelType w:val="multilevel"/>
    <w:tmpl w:val="2D8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64308C"/>
    <w:multiLevelType w:val="multilevel"/>
    <w:tmpl w:val="372A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9C6E09"/>
    <w:multiLevelType w:val="multilevel"/>
    <w:tmpl w:val="4F86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344E8A"/>
    <w:multiLevelType w:val="multilevel"/>
    <w:tmpl w:val="AD00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2E4EF6"/>
    <w:rsid w:val="002E4EF6"/>
    <w:rsid w:val="0044559D"/>
    <w:rsid w:val="00463240"/>
    <w:rsid w:val="008233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2E4EF6"/>
  </w:style>
  <w:style w:type="character" w:styleId="Forte">
    <w:name w:val="Strong"/>
    <w:basedOn w:val="Fontepargpadro"/>
    <w:uiPriority w:val="22"/>
    <w:qFormat/>
    <w:rsid w:val="002E4EF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2E4EF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1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98848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0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2721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8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5030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0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2017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2937">
                  <w:marLeft w:val="0"/>
                  <w:marRight w:val="0"/>
                  <w:marTop w:val="107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5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6929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9167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3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43704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0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0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3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70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3083921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2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87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10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9848485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6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5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4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72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873733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9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4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48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8262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9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8605">
                  <w:marLeft w:val="0"/>
                  <w:marRight w:val="0"/>
                  <w:marTop w:val="107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notabelionato.com.br/noticias/2021/cnb-rs-como-encaminhar-testamento-vital-e-diretivas-antecipadas-de-vontade-quando-o-brasil-nao-tem-lei-sobre-o-assunt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4tabeliaosbc.com.br/servicos/testamento-vital-dav/" TargetMode="External"/><Relationship Id="rId5" Type="http://schemas.openxmlformats.org/officeDocument/2006/relationships/hyperlink" Target="http://www.4tabeliaosbc.com.br/servicos/testamento-vital-dav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583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3</cp:revision>
  <dcterms:created xsi:type="dcterms:W3CDTF">2025-05-15T20:00:00Z</dcterms:created>
  <dcterms:modified xsi:type="dcterms:W3CDTF">2025-05-15T20:15:00Z</dcterms:modified>
</cp:coreProperties>
</file>