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5B03" w:rsidRPr="00773374" w:rsidRDefault="00040C65" w:rsidP="003B5B03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773374">
        <w:rPr>
          <w:rFonts w:ascii="Arial" w:hAnsi="Arial" w:cs="Arial"/>
          <w:b/>
          <w:sz w:val="24"/>
          <w:szCs w:val="24"/>
          <w:u w:val="single"/>
        </w:rPr>
        <w:t>OS DIVERSOS REGIMES DE BENS NO CASAMENTO</w:t>
      </w:r>
    </w:p>
    <w:p w:rsidR="003B5B03" w:rsidRPr="00773374" w:rsidRDefault="00040C65" w:rsidP="003B5B03">
      <w:pPr>
        <w:jc w:val="both"/>
        <w:rPr>
          <w:rFonts w:ascii="Arial" w:hAnsi="Arial" w:cs="Arial"/>
          <w:b/>
          <w:i/>
          <w:sz w:val="24"/>
          <w:szCs w:val="24"/>
        </w:rPr>
      </w:pPr>
      <w:r w:rsidRPr="00773374">
        <w:rPr>
          <w:rFonts w:ascii="Arial" w:hAnsi="Arial" w:cs="Arial"/>
          <w:b/>
          <w:i/>
          <w:sz w:val="24"/>
          <w:szCs w:val="24"/>
        </w:rPr>
        <w:t>(</w:t>
      </w:r>
      <w:r w:rsidR="003B5B03" w:rsidRPr="00773374">
        <w:rPr>
          <w:rFonts w:ascii="Arial" w:hAnsi="Arial" w:cs="Arial"/>
          <w:b/>
          <w:i/>
          <w:sz w:val="24"/>
          <w:szCs w:val="24"/>
        </w:rPr>
        <w:t xml:space="preserve">João Vitor de Mello </w:t>
      </w:r>
      <w:proofErr w:type="spellStart"/>
      <w:r w:rsidR="003B5B03" w:rsidRPr="00773374">
        <w:rPr>
          <w:rFonts w:ascii="Arial" w:hAnsi="Arial" w:cs="Arial"/>
          <w:b/>
          <w:i/>
          <w:sz w:val="24"/>
          <w:szCs w:val="24"/>
        </w:rPr>
        <w:t>Andreis</w:t>
      </w:r>
      <w:proofErr w:type="spellEnd"/>
      <w:r w:rsidRPr="00773374">
        <w:rPr>
          <w:rFonts w:ascii="Arial" w:hAnsi="Arial" w:cs="Arial"/>
          <w:b/>
          <w:i/>
          <w:sz w:val="24"/>
          <w:szCs w:val="24"/>
        </w:rPr>
        <w:t>)</w:t>
      </w:r>
    </w:p>
    <w:p w:rsidR="003B5B03" w:rsidRPr="00773374" w:rsidRDefault="003B5B03" w:rsidP="003B5B03">
      <w:pPr>
        <w:jc w:val="both"/>
        <w:rPr>
          <w:rFonts w:ascii="Arial" w:hAnsi="Arial" w:cs="Arial"/>
          <w:sz w:val="24"/>
          <w:szCs w:val="24"/>
        </w:rPr>
      </w:pPr>
      <w:r w:rsidRPr="00773374">
        <w:rPr>
          <w:rFonts w:ascii="Arial" w:hAnsi="Arial" w:cs="Arial"/>
          <w:sz w:val="24"/>
          <w:szCs w:val="24"/>
        </w:rPr>
        <w:t xml:space="preserve">O Direito Civil Brasileiro prevê </w:t>
      </w:r>
      <w:proofErr w:type="gramStart"/>
      <w:r w:rsidRPr="00773374">
        <w:rPr>
          <w:rFonts w:ascii="Arial" w:hAnsi="Arial" w:cs="Arial"/>
          <w:sz w:val="24"/>
          <w:szCs w:val="24"/>
        </w:rPr>
        <w:t>4</w:t>
      </w:r>
      <w:proofErr w:type="gramEnd"/>
      <w:r w:rsidRPr="00773374">
        <w:rPr>
          <w:rFonts w:ascii="Arial" w:hAnsi="Arial" w:cs="Arial"/>
          <w:sz w:val="24"/>
          <w:szCs w:val="24"/>
        </w:rPr>
        <w:t xml:space="preserve"> regimes de bens, sendo eles: comunhão parcial de bens, Comunhão Universal de Bens, separação legal de bens, que é dividido em dois: Separação Convencional de Bens e separação obrigatória </w:t>
      </w:r>
      <w:proofErr w:type="spellStart"/>
      <w:r w:rsidRPr="00773374">
        <w:rPr>
          <w:rFonts w:ascii="Arial" w:hAnsi="Arial" w:cs="Arial"/>
          <w:sz w:val="24"/>
          <w:szCs w:val="24"/>
        </w:rPr>
        <w:t>debens</w:t>
      </w:r>
      <w:proofErr w:type="spellEnd"/>
      <w:r w:rsidRPr="00773374">
        <w:rPr>
          <w:rFonts w:ascii="Arial" w:hAnsi="Arial" w:cs="Arial"/>
          <w:sz w:val="24"/>
          <w:szCs w:val="24"/>
        </w:rPr>
        <w:t>, e o último, participação final nos aquestos.</w:t>
      </w:r>
    </w:p>
    <w:p w:rsidR="003B5B03" w:rsidRPr="00773374" w:rsidRDefault="003B5B03" w:rsidP="003B5B03">
      <w:pPr>
        <w:jc w:val="both"/>
        <w:rPr>
          <w:rFonts w:ascii="Arial" w:hAnsi="Arial" w:cs="Arial"/>
          <w:sz w:val="24"/>
          <w:szCs w:val="24"/>
        </w:rPr>
      </w:pPr>
      <w:r w:rsidRPr="00773374">
        <w:rPr>
          <w:rFonts w:ascii="Arial" w:hAnsi="Arial" w:cs="Arial"/>
          <w:sz w:val="24"/>
          <w:szCs w:val="24"/>
        </w:rPr>
        <w:t xml:space="preserve">O Direito Civil Brasileiro prevê </w:t>
      </w:r>
      <w:proofErr w:type="gramStart"/>
      <w:r w:rsidRPr="00773374">
        <w:rPr>
          <w:rFonts w:ascii="Arial" w:hAnsi="Arial" w:cs="Arial"/>
          <w:sz w:val="24"/>
          <w:szCs w:val="24"/>
        </w:rPr>
        <w:t>4</w:t>
      </w:r>
      <w:proofErr w:type="gramEnd"/>
      <w:r w:rsidRPr="00773374">
        <w:rPr>
          <w:rFonts w:ascii="Arial" w:hAnsi="Arial" w:cs="Arial"/>
          <w:sz w:val="24"/>
          <w:szCs w:val="24"/>
        </w:rPr>
        <w:t xml:space="preserve"> regimes de bens, sendo eles: </w:t>
      </w:r>
    </w:p>
    <w:p w:rsidR="003B5B03" w:rsidRPr="00773374" w:rsidRDefault="003B5B03" w:rsidP="003B5B03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73374">
        <w:rPr>
          <w:rFonts w:ascii="Arial" w:hAnsi="Arial" w:cs="Arial"/>
          <w:b/>
          <w:sz w:val="24"/>
          <w:szCs w:val="24"/>
        </w:rPr>
        <w:t>Comunhão Parcial de Bens</w:t>
      </w:r>
      <w:r w:rsidRPr="00773374">
        <w:rPr>
          <w:rFonts w:ascii="Arial" w:hAnsi="Arial" w:cs="Arial"/>
          <w:sz w:val="24"/>
          <w:szCs w:val="24"/>
        </w:rPr>
        <w:t xml:space="preserve">, </w:t>
      </w:r>
    </w:p>
    <w:p w:rsidR="003B5B03" w:rsidRPr="00773374" w:rsidRDefault="003B5B03" w:rsidP="003B5B03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73374">
        <w:rPr>
          <w:rFonts w:ascii="Arial" w:hAnsi="Arial" w:cs="Arial"/>
          <w:b/>
          <w:sz w:val="24"/>
          <w:szCs w:val="24"/>
        </w:rPr>
        <w:t>Comunhão Universal de Bens</w:t>
      </w:r>
      <w:r w:rsidRPr="00773374">
        <w:rPr>
          <w:rFonts w:ascii="Arial" w:hAnsi="Arial" w:cs="Arial"/>
          <w:sz w:val="24"/>
          <w:szCs w:val="24"/>
        </w:rPr>
        <w:t>,</w:t>
      </w:r>
    </w:p>
    <w:p w:rsidR="00773374" w:rsidRDefault="003B5B03" w:rsidP="003B5B03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73374">
        <w:rPr>
          <w:rFonts w:ascii="Arial" w:hAnsi="Arial" w:cs="Arial"/>
          <w:b/>
          <w:sz w:val="24"/>
          <w:szCs w:val="24"/>
        </w:rPr>
        <w:t>Separação Legal de Bens</w:t>
      </w:r>
      <w:r w:rsidR="00773374">
        <w:rPr>
          <w:rFonts w:ascii="Arial" w:hAnsi="Arial" w:cs="Arial"/>
          <w:sz w:val="24"/>
          <w:szCs w:val="24"/>
        </w:rPr>
        <w:t>, que é dividido em dois:</w:t>
      </w:r>
    </w:p>
    <w:p w:rsidR="00773374" w:rsidRDefault="003B5B03" w:rsidP="00773374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773374">
        <w:rPr>
          <w:rFonts w:ascii="Arial" w:hAnsi="Arial" w:cs="Arial"/>
          <w:b/>
          <w:sz w:val="24"/>
          <w:szCs w:val="24"/>
        </w:rPr>
        <w:t>3.1</w:t>
      </w:r>
      <w:r w:rsidRPr="00773374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773374">
        <w:rPr>
          <w:rFonts w:ascii="Arial" w:hAnsi="Arial" w:cs="Arial"/>
          <w:sz w:val="24"/>
          <w:szCs w:val="24"/>
        </w:rPr>
        <w:t>-Separação</w:t>
      </w:r>
      <w:proofErr w:type="gramEnd"/>
      <w:r w:rsidRPr="00773374">
        <w:rPr>
          <w:rFonts w:ascii="Arial" w:hAnsi="Arial" w:cs="Arial"/>
          <w:sz w:val="24"/>
          <w:szCs w:val="24"/>
        </w:rPr>
        <w:t xml:space="preserve"> Convencional de Bens e </w:t>
      </w:r>
    </w:p>
    <w:p w:rsidR="003B5B03" w:rsidRPr="00773374" w:rsidRDefault="003B5B03" w:rsidP="00773374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773374">
        <w:rPr>
          <w:rFonts w:ascii="Arial" w:hAnsi="Arial" w:cs="Arial"/>
          <w:b/>
          <w:sz w:val="24"/>
          <w:szCs w:val="24"/>
        </w:rPr>
        <w:t>3.2</w:t>
      </w:r>
      <w:r w:rsidRPr="00773374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773374">
        <w:rPr>
          <w:rFonts w:ascii="Arial" w:hAnsi="Arial" w:cs="Arial"/>
          <w:sz w:val="24"/>
          <w:szCs w:val="24"/>
        </w:rPr>
        <w:t>-Separação</w:t>
      </w:r>
      <w:proofErr w:type="gramEnd"/>
      <w:r w:rsidRPr="00773374">
        <w:rPr>
          <w:rFonts w:ascii="Arial" w:hAnsi="Arial" w:cs="Arial"/>
          <w:sz w:val="24"/>
          <w:szCs w:val="24"/>
        </w:rPr>
        <w:t xml:space="preserve"> Obrigatória de Bens,</w:t>
      </w:r>
    </w:p>
    <w:p w:rsidR="003B5B03" w:rsidRPr="00773374" w:rsidRDefault="003B5B03" w:rsidP="003B5B03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73374">
        <w:rPr>
          <w:rFonts w:ascii="Arial" w:hAnsi="Arial" w:cs="Arial"/>
          <w:b/>
          <w:sz w:val="24"/>
          <w:szCs w:val="24"/>
        </w:rPr>
        <w:t>Participação Final nos Aquestos</w:t>
      </w:r>
      <w:r w:rsidRPr="00773374">
        <w:rPr>
          <w:rFonts w:ascii="Arial" w:hAnsi="Arial" w:cs="Arial"/>
          <w:sz w:val="24"/>
          <w:szCs w:val="24"/>
        </w:rPr>
        <w:t>.</w:t>
      </w:r>
    </w:p>
    <w:p w:rsidR="003B5B03" w:rsidRPr="00773374" w:rsidRDefault="003B5B03" w:rsidP="003B5B03">
      <w:pPr>
        <w:jc w:val="both"/>
        <w:rPr>
          <w:rFonts w:ascii="Arial" w:hAnsi="Arial" w:cs="Arial"/>
          <w:sz w:val="24"/>
          <w:szCs w:val="24"/>
        </w:rPr>
      </w:pPr>
      <w:r w:rsidRPr="00773374">
        <w:rPr>
          <w:rFonts w:ascii="Arial" w:hAnsi="Arial" w:cs="Arial"/>
          <w:sz w:val="24"/>
          <w:szCs w:val="24"/>
        </w:rPr>
        <w:t xml:space="preserve">Para melhor compreensão dos regimes, é importante conhecer primeiramente o que vem a ser o pacto antenupcial. </w:t>
      </w:r>
      <w:r w:rsidRPr="00773374">
        <w:rPr>
          <w:rFonts w:ascii="Arial" w:hAnsi="Arial" w:cs="Arial"/>
          <w:b/>
          <w:i/>
          <w:sz w:val="24"/>
          <w:szCs w:val="24"/>
          <w:u w:val="single"/>
        </w:rPr>
        <w:t xml:space="preserve">O pacto antenupcial é um contrato solene, firmado entres os nubentes, que serve para estabelecer normas dentro do casamento (divisão das despesas do casal, educação dos filhos, </w:t>
      </w:r>
      <w:proofErr w:type="spellStart"/>
      <w:r w:rsidRPr="00773374">
        <w:rPr>
          <w:rFonts w:ascii="Arial" w:hAnsi="Arial" w:cs="Arial"/>
          <w:b/>
          <w:i/>
          <w:sz w:val="24"/>
          <w:szCs w:val="24"/>
          <w:u w:val="single"/>
        </w:rPr>
        <w:t>etc</w:t>
      </w:r>
      <w:proofErr w:type="spellEnd"/>
      <w:r w:rsidRPr="00773374">
        <w:rPr>
          <w:rFonts w:ascii="Arial" w:hAnsi="Arial" w:cs="Arial"/>
          <w:b/>
          <w:i/>
          <w:sz w:val="24"/>
          <w:szCs w:val="24"/>
          <w:u w:val="single"/>
        </w:rPr>
        <w:t>) ou escolher qualquer dos regimes diferentes do padrão (comunhão parcial) que rege o casamento</w:t>
      </w:r>
      <w:r w:rsidRPr="00773374">
        <w:rPr>
          <w:rFonts w:ascii="Arial" w:hAnsi="Arial" w:cs="Arial"/>
          <w:sz w:val="24"/>
          <w:szCs w:val="24"/>
        </w:rPr>
        <w:t xml:space="preserve">. </w:t>
      </w:r>
      <w:r w:rsidR="004352AB" w:rsidRPr="00773374">
        <w:rPr>
          <w:rFonts w:ascii="Arial" w:hAnsi="Arial" w:cs="Arial"/>
          <w:sz w:val="24"/>
          <w:szCs w:val="24"/>
        </w:rPr>
        <w:t xml:space="preserve"> </w:t>
      </w:r>
      <w:r w:rsidRPr="00773374">
        <w:rPr>
          <w:rFonts w:ascii="Arial" w:hAnsi="Arial" w:cs="Arial"/>
          <w:sz w:val="24"/>
          <w:szCs w:val="24"/>
        </w:rPr>
        <w:t>A seguir, cada um dos regimes.</w:t>
      </w:r>
    </w:p>
    <w:p w:rsidR="003B5B03" w:rsidRPr="00773374" w:rsidRDefault="003B5B03" w:rsidP="003B5B03">
      <w:pPr>
        <w:jc w:val="both"/>
        <w:rPr>
          <w:rFonts w:ascii="Arial" w:hAnsi="Arial" w:cs="Arial"/>
          <w:sz w:val="24"/>
          <w:szCs w:val="24"/>
        </w:rPr>
      </w:pPr>
    </w:p>
    <w:p w:rsidR="003B5B03" w:rsidRPr="00773374" w:rsidRDefault="003B5B03" w:rsidP="003B5B03">
      <w:pPr>
        <w:jc w:val="both"/>
        <w:rPr>
          <w:rFonts w:ascii="Arial" w:hAnsi="Arial" w:cs="Arial"/>
          <w:b/>
          <w:sz w:val="24"/>
          <w:szCs w:val="24"/>
        </w:rPr>
      </w:pPr>
      <w:r w:rsidRPr="00773374">
        <w:rPr>
          <w:rFonts w:ascii="Arial" w:hAnsi="Arial" w:cs="Arial"/>
          <w:b/>
          <w:sz w:val="24"/>
          <w:szCs w:val="24"/>
        </w:rPr>
        <w:t>1-COMUNHÃO PARCIAL DE BENS</w:t>
      </w:r>
    </w:p>
    <w:p w:rsidR="003B5B03" w:rsidRPr="00773374" w:rsidRDefault="003B5B03" w:rsidP="003B5B03">
      <w:pPr>
        <w:jc w:val="both"/>
        <w:rPr>
          <w:rFonts w:ascii="Arial" w:hAnsi="Arial" w:cs="Arial"/>
          <w:sz w:val="24"/>
          <w:szCs w:val="24"/>
        </w:rPr>
      </w:pPr>
      <w:r w:rsidRPr="00773374">
        <w:rPr>
          <w:rFonts w:ascii="Arial" w:hAnsi="Arial" w:cs="Arial"/>
          <w:sz w:val="24"/>
          <w:szCs w:val="24"/>
        </w:rPr>
        <w:t>A Comunhão Parcial de Bens é o regime mais comum de casamento, é o regime "padrão" do casamento. Esse será o regime aplicado caso as partes não escolham outro através do pacto antenupcial. O elemento central deste regime é a presunção do esforço comum, ou seja, presume-se que, durante o casamento, os dois contribuirão para a aquisição dos bens.</w:t>
      </w:r>
    </w:p>
    <w:p w:rsidR="003B5B03" w:rsidRPr="00773374" w:rsidRDefault="003B5B03" w:rsidP="003B5B03">
      <w:pPr>
        <w:jc w:val="both"/>
        <w:rPr>
          <w:rFonts w:ascii="Arial" w:hAnsi="Arial" w:cs="Arial"/>
          <w:sz w:val="24"/>
          <w:szCs w:val="24"/>
        </w:rPr>
      </w:pPr>
      <w:r w:rsidRPr="00773374">
        <w:rPr>
          <w:rFonts w:ascii="Arial" w:hAnsi="Arial" w:cs="Arial"/>
          <w:sz w:val="24"/>
          <w:szCs w:val="24"/>
        </w:rPr>
        <w:t>Como regra geral, a comunhão parcial possui uma diretiva simples: comunicam-se os bens que são adquiridos pelos cônjuges durante o casamento (chamados de aquestos) e não se comunicam os bens que cada um dos cônjuges já possuía anteriormente (chamados de particulares).</w:t>
      </w:r>
    </w:p>
    <w:p w:rsidR="003B5B03" w:rsidRPr="00773374" w:rsidRDefault="003B5B03" w:rsidP="003B5B03">
      <w:pPr>
        <w:jc w:val="both"/>
        <w:rPr>
          <w:rFonts w:ascii="Arial" w:hAnsi="Arial" w:cs="Arial"/>
          <w:sz w:val="24"/>
          <w:szCs w:val="24"/>
        </w:rPr>
      </w:pPr>
      <w:r w:rsidRPr="00773374">
        <w:rPr>
          <w:rFonts w:ascii="Arial" w:hAnsi="Arial" w:cs="Arial"/>
          <w:sz w:val="24"/>
          <w:szCs w:val="24"/>
        </w:rPr>
        <w:t xml:space="preserve">Numa singela explicação, comunicar, em </w:t>
      </w:r>
      <w:proofErr w:type="gramStart"/>
      <w:r w:rsidRPr="00773374">
        <w:rPr>
          <w:rFonts w:ascii="Arial" w:hAnsi="Arial" w:cs="Arial"/>
          <w:sz w:val="24"/>
          <w:szCs w:val="24"/>
        </w:rPr>
        <w:t>termos jurídico</w:t>
      </w:r>
      <w:proofErr w:type="gramEnd"/>
      <w:r w:rsidRPr="00773374">
        <w:rPr>
          <w:rFonts w:ascii="Arial" w:hAnsi="Arial" w:cs="Arial"/>
          <w:sz w:val="24"/>
          <w:szCs w:val="24"/>
        </w:rPr>
        <w:t>, significa passar a pertencer ao casal.</w:t>
      </w:r>
    </w:p>
    <w:p w:rsidR="003B5B03" w:rsidRPr="00773374" w:rsidRDefault="003B5B03" w:rsidP="003B5B03">
      <w:pPr>
        <w:jc w:val="both"/>
        <w:rPr>
          <w:rFonts w:ascii="Arial" w:hAnsi="Arial" w:cs="Arial"/>
          <w:sz w:val="24"/>
          <w:szCs w:val="24"/>
        </w:rPr>
      </w:pPr>
    </w:p>
    <w:p w:rsidR="003B5B03" w:rsidRPr="00773374" w:rsidRDefault="003B5B03" w:rsidP="003B5B03">
      <w:pPr>
        <w:jc w:val="both"/>
        <w:rPr>
          <w:rFonts w:ascii="Arial" w:hAnsi="Arial" w:cs="Arial"/>
          <w:b/>
          <w:sz w:val="24"/>
          <w:szCs w:val="24"/>
        </w:rPr>
      </w:pPr>
      <w:r w:rsidRPr="00773374">
        <w:rPr>
          <w:rFonts w:ascii="Arial" w:hAnsi="Arial" w:cs="Arial"/>
          <w:b/>
          <w:sz w:val="24"/>
          <w:szCs w:val="24"/>
        </w:rPr>
        <w:t>2-COMUNHÃO UNIVERSAL DE BENS</w:t>
      </w:r>
    </w:p>
    <w:p w:rsidR="003B5B03" w:rsidRPr="00773374" w:rsidRDefault="003B5B03" w:rsidP="003B5B03">
      <w:pPr>
        <w:jc w:val="both"/>
        <w:rPr>
          <w:rFonts w:ascii="Arial" w:hAnsi="Arial" w:cs="Arial"/>
          <w:sz w:val="24"/>
          <w:szCs w:val="24"/>
        </w:rPr>
      </w:pPr>
      <w:r w:rsidRPr="00773374">
        <w:rPr>
          <w:rFonts w:ascii="Arial" w:hAnsi="Arial" w:cs="Arial"/>
          <w:sz w:val="24"/>
          <w:szCs w:val="24"/>
        </w:rPr>
        <w:lastRenderedPageBreak/>
        <w:t>Na Comunhão Universal de Bens, a massa patrimonial é única, não existindo bens individuais, pois acontece uma união dos patrimônios inclusive daqueles adquiridos antes do casamento.</w:t>
      </w:r>
    </w:p>
    <w:p w:rsidR="003B5B03" w:rsidRPr="00773374" w:rsidRDefault="003B5B03" w:rsidP="003B5B03">
      <w:pPr>
        <w:jc w:val="both"/>
        <w:rPr>
          <w:rFonts w:ascii="Arial" w:hAnsi="Arial" w:cs="Arial"/>
          <w:sz w:val="24"/>
          <w:szCs w:val="24"/>
        </w:rPr>
      </w:pPr>
      <w:r w:rsidRPr="00773374">
        <w:rPr>
          <w:rFonts w:ascii="Arial" w:hAnsi="Arial" w:cs="Arial"/>
          <w:sz w:val="24"/>
          <w:szCs w:val="24"/>
        </w:rPr>
        <w:t>Excetuam-se da comunicabilidade os bens doados/herdados com cláusula de incomunicabilidade, os sub-rogados, os de uso pessoal, assim como livros e instrumentos de profissão, os proventos do trabalho pessoal de cada cônjuge, as pensões, meios-soldos, montepios e outras rendas semelhantes.</w:t>
      </w:r>
    </w:p>
    <w:p w:rsidR="003B5B03" w:rsidRPr="00773374" w:rsidRDefault="003B5B03" w:rsidP="003B5B03">
      <w:pPr>
        <w:jc w:val="both"/>
        <w:rPr>
          <w:rFonts w:ascii="Arial" w:hAnsi="Arial" w:cs="Arial"/>
          <w:sz w:val="24"/>
          <w:szCs w:val="24"/>
        </w:rPr>
      </w:pPr>
      <w:r w:rsidRPr="00773374">
        <w:rPr>
          <w:rFonts w:ascii="Arial" w:hAnsi="Arial" w:cs="Arial"/>
          <w:sz w:val="24"/>
          <w:szCs w:val="24"/>
        </w:rPr>
        <w:t>Do ponto de vista sucessório, no regime da comunhão universal o cônjuge não é herdeiro, mas tem direito à meação (metade dos bens).</w:t>
      </w:r>
    </w:p>
    <w:p w:rsidR="003B5B03" w:rsidRPr="00773374" w:rsidRDefault="003B5B03" w:rsidP="003B5B03">
      <w:pPr>
        <w:jc w:val="both"/>
        <w:rPr>
          <w:rFonts w:ascii="Arial" w:hAnsi="Arial" w:cs="Arial"/>
          <w:sz w:val="24"/>
          <w:szCs w:val="24"/>
        </w:rPr>
      </w:pPr>
    </w:p>
    <w:p w:rsidR="003B5B03" w:rsidRPr="00773374" w:rsidRDefault="003B5B03" w:rsidP="003B5B03">
      <w:pPr>
        <w:jc w:val="both"/>
        <w:rPr>
          <w:rFonts w:ascii="Arial" w:hAnsi="Arial" w:cs="Arial"/>
          <w:b/>
          <w:sz w:val="24"/>
          <w:szCs w:val="24"/>
        </w:rPr>
      </w:pPr>
      <w:r w:rsidRPr="00773374">
        <w:rPr>
          <w:rFonts w:ascii="Arial" w:hAnsi="Arial" w:cs="Arial"/>
          <w:b/>
          <w:sz w:val="24"/>
          <w:szCs w:val="24"/>
        </w:rPr>
        <w:t>3.1-SEPARAÇÃO CONVENCIONAL DE BENS</w:t>
      </w:r>
    </w:p>
    <w:p w:rsidR="003B5B03" w:rsidRPr="00773374" w:rsidRDefault="003B5B03" w:rsidP="003B5B03">
      <w:pPr>
        <w:jc w:val="both"/>
        <w:rPr>
          <w:rFonts w:ascii="Arial" w:hAnsi="Arial" w:cs="Arial"/>
          <w:sz w:val="24"/>
          <w:szCs w:val="24"/>
        </w:rPr>
      </w:pPr>
      <w:r w:rsidRPr="00773374">
        <w:rPr>
          <w:rFonts w:ascii="Arial" w:hAnsi="Arial" w:cs="Arial"/>
          <w:sz w:val="24"/>
          <w:szCs w:val="24"/>
        </w:rPr>
        <w:t xml:space="preserve">Para a adoção do regime da Separação Convencional de Bens, é necessária a celebração prévia de </w:t>
      </w:r>
      <w:r w:rsidRPr="00773374">
        <w:rPr>
          <w:rFonts w:ascii="Arial" w:hAnsi="Arial" w:cs="Arial"/>
          <w:b/>
          <w:sz w:val="24"/>
          <w:szCs w:val="24"/>
          <w:u w:val="single"/>
        </w:rPr>
        <w:t>pacto antenupcial</w:t>
      </w:r>
      <w:r w:rsidRPr="00773374">
        <w:rPr>
          <w:rFonts w:ascii="Arial" w:hAnsi="Arial" w:cs="Arial"/>
          <w:sz w:val="24"/>
          <w:szCs w:val="24"/>
        </w:rPr>
        <w:t>, por meio do qual o casal convenciona que seus bens, presentes e futuros, serão incomunicáveis.</w:t>
      </w:r>
    </w:p>
    <w:p w:rsidR="003B5B03" w:rsidRPr="00773374" w:rsidRDefault="003B5B03" w:rsidP="003B5B03">
      <w:pPr>
        <w:jc w:val="both"/>
        <w:rPr>
          <w:rFonts w:ascii="Arial" w:hAnsi="Arial" w:cs="Arial"/>
          <w:sz w:val="24"/>
          <w:szCs w:val="24"/>
        </w:rPr>
      </w:pPr>
      <w:r w:rsidRPr="00773374">
        <w:rPr>
          <w:rFonts w:ascii="Arial" w:hAnsi="Arial" w:cs="Arial"/>
          <w:sz w:val="24"/>
          <w:szCs w:val="24"/>
        </w:rPr>
        <w:t>Em caso de divórcio não há divisão de bens e cada um dos cônjuges permanecerá com os seus respectivos bens, visto inexistirem bens comuns, sendo todos exclusivos de quem os adquiriu e registrou em seu nome (ver comentários sobre a Súmula 377, abaixo).</w:t>
      </w:r>
    </w:p>
    <w:p w:rsidR="003B5B03" w:rsidRPr="00773374" w:rsidRDefault="003B5B03" w:rsidP="003B5B03">
      <w:pPr>
        <w:jc w:val="both"/>
        <w:rPr>
          <w:rFonts w:ascii="Arial" w:hAnsi="Arial" w:cs="Arial"/>
          <w:sz w:val="24"/>
          <w:szCs w:val="24"/>
        </w:rPr>
      </w:pPr>
      <w:r w:rsidRPr="00773374">
        <w:rPr>
          <w:rFonts w:ascii="Arial" w:hAnsi="Arial" w:cs="Arial"/>
          <w:sz w:val="24"/>
          <w:szCs w:val="24"/>
        </w:rPr>
        <w:t>Por outro lado, em caso de falecimento, o cônjuge sobrevivente torna-se herdeiro e terá direito a uma parte dos bens deixados pelo falecido, senão a sua totalidade, caso não haja descendentes nem ascendentes.</w:t>
      </w:r>
    </w:p>
    <w:p w:rsidR="003B5B03" w:rsidRPr="00773374" w:rsidRDefault="003B5B03" w:rsidP="003B5B03">
      <w:pPr>
        <w:jc w:val="both"/>
        <w:rPr>
          <w:rFonts w:ascii="Arial" w:hAnsi="Arial" w:cs="Arial"/>
          <w:sz w:val="24"/>
          <w:szCs w:val="24"/>
        </w:rPr>
      </w:pPr>
    </w:p>
    <w:p w:rsidR="003B5B03" w:rsidRPr="00773374" w:rsidRDefault="003B5B03" w:rsidP="003B5B03">
      <w:pPr>
        <w:jc w:val="both"/>
        <w:rPr>
          <w:rFonts w:ascii="Arial" w:hAnsi="Arial" w:cs="Arial"/>
          <w:b/>
          <w:sz w:val="24"/>
          <w:szCs w:val="24"/>
        </w:rPr>
      </w:pPr>
      <w:r w:rsidRPr="00773374">
        <w:rPr>
          <w:rFonts w:ascii="Arial" w:hAnsi="Arial" w:cs="Arial"/>
          <w:b/>
          <w:sz w:val="24"/>
          <w:szCs w:val="24"/>
        </w:rPr>
        <w:t>3.2-SEPARAÇÃO OBRIGATÓRIA DE BENS</w:t>
      </w:r>
    </w:p>
    <w:p w:rsidR="003B5B03" w:rsidRPr="00773374" w:rsidRDefault="003B5B03" w:rsidP="003B5B03">
      <w:pPr>
        <w:jc w:val="both"/>
        <w:rPr>
          <w:rFonts w:ascii="Arial" w:hAnsi="Arial" w:cs="Arial"/>
          <w:sz w:val="24"/>
          <w:szCs w:val="24"/>
        </w:rPr>
      </w:pPr>
      <w:r w:rsidRPr="00773374">
        <w:rPr>
          <w:rFonts w:ascii="Arial" w:hAnsi="Arial" w:cs="Arial"/>
          <w:sz w:val="24"/>
          <w:szCs w:val="24"/>
        </w:rPr>
        <w:t xml:space="preserve">O regime de Separação Obrigatória de Bens é imposto pelo artigo 1.641, do Código Civil, o qual determina que </w:t>
      </w:r>
      <w:proofErr w:type="gramStart"/>
      <w:r w:rsidRPr="00773374">
        <w:rPr>
          <w:rFonts w:ascii="Arial" w:hAnsi="Arial" w:cs="Arial"/>
          <w:sz w:val="24"/>
          <w:szCs w:val="24"/>
        </w:rPr>
        <w:t>deverá</w:t>
      </w:r>
      <w:proofErr w:type="gramEnd"/>
      <w:r w:rsidRPr="00773374">
        <w:rPr>
          <w:rFonts w:ascii="Arial" w:hAnsi="Arial" w:cs="Arial"/>
          <w:sz w:val="24"/>
          <w:szCs w:val="24"/>
        </w:rPr>
        <w:t xml:space="preserve"> haver a separação total de bens no casamento de pessoa maior de setenta anos, bem como para os que dependerem de suprimento judicial para casar (menores de 18 e maiores de 16 anos cujos pais divergem quanto à autorização para o casamento, por exemplo), o que poderá ser alterado quando da maioridade. Dessa forma, o patrimônio dos cônjuges não se mistura. Esse regime seria necessário, para os maiores de 70 anos, para proteger-lhes o patrimônio, partindo do contestável pressuposto de que são vulneráveis.</w:t>
      </w:r>
    </w:p>
    <w:p w:rsidR="003B5B03" w:rsidRPr="00773374" w:rsidRDefault="003B5B03" w:rsidP="003B5B03">
      <w:pPr>
        <w:jc w:val="both"/>
        <w:rPr>
          <w:rFonts w:ascii="Arial" w:hAnsi="Arial" w:cs="Arial"/>
          <w:sz w:val="24"/>
          <w:szCs w:val="24"/>
        </w:rPr>
      </w:pPr>
      <w:r w:rsidRPr="00773374">
        <w:rPr>
          <w:rFonts w:ascii="Arial" w:hAnsi="Arial" w:cs="Arial"/>
          <w:sz w:val="24"/>
          <w:szCs w:val="24"/>
        </w:rPr>
        <w:t xml:space="preserve">O art. 1641, do Código Civil, no que se refere aos maiores de 70 anos, é muito discutido atualmente, especificamente sobre sua constitucionalidade. O Tribunal de Justiça do Rio Grande do Sul (TJ/RS), por exemplo, já decidiu pela inconstitucionalidade desse dispositivo, por trazer violação à dignidade da pessoa humana. Por outro lado, o Ministro do STF, Luís Roberto Barroso, </w:t>
      </w:r>
      <w:r w:rsidRPr="00773374">
        <w:rPr>
          <w:rFonts w:ascii="Arial" w:hAnsi="Arial" w:cs="Arial"/>
          <w:sz w:val="24"/>
          <w:szCs w:val="24"/>
        </w:rPr>
        <w:lastRenderedPageBreak/>
        <w:t>reconheceu que a matéria é de nível constitucional e a repercussão geral do tema, mas ainda depende de julgamento pelo Plenário do STF.</w:t>
      </w:r>
    </w:p>
    <w:p w:rsidR="003B5B03" w:rsidRPr="00773374" w:rsidRDefault="003B5B03" w:rsidP="003B5B03">
      <w:pPr>
        <w:jc w:val="both"/>
        <w:rPr>
          <w:rFonts w:ascii="Arial" w:hAnsi="Arial" w:cs="Arial"/>
          <w:sz w:val="24"/>
          <w:szCs w:val="24"/>
        </w:rPr>
      </w:pPr>
    </w:p>
    <w:p w:rsidR="003B5B03" w:rsidRPr="00773374" w:rsidRDefault="003B5B03" w:rsidP="003B5B03">
      <w:pPr>
        <w:jc w:val="both"/>
        <w:rPr>
          <w:rFonts w:ascii="Arial" w:hAnsi="Arial" w:cs="Arial"/>
          <w:b/>
          <w:i/>
          <w:sz w:val="24"/>
          <w:szCs w:val="24"/>
          <w:u w:val="single"/>
        </w:rPr>
      </w:pPr>
      <w:r w:rsidRPr="00773374">
        <w:rPr>
          <w:rFonts w:ascii="Arial" w:hAnsi="Arial" w:cs="Arial"/>
          <w:b/>
          <w:i/>
          <w:sz w:val="24"/>
          <w:szCs w:val="24"/>
          <w:u w:val="single"/>
        </w:rPr>
        <w:t>SEPARAÇÃO DE BENS - CONVENCIONAL E OBRIGATÓRIA - OUTRAS CONSIDERAÇÕES</w:t>
      </w:r>
    </w:p>
    <w:p w:rsidR="003B5B03" w:rsidRPr="00773374" w:rsidRDefault="003B5B03" w:rsidP="003B5B03">
      <w:pPr>
        <w:jc w:val="both"/>
        <w:rPr>
          <w:rFonts w:ascii="Arial" w:hAnsi="Arial" w:cs="Arial"/>
          <w:sz w:val="24"/>
          <w:szCs w:val="24"/>
        </w:rPr>
      </w:pPr>
      <w:r w:rsidRPr="00773374">
        <w:rPr>
          <w:rFonts w:ascii="Arial" w:hAnsi="Arial" w:cs="Arial"/>
          <w:sz w:val="24"/>
          <w:szCs w:val="24"/>
        </w:rPr>
        <w:t>No regime da separação de bens (convencional e obrigatória), em caso de divórcio, deve ser levada em consideração a regra pacificada pela Súmula 377, do STF, segundo a qual: "No regime de separação legal de bens, comunicam-se os adquiridos na constância do casamento", ou seja, em caso de divórcio, os bens adquiridos durante a união devem ser divididos entre os cônjuges (devendo em alguns casos ser provado o esforço comum), já aqueles adquiridos antes da união, pertencem exclusivamente a quem os adquiriu.</w:t>
      </w:r>
    </w:p>
    <w:p w:rsidR="003B5B03" w:rsidRPr="00773374" w:rsidRDefault="003B5B03" w:rsidP="003B5B03">
      <w:pPr>
        <w:jc w:val="both"/>
        <w:rPr>
          <w:rFonts w:ascii="Arial" w:hAnsi="Arial" w:cs="Arial"/>
          <w:sz w:val="24"/>
          <w:szCs w:val="24"/>
        </w:rPr>
      </w:pPr>
      <w:r w:rsidRPr="00773374">
        <w:rPr>
          <w:rFonts w:ascii="Arial" w:hAnsi="Arial" w:cs="Arial"/>
          <w:sz w:val="24"/>
          <w:szCs w:val="24"/>
        </w:rPr>
        <w:t>Por outro lado, o STJ já reconhece a inaplicabilidade da súmula 377, editada sob Código Civil de 1916, em regime de Separação Convencional de Bens, pois o regime é escolhido pelo casal e não uma imposição legal. Com efeito, a aplicação da súmula, basicamente, transforma o regime de separação obrigatória de bens no regime de comunhão parcial de bens, pois, em tese, ambos haveria a comunicação de bens adquiridos com esforço comum na constância do relacionamento.</w:t>
      </w:r>
    </w:p>
    <w:p w:rsidR="003B5B03" w:rsidRPr="00773374" w:rsidRDefault="003B5B03" w:rsidP="003B5B03">
      <w:pPr>
        <w:jc w:val="both"/>
        <w:rPr>
          <w:rFonts w:ascii="Arial" w:hAnsi="Arial" w:cs="Arial"/>
          <w:sz w:val="24"/>
          <w:szCs w:val="24"/>
        </w:rPr>
      </w:pPr>
      <w:r w:rsidRPr="00773374">
        <w:rPr>
          <w:rFonts w:ascii="Arial" w:hAnsi="Arial" w:cs="Arial"/>
          <w:sz w:val="24"/>
          <w:szCs w:val="24"/>
        </w:rPr>
        <w:t>Em caso de falecimento, o cônjuge/companheiro sobrevivente, em geral, não é considerado herdeiro se houver descendentes do falecido (artigo 1.829, inciso I, do CC).</w:t>
      </w:r>
    </w:p>
    <w:p w:rsidR="003B5B03" w:rsidRPr="00773374" w:rsidRDefault="003B5B03" w:rsidP="003B5B03">
      <w:pPr>
        <w:jc w:val="both"/>
        <w:rPr>
          <w:rFonts w:ascii="Arial" w:hAnsi="Arial" w:cs="Arial"/>
          <w:sz w:val="24"/>
          <w:szCs w:val="24"/>
        </w:rPr>
      </w:pPr>
      <w:r w:rsidRPr="00773374">
        <w:rPr>
          <w:rFonts w:ascii="Arial" w:hAnsi="Arial" w:cs="Arial"/>
          <w:sz w:val="24"/>
          <w:szCs w:val="24"/>
        </w:rPr>
        <w:t>Hoje é aceito que os nubentes, caso desejem, podem afastar Súmulas do STF e STJ via pacto antenupcial.</w:t>
      </w:r>
    </w:p>
    <w:p w:rsidR="003B5B03" w:rsidRPr="00773374" w:rsidRDefault="003B5B03" w:rsidP="003B5B03">
      <w:pPr>
        <w:jc w:val="both"/>
        <w:rPr>
          <w:rFonts w:ascii="Arial" w:hAnsi="Arial" w:cs="Arial"/>
          <w:sz w:val="24"/>
          <w:szCs w:val="24"/>
        </w:rPr>
      </w:pPr>
    </w:p>
    <w:p w:rsidR="003B5B03" w:rsidRPr="00773374" w:rsidRDefault="004352AB" w:rsidP="003B5B03">
      <w:pPr>
        <w:jc w:val="both"/>
        <w:rPr>
          <w:rFonts w:ascii="Arial" w:hAnsi="Arial" w:cs="Arial"/>
          <w:b/>
          <w:sz w:val="24"/>
          <w:szCs w:val="24"/>
        </w:rPr>
      </w:pPr>
      <w:r w:rsidRPr="00773374">
        <w:rPr>
          <w:rFonts w:ascii="Arial" w:hAnsi="Arial" w:cs="Arial"/>
          <w:b/>
          <w:sz w:val="24"/>
          <w:szCs w:val="24"/>
        </w:rPr>
        <w:t>4-</w:t>
      </w:r>
      <w:r w:rsidR="003B5B03" w:rsidRPr="00773374">
        <w:rPr>
          <w:rFonts w:ascii="Arial" w:hAnsi="Arial" w:cs="Arial"/>
          <w:b/>
          <w:sz w:val="24"/>
          <w:szCs w:val="24"/>
        </w:rPr>
        <w:t>PARTICIPAÇÃO FINAL NOS AQUESTOS</w:t>
      </w:r>
    </w:p>
    <w:p w:rsidR="003B5B03" w:rsidRPr="00773374" w:rsidRDefault="003B5B03" w:rsidP="003B5B03">
      <w:pPr>
        <w:jc w:val="both"/>
        <w:rPr>
          <w:rFonts w:ascii="Arial" w:hAnsi="Arial" w:cs="Arial"/>
          <w:sz w:val="24"/>
          <w:szCs w:val="24"/>
        </w:rPr>
      </w:pPr>
      <w:r w:rsidRPr="00773374">
        <w:rPr>
          <w:rFonts w:ascii="Arial" w:hAnsi="Arial" w:cs="Arial"/>
          <w:sz w:val="24"/>
          <w:szCs w:val="24"/>
        </w:rPr>
        <w:t>Por fim, o último regime de bens previstos em lei é o da Participação Final nos Aquestos, de longe, é o regime menos comum. Trata-se de um regime híbrido, segundo o qual, no decorrer do casamento, são aplicadas as regras da separação total/convencional de bens e, no momento do divórcio, as normas da comunhão parcial de bens, partilhando-se os bens adquiridos onerosamente por cada um durante a união.</w:t>
      </w:r>
    </w:p>
    <w:p w:rsidR="003B5B03" w:rsidRPr="00773374" w:rsidRDefault="003B5B03" w:rsidP="003B5B03">
      <w:pPr>
        <w:jc w:val="both"/>
        <w:rPr>
          <w:rFonts w:ascii="Arial" w:hAnsi="Arial" w:cs="Arial"/>
          <w:sz w:val="24"/>
          <w:szCs w:val="24"/>
        </w:rPr>
      </w:pPr>
      <w:r w:rsidRPr="00773374">
        <w:rPr>
          <w:rFonts w:ascii="Arial" w:hAnsi="Arial" w:cs="Arial"/>
          <w:sz w:val="24"/>
          <w:szCs w:val="24"/>
        </w:rPr>
        <w:t>Assim, na constância da união cada cônjuge é livre para administrar seus próprios bens, sem a necessidade de pedir autorização do outro cônjuge para a venda de um imóvel, por exemplo.</w:t>
      </w:r>
    </w:p>
    <w:p w:rsidR="003B5B03" w:rsidRPr="00773374" w:rsidRDefault="003B5B03" w:rsidP="003B5B03">
      <w:pPr>
        <w:jc w:val="both"/>
        <w:rPr>
          <w:rFonts w:ascii="Arial" w:hAnsi="Arial" w:cs="Arial"/>
          <w:sz w:val="24"/>
          <w:szCs w:val="24"/>
        </w:rPr>
      </w:pPr>
      <w:r w:rsidRPr="00773374">
        <w:rPr>
          <w:rFonts w:ascii="Arial" w:hAnsi="Arial" w:cs="Arial"/>
          <w:sz w:val="24"/>
          <w:szCs w:val="24"/>
        </w:rPr>
        <w:lastRenderedPageBreak/>
        <w:t>Dissolvida a união por morte, a meação do cônjuge supérstite ocorrerá nos moldes do divórcio e os bens particulares do falecido serão deferidos como herança aos herdeiros.</w:t>
      </w:r>
    </w:p>
    <w:p w:rsidR="003B5B03" w:rsidRPr="00773374" w:rsidRDefault="003B5B03" w:rsidP="003B5B03">
      <w:pPr>
        <w:jc w:val="both"/>
        <w:rPr>
          <w:rFonts w:ascii="Arial" w:hAnsi="Arial" w:cs="Arial"/>
          <w:sz w:val="24"/>
          <w:szCs w:val="24"/>
        </w:rPr>
      </w:pPr>
    </w:p>
    <w:p w:rsidR="003B5B03" w:rsidRPr="00773374" w:rsidRDefault="003B5B03" w:rsidP="003B5B03">
      <w:p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773374">
        <w:rPr>
          <w:rFonts w:ascii="Arial" w:hAnsi="Arial" w:cs="Arial"/>
          <w:b/>
          <w:sz w:val="24"/>
          <w:szCs w:val="24"/>
          <w:u w:val="single"/>
        </w:rPr>
        <w:t>FINAL</w:t>
      </w:r>
    </w:p>
    <w:p w:rsidR="003B5B03" w:rsidRPr="00773374" w:rsidRDefault="003B5B03" w:rsidP="003B5B03">
      <w:pPr>
        <w:jc w:val="both"/>
        <w:rPr>
          <w:rFonts w:ascii="Arial" w:hAnsi="Arial" w:cs="Arial"/>
          <w:sz w:val="24"/>
          <w:szCs w:val="24"/>
        </w:rPr>
      </w:pPr>
      <w:r w:rsidRPr="00773374">
        <w:rPr>
          <w:rFonts w:ascii="Arial" w:hAnsi="Arial" w:cs="Arial"/>
          <w:sz w:val="24"/>
          <w:szCs w:val="24"/>
        </w:rPr>
        <w:t>Estas, em linhas gerais, são as disposições que regem o casamento. Os nubentes, antes do casamento, devem analisar detidamente qual o regime que lhes é mais conveniente e quais outras regras não expressamente previstas em lei lhes será útil adotar (educação dos filhos, por exemplo).</w:t>
      </w:r>
    </w:p>
    <w:p w:rsidR="003B5B03" w:rsidRPr="00773374" w:rsidRDefault="003B5B03" w:rsidP="003B5B03">
      <w:pPr>
        <w:jc w:val="both"/>
        <w:rPr>
          <w:rFonts w:ascii="Arial" w:hAnsi="Arial" w:cs="Arial"/>
          <w:sz w:val="24"/>
          <w:szCs w:val="24"/>
        </w:rPr>
      </w:pPr>
      <w:r w:rsidRPr="00773374">
        <w:rPr>
          <w:rFonts w:ascii="Arial" w:hAnsi="Arial" w:cs="Arial"/>
          <w:sz w:val="24"/>
          <w:szCs w:val="24"/>
        </w:rPr>
        <w:t>Por fim, as disposições acima analisadas são igualmente aplicáveis aos casamentos entre pessoas do mesmo sexo.</w:t>
      </w:r>
    </w:p>
    <w:p w:rsidR="00040C65" w:rsidRPr="00773374" w:rsidRDefault="00040C65" w:rsidP="003B5B03">
      <w:pPr>
        <w:jc w:val="both"/>
        <w:rPr>
          <w:rFonts w:ascii="Arial" w:hAnsi="Arial" w:cs="Arial"/>
          <w:sz w:val="24"/>
          <w:szCs w:val="24"/>
        </w:rPr>
      </w:pPr>
    </w:p>
    <w:p w:rsidR="00040C65" w:rsidRPr="00773374" w:rsidRDefault="00040C65" w:rsidP="003B5B03">
      <w:pPr>
        <w:jc w:val="both"/>
        <w:rPr>
          <w:rFonts w:ascii="Arial" w:hAnsi="Arial" w:cs="Arial"/>
          <w:sz w:val="24"/>
          <w:szCs w:val="24"/>
        </w:rPr>
      </w:pPr>
    </w:p>
    <w:p w:rsidR="00040C65" w:rsidRPr="00773374" w:rsidRDefault="00040C65" w:rsidP="003B5B03">
      <w:pPr>
        <w:jc w:val="both"/>
        <w:rPr>
          <w:rFonts w:ascii="Arial" w:hAnsi="Arial" w:cs="Arial"/>
          <w:sz w:val="24"/>
          <w:szCs w:val="24"/>
        </w:rPr>
      </w:pPr>
    </w:p>
    <w:p w:rsidR="003B5B03" w:rsidRPr="00773374" w:rsidRDefault="003B5B03" w:rsidP="00040C65">
      <w:pPr>
        <w:spacing w:after="0" w:line="240" w:lineRule="auto"/>
        <w:jc w:val="both"/>
        <w:rPr>
          <w:rFonts w:ascii="Arial" w:hAnsi="Arial" w:cs="Arial"/>
          <w:b/>
          <w:i/>
          <w:sz w:val="24"/>
          <w:szCs w:val="24"/>
        </w:rPr>
      </w:pPr>
      <w:r w:rsidRPr="00773374">
        <w:rPr>
          <w:rFonts w:ascii="Arial" w:hAnsi="Arial" w:cs="Arial"/>
          <w:b/>
          <w:i/>
          <w:sz w:val="24"/>
          <w:szCs w:val="24"/>
        </w:rPr>
        <w:t xml:space="preserve">João Vitor de Mello </w:t>
      </w:r>
      <w:proofErr w:type="spellStart"/>
      <w:r w:rsidRPr="00773374">
        <w:rPr>
          <w:rFonts w:ascii="Arial" w:hAnsi="Arial" w:cs="Arial"/>
          <w:b/>
          <w:i/>
          <w:sz w:val="24"/>
          <w:szCs w:val="24"/>
        </w:rPr>
        <w:t>Andreis</w:t>
      </w:r>
      <w:proofErr w:type="spellEnd"/>
    </w:p>
    <w:p w:rsidR="003B5B03" w:rsidRPr="00773374" w:rsidRDefault="003B5B03" w:rsidP="00040C65">
      <w:pPr>
        <w:spacing w:after="0" w:line="240" w:lineRule="auto"/>
        <w:jc w:val="both"/>
        <w:rPr>
          <w:rFonts w:ascii="Arial" w:hAnsi="Arial" w:cs="Arial"/>
          <w:b/>
          <w:i/>
          <w:sz w:val="24"/>
          <w:szCs w:val="24"/>
        </w:rPr>
      </w:pPr>
      <w:r w:rsidRPr="00773374">
        <w:rPr>
          <w:rFonts w:ascii="Arial" w:hAnsi="Arial" w:cs="Arial"/>
          <w:b/>
          <w:i/>
          <w:sz w:val="24"/>
          <w:szCs w:val="24"/>
        </w:rPr>
        <w:t xml:space="preserve">Colaborador no Braga &amp; </w:t>
      </w:r>
      <w:proofErr w:type="spellStart"/>
      <w:r w:rsidRPr="00773374">
        <w:rPr>
          <w:rFonts w:ascii="Arial" w:hAnsi="Arial" w:cs="Arial"/>
          <w:b/>
          <w:i/>
          <w:sz w:val="24"/>
          <w:szCs w:val="24"/>
        </w:rPr>
        <w:t>Garbelotti</w:t>
      </w:r>
      <w:proofErr w:type="spellEnd"/>
      <w:r w:rsidRPr="00773374">
        <w:rPr>
          <w:rFonts w:ascii="Arial" w:hAnsi="Arial" w:cs="Arial"/>
          <w:b/>
          <w:i/>
          <w:sz w:val="24"/>
          <w:szCs w:val="24"/>
        </w:rPr>
        <w:t xml:space="preserve"> - Consultores Jurídicos e Advogados.</w:t>
      </w:r>
    </w:p>
    <w:p w:rsidR="003D13A3" w:rsidRPr="00773374" w:rsidRDefault="003B5B03" w:rsidP="003B5B03">
      <w:pPr>
        <w:jc w:val="both"/>
        <w:rPr>
          <w:rFonts w:ascii="Arial" w:hAnsi="Arial" w:cs="Arial"/>
          <w:b/>
          <w:i/>
          <w:sz w:val="24"/>
          <w:szCs w:val="24"/>
          <w:u w:val="single"/>
        </w:rPr>
      </w:pPr>
      <w:proofErr w:type="spellStart"/>
      <w:r w:rsidRPr="00773374">
        <w:rPr>
          <w:rFonts w:ascii="Arial" w:hAnsi="Arial" w:cs="Arial"/>
          <w:b/>
          <w:i/>
          <w:sz w:val="24"/>
          <w:szCs w:val="24"/>
          <w:u w:val="single"/>
        </w:rPr>
        <w:t>Epa</w:t>
      </w:r>
      <w:proofErr w:type="spellEnd"/>
      <w:r w:rsidRPr="00773374">
        <w:rPr>
          <w:rFonts w:ascii="Arial" w:hAnsi="Arial" w:cs="Arial"/>
          <w:b/>
          <w:i/>
          <w:sz w:val="24"/>
          <w:szCs w:val="24"/>
          <w:u w:val="single"/>
        </w:rPr>
        <w:t xml:space="preserve">! Vimos que você copiou o texto. Sem problemas, desde que cite o link: </w:t>
      </w:r>
      <w:proofErr w:type="gramStart"/>
      <w:r w:rsidRPr="00773374">
        <w:rPr>
          <w:rFonts w:ascii="Arial" w:hAnsi="Arial" w:cs="Arial"/>
          <w:b/>
          <w:i/>
          <w:sz w:val="24"/>
          <w:szCs w:val="24"/>
          <w:u w:val="single"/>
        </w:rPr>
        <w:t>https</w:t>
      </w:r>
      <w:proofErr w:type="gramEnd"/>
      <w:r w:rsidRPr="00773374">
        <w:rPr>
          <w:rFonts w:ascii="Arial" w:hAnsi="Arial" w:cs="Arial"/>
          <w:b/>
          <w:i/>
          <w:sz w:val="24"/>
          <w:szCs w:val="24"/>
          <w:u w:val="single"/>
        </w:rPr>
        <w:t>://www.migalhas.com.br/depeso/382541/os-diversos-regimes-de-bens-no-casamento</w:t>
      </w:r>
    </w:p>
    <w:sectPr w:rsidR="003D13A3" w:rsidRPr="00773374" w:rsidSect="003D13A3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A2D01" w:rsidRDefault="00AA2D01" w:rsidP="00AA2D01">
      <w:pPr>
        <w:spacing w:after="0" w:line="240" w:lineRule="auto"/>
      </w:pPr>
      <w:r>
        <w:separator/>
      </w:r>
    </w:p>
  </w:endnote>
  <w:endnote w:type="continuationSeparator" w:id="1">
    <w:p w:rsidR="00AA2D01" w:rsidRDefault="00AA2D01" w:rsidP="00AA2D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816659876"/>
      <w:docPartObj>
        <w:docPartGallery w:val="Page Numbers (Bottom of Page)"/>
        <w:docPartUnique/>
      </w:docPartObj>
    </w:sdtPr>
    <w:sdtEndPr>
      <w:rPr>
        <w:b/>
        <w:sz w:val="16"/>
        <w:szCs w:val="16"/>
      </w:rPr>
    </w:sdtEndPr>
    <w:sdtContent>
      <w:p w:rsidR="00AA2D01" w:rsidRDefault="00573AA8">
        <w:pPr>
          <w:pStyle w:val="Rodap"/>
          <w:jc w:val="right"/>
        </w:pPr>
        <w:r w:rsidRPr="00AA2D01">
          <w:rPr>
            <w:b/>
            <w:sz w:val="16"/>
            <w:szCs w:val="16"/>
          </w:rPr>
          <w:fldChar w:fldCharType="begin"/>
        </w:r>
        <w:r w:rsidR="00AA2D01" w:rsidRPr="00AA2D01">
          <w:rPr>
            <w:b/>
            <w:sz w:val="16"/>
            <w:szCs w:val="16"/>
          </w:rPr>
          <w:instrText xml:space="preserve"> PAGE   \* MERGEFORMAT </w:instrText>
        </w:r>
        <w:r w:rsidRPr="00AA2D01">
          <w:rPr>
            <w:b/>
            <w:sz w:val="16"/>
            <w:szCs w:val="16"/>
          </w:rPr>
          <w:fldChar w:fldCharType="separate"/>
        </w:r>
        <w:r w:rsidR="00773374">
          <w:rPr>
            <w:b/>
            <w:noProof/>
            <w:sz w:val="16"/>
            <w:szCs w:val="16"/>
          </w:rPr>
          <w:t>4</w:t>
        </w:r>
        <w:r w:rsidRPr="00AA2D01">
          <w:rPr>
            <w:b/>
            <w:sz w:val="16"/>
            <w:szCs w:val="16"/>
          </w:rPr>
          <w:fldChar w:fldCharType="end"/>
        </w:r>
      </w:p>
    </w:sdtContent>
  </w:sdt>
  <w:p w:rsidR="00AA2D01" w:rsidRDefault="00AA2D01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A2D01" w:rsidRDefault="00AA2D01" w:rsidP="00AA2D01">
      <w:pPr>
        <w:spacing w:after="0" w:line="240" w:lineRule="auto"/>
      </w:pPr>
      <w:r>
        <w:separator/>
      </w:r>
    </w:p>
  </w:footnote>
  <w:footnote w:type="continuationSeparator" w:id="1">
    <w:p w:rsidR="00AA2D01" w:rsidRDefault="00AA2D01" w:rsidP="00AA2D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787AA3"/>
    <w:multiLevelType w:val="hybridMultilevel"/>
    <w:tmpl w:val="284077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B5B03"/>
    <w:rsid w:val="00040C65"/>
    <w:rsid w:val="003B5B03"/>
    <w:rsid w:val="003D13A3"/>
    <w:rsid w:val="004352AB"/>
    <w:rsid w:val="00573AA8"/>
    <w:rsid w:val="00773374"/>
    <w:rsid w:val="00AA2D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13A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B5B03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semiHidden/>
    <w:unhideWhenUsed/>
    <w:rsid w:val="00AA2D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AA2D01"/>
  </w:style>
  <w:style w:type="paragraph" w:styleId="Rodap">
    <w:name w:val="footer"/>
    <w:basedOn w:val="Normal"/>
    <w:link w:val="RodapChar"/>
    <w:uiPriority w:val="99"/>
    <w:unhideWhenUsed/>
    <w:rsid w:val="00AA2D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A2D0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1103</Words>
  <Characters>5957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Escrevente</dc:creator>
  <cp:lastModifiedBy>Escrevente</cp:lastModifiedBy>
  <cp:revision>4</cp:revision>
  <dcterms:created xsi:type="dcterms:W3CDTF">2025-03-20T15:07:00Z</dcterms:created>
  <dcterms:modified xsi:type="dcterms:W3CDTF">2025-05-08T14:46:00Z</dcterms:modified>
</cp:coreProperties>
</file>