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70E" w:rsidRDefault="001E370E" w:rsidP="001E370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1E370E" w:rsidRDefault="001E370E" w:rsidP="001E370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</w:p>
    <w:p w:rsidR="001E370E" w:rsidRPr="001E370E" w:rsidRDefault="001E370E" w:rsidP="001E370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A exigência do </w:t>
      </w: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documento de estado civil do confrontante</w:t>
      </w: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na </w:t>
      </w:r>
      <w:proofErr w:type="spellStart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estremação</w:t>
      </w:r>
      <w:proofErr w:type="spellEnd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 decorre, principalmente, dos princípios que regem o </w:t>
      </w: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 xml:space="preserve">Direito </w:t>
      </w:r>
      <w:proofErr w:type="spellStart"/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Registral</w:t>
      </w:r>
      <w:proofErr w:type="spellEnd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e, indiretamente, do </w:t>
      </w: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Código Civil</w:t>
      </w: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que determinam a necessidade de identificação completa e inequívoca das partes envolvidas em atos que afetam a propriedade imobiliária, bem como a necessidade de consentimento do cônjuge em determinadas transações. </w:t>
      </w:r>
    </w:p>
    <w:p w:rsidR="001E370E" w:rsidRPr="001E370E" w:rsidRDefault="001E370E" w:rsidP="001E370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O fundamento legal específico não está em um único artigo do Código Civil que mencione a "</w:t>
      </w:r>
      <w:proofErr w:type="spellStart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estremação</w:t>
      </w:r>
      <w:proofErr w:type="spellEnd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", mas sim em uma combinação de normas:</w:t>
      </w:r>
    </w:p>
    <w:p w:rsidR="001E370E" w:rsidRPr="001E370E" w:rsidRDefault="001E370E" w:rsidP="001E370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Art. 225 da Lei de Registros Públicos (Lei nº 6.015/1973):</w:t>
      </w: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Este artigo estabelece a necessidade de que os documentos apresentados a registro contenham a identificação completa dos proprietários, incluindo nome, CPF/CNPJ, nacionalidade, estado civil e regime de bens, se houver, bem como a indicação dos confrontantes do imóvel. A menção ao estado civil do confrontante é uma decorrência dessa exigência de identificação para garantir a segurança jurídica do ato.</w:t>
      </w:r>
    </w:p>
    <w:p w:rsidR="001E370E" w:rsidRPr="001E370E" w:rsidRDefault="001E370E" w:rsidP="001E370E">
      <w:pPr>
        <w:numPr>
          <w:ilvl w:val="0"/>
          <w:numId w:val="1"/>
        </w:numPr>
        <w:shd w:val="clear" w:color="auto" w:fill="FFFFFF"/>
        <w:spacing w:after="150" w:line="301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Art. 1.647 do Código Civil:</w:t>
      </w: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Embora este artigo trate da necessidade de autorização do cônjuge para a prática de determinados atos (como alienar ou gravar de ônus real bens imóveis), ele serve de base </w:t>
      </w:r>
      <w:proofErr w:type="spellStart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principiológica</w:t>
      </w:r>
      <w:proofErr w:type="spellEnd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. A exigência do estado civil do confrontante e, muitas vezes, de sua assinatura (e do cônjuge, se casado/em união estável), visa assegurar que a demarcação ou a alteração de limites do imóvel seja de conhecimento e consentimento de todos os titulares de direitos sobre as propriedades limítrofes, prevenindo litígios futuros. </w:t>
      </w:r>
    </w:p>
    <w:p w:rsidR="001E370E" w:rsidRPr="001E370E" w:rsidRDefault="001E370E" w:rsidP="001E370E">
      <w:pPr>
        <w:shd w:val="clear" w:color="auto" w:fill="FFFFFF"/>
        <w:spacing w:line="301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pt-BR"/>
        </w:rPr>
      </w:pP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Portanto, a exigência do documento de estado civil do confrontante é uma medida de cautela do oficial do Cartório de Registro de Imóveis, baseada na </w:t>
      </w: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Lei de Registros Públicos</w:t>
      </w: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 e nos princípios do </w:t>
      </w:r>
      <w:r w:rsidRPr="001E370E">
        <w:rPr>
          <w:rFonts w:ascii="Arial" w:eastAsia="Times New Roman" w:hAnsi="Arial" w:cs="Arial"/>
          <w:b/>
          <w:bCs/>
          <w:color w:val="0A0A0A"/>
          <w:sz w:val="24"/>
          <w:szCs w:val="24"/>
          <w:lang w:eastAsia="pt-BR"/>
        </w:rPr>
        <w:t>Código Civil</w:t>
      </w:r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 xml:space="preserve"> relativos à propriedade e ao direito de família, visando garantir a validade e a segurança jurídica do procedimento de </w:t>
      </w:r>
      <w:proofErr w:type="spellStart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estremação</w:t>
      </w:r>
      <w:proofErr w:type="spellEnd"/>
      <w:r w:rsidRPr="001E370E">
        <w:rPr>
          <w:rFonts w:ascii="Arial" w:eastAsia="Times New Roman" w:hAnsi="Arial" w:cs="Arial"/>
          <w:color w:val="0A0A0A"/>
          <w:sz w:val="24"/>
          <w:szCs w:val="24"/>
          <w:lang w:eastAsia="pt-BR"/>
        </w:rPr>
        <w:t>, que implica na individualização formal de uma parcela do imóvel. </w:t>
      </w:r>
    </w:p>
    <w:p w:rsidR="00E03CAD" w:rsidRPr="001E370E" w:rsidRDefault="00E03CAD" w:rsidP="001E370E">
      <w:pPr>
        <w:jc w:val="both"/>
        <w:rPr>
          <w:sz w:val="24"/>
          <w:szCs w:val="24"/>
        </w:rPr>
      </w:pPr>
    </w:p>
    <w:sectPr w:rsidR="00E03CAD" w:rsidRPr="001E370E" w:rsidSect="00E03C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805191"/>
    <w:multiLevelType w:val="multilevel"/>
    <w:tmpl w:val="E338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E370E"/>
    <w:rsid w:val="001E370E"/>
    <w:rsid w:val="00E03C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C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E370E"/>
    <w:rPr>
      <w:b/>
      <w:bCs/>
    </w:rPr>
  </w:style>
  <w:style w:type="character" w:customStyle="1" w:styleId="vkekvd">
    <w:name w:val="vkekvd"/>
    <w:basedOn w:val="Fontepargpadro"/>
    <w:rsid w:val="001E370E"/>
  </w:style>
  <w:style w:type="character" w:customStyle="1" w:styleId="t286pc">
    <w:name w:val="t286pc"/>
    <w:basedOn w:val="Fontepargpadro"/>
    <w:rsid w:val="001E37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3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5768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719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0668">
          <w:marLeft w:val="0"/>
          <w:marRight w:val="0"/>
          <w:marTop w:val="125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304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cp:lastPrinted>2025-12-09T18:31:00Z</cp:lastPrinted>
  <dcterms:created xsi:type="dcterms:W3CDTF">2025-12-09T18:30:00Z</dcterms:created>
  <dcterms:modified xsi:type="dcterms:W3CDTF">2025-12-09T18:45:00Z</dcterms:modified>
</cp:coreProperties>
</file>