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EE3" w:rsidRPr="00056388" w:rsidRDefault="00056388" w:rsidP="00056388">
      <w:pPr>
        <w:jc w:val="center"/>
        <w:rPr>
          <w:rFonts w:ascii="Arial" w:hAnsi="Arial" w:cs="Arial"/>
          <w:sz w:val="24"/>
          <w:szCs w:val="24"/>
        </w:rPr>
      </w:pPr>
      <w:r w:rsidRPr="00056388">
        <w:rPr>
          <w:rFonts w:ascii="Arial" w:hAnsi="Arial" w:cs="Arial"/>
          <w:sz w:val="24"/>
          <w:szCs w:val="24"/>
        </w:rPr>
        <w:t>ESTREMAÇÃO – ASSINATURA DOS CONFRONTANTES</w:t>
      </w:r>
    </w:p>
    <w:p w:rsidR="00056388" w:rsidRPr="00056388" w:rsidRDefault="00056388" w:rsidP="00056388">
      <w:pPr>
        <w:jc w:val="both"/>
        <w:rPr>
          <w:rFonts w:ascii="Arial" w:hAnsi="Arial" w:cs="Arial"/>
          <w:sz w:val="24"/>
          <w:szCs w:val="24"/>
        </w:rPr>
      </w:pPr>
    </w:p>
    <w:p w:rsidR="00056388" w:rsidRPr="00056388" w:rsidRDefault="00056388" w:rsidP="00056388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6388">
        <w:rPr>
          <w:rFonts w:ascii="Arial" w:eastAsia="Times New Roman" w:hAnsi="Arial" w:cs="Arial"/>
          <w:sz w:val="24"/>
          <w:szCs w:val="24"/>
          <w:lang w:eastAsia="pt-BR"/>
        </w:rPr>
        <w:t xml:space="preserve">Os confrontantes (vizinhos) têm que assinar a ata de </w:t>
      </w:r>
      <w:proofErr w:type="spellStart"/>
      <w:r w:rsidRPr="00056388">
        <w:rPr>
          <w:rFonts w:ascii="Arial" w:eastAsia="Times New Roman" w:hAnsi="Arial" w:cs="Arial"/>
          <w:sz w:val="24"/>
          <w:szCs w:val="24"/>
          <w:lang w:eastAsia="pt-BR"/>
        </w:rPr>
        <w:t>estremação</w:t>
      </w:r>
      <w:proofErr w:type="spellEnd"/>
      <w:r w:rsidRPr="00056388">
        <w:rPr>
          <w:rFonts w:ascii="Arial" w:eastAsia="Times New Roman" w:hAnsi="Arial" w:cs="Arial"/>
          <w:sz w:val="24"/>
          <w:szCs w:val="24"/>
          <w:lang w:eastAsia="pt-BR"/>
        </w:rPr>
        <w:t xml:space="preserve">, mesmo que não sejam condôminos da área maior. A assinatura dos confrontantes e seus cônjuges é um requisito fundamental para a validade da </w:t>
      </w:r>
      <w:proofErr w:type="spellStart"/>
      <w:r w:rsidRPr="00056388">
        <w:rPr>
          <w:rFonts w:ascii="Arial" w:eastAsia="Times New Roman" w:hAnsi="Arial" w:cs="Arial"/>
          <w:sz w:val="24"/>
          <w:szCs w:val="24"/>
          <w:lang w:eastAsia="pt-BR"/>
        </w:rPr>
        <w:t>estremação</w:t>
      </w:r>
      <w:proofErr w:type="spellEnd"/>
      <w:r w:rsidRPr="00056388">
        <w:rPr>
          <w:rFonts w:ascii="Arial" w:eastAsia="Times New Roman" w:hAnsi="Arial" w:cs="Arial"/>
          <w:sz w:val="24"/>
          <w:szCs w:val="24"/>
          <w:lang w:eastAsia="pt-BR"/>
        </w:rPr>
        <w:t>, conforme previsto em lei.</w:t>
      </w:r>
    </w:p>
    <w:p w:rsidR="00056388" w:rsidRPr="00056388" w:rsidRDefault="00056388" w:rsidP="00056388">
      <w:pPr>
        <w:shd w:val="clear" w:color="auto" w:fill="FFFFFF"/>
        <w:spacing w:after="125" w:line="326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6388">
        <w:rPr>
          <w:rFonts w:ascii="Arial" w:eastAsia="Times New Roman" w:hAnsi="Arial" w:cs="Arial"/>
          <w:sz w:val="24"/>
          <w:szCs w:val="24"/>
          <w:lang w:eastAsia="pt-BR"/>
        </w:rPr>
        <w:t>Elaboração:</w:t>
      </w:r>
    </w:p>
    <w:p w:rsidR="00056388" w:rsidRPr="00056388" w:rsidRDefault="00056388" w:rsidP="00056388">
      <w:pPr>
        <w:numPr>
          <w:ilvl w:val="0"/>
          <w:numId w:val="1"/>
        </w:numPr>
        <w:spacing w:after="100" w:line="275" w:lineRule="atLeast"/>
        <w:ind w:left="-35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638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Escritura de </w:t>
      </w:r>
      <w:proofErr w:type="spellStart"/>
      <w:r w:rsidRPr="0005638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Estremação</w:t>
      </w:r>
      <w:proofErr w:type="spellEnd"/>
      <w:r w:rsidRPr="0005638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:rsidR="00056388" w:rsidRDefault="00056388" w:rsidP="00056388">
      <w:pPr>
        <w:shd w:val="clear" w:color="auto" w:fill="FF66FF"/>
        <w:spacing w:after="100" w:line="275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056388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A </w:t>
      </w:r>
      <w:proofErr w:type="spellStart"/>
      <w:r w:rsidRPr="00056388">
        <w:rPr>
          <w:rFonts w:ascii="Arial" w:eastAsia="Times New Roman" w:hAnsi="Arial" w:cs="Arial"/>
          <w:spacing w:val="1"/>
          <w:sz w:val="24"/>
          <w:szCs w:val="24"/>
          <w:lang w:eastAsia="pt-BR"/>
        </w:rPr>
        <w:t>estremação</w:t>
      </w:r>
      <w:proofErr w:type="spellEnd"/>
      <w:r w:rsidRPr="00056388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é formalizada através de uma escritura pública ou instrumento particular, que deve conter a assinatura do titular do domínio, seu cônjuge e dos confrontantes com seus cônjuges.</w:t>
      </w:r>
    </w:p>
    <w:p w:rsidR="00056388" w:rsidRPr="00056388" w:rsidRDefault="00056388" w:rsidP="00056388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056388" w:rsidRPr="00056388" w:rsidRDefault="00056388" w:rsidP="00056388">
      <w:pPr>
        <w:numPr>
          <w:ilvl w:val="0"/>
          <w:numId w:val="1"/>
        </w:numPr>
        <w:shd w:val="clear" w:color="auto" w:fill="FFFFFF"/>
        <w:spacing w:after="100" w:line="275" w:lineRule="atLeast"/>
        <w:ind w:left="-35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638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Anonimato do Confrontante:</w:t>
      </w:r>
    </w:p>
    <w:p w:rsidR="00056388" w:rsidRDefault="00056388" w:rsidP="00056388">
      <w:pPr>
        <w:shd w:val="clear" w:color="auto" w:fill="FFFFFF"/>
        <w:spacing w:after="100" w:line="275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056388">
        <w:rPr>
          <w:rFonts w:ascii="Arial" w:eastAsia="Times New Roman" w:hAnsi="Arial" w:cs="Arial"/>
          <w:spacing w:val="1"/>
          <w:sz w:val="24"/>
          <w:szCs w:val="24"/>
          <w:lang w:eastAsia="pt-BR"/>
        </w:rPr>
        <w:t>Caso o confrontante não assine a ata, é possível que o tabelião o intime para comparecer ao cartório no prazo de 15 dias para assiná-la.</w:t>
      </w:r>
    </w:p>
    <w:p w:rsidR="00056388" w:rsidRPr="00056388" w:rsidRDefault="00056388" w:rsidP="00056388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056388" w:rsidRPr="00056388" w:rsidRDefault="00056388" w:rsidP="00056388">
      <w:pPr>
        <w:numPr>
          <w:ilvl w:val="0"/>
          <w:numId w:val="1"/>
        </w:numPr>
        <w:shd w:val="clear" w:color="auto" w:fill="FFFFFF"/>
        <w:spacing w:after="100" w:line="275" w:lineRule="atLeast"/>
        <w:ind w:left="-35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638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Anuência:</w:t>
      </w:r>
    </w:p>
    <w:p w:rsidR="00056388" w:rsidRDefault="00056388" w:rsidP="00056388">
      <w:pPr>
        <w:shd w:val="clear" w:color="auto" w:fill="FFFFFF"/>
        <w:spacing w:after="100" w:line="275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056388">
        <w:rPr>
          <w:rFonts w:ascii="Arial" w:eastAsia="Times New Roman" w:hAnsi="Arial" w:cs="Arial"/>
          <w:spacing w:val="1"/>
          <w:sz w:val="24"/>
          <w:szCs w:val="24"/>
          <w:lang w:eastAsia="pt-BR"/>
        </w:rPr>
        <w:t>A assinatura dos confrontantes significa a anuência com a delimitação da área que será estremada, ou seja, a concordância com a separação da fração da área maior.</w:t>
      </w:r>
    </w:p>
    <w:p w:rsidR="00056388" w:rsidRPr="00056388" w:rsidRDefault="00056388" w:rsidP="00056388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056388" w:rsidRPr="00056388" w:rsidRDefault="00056388" w:rsidP="00056388">
      <w:pPr>
        <w:numPr>
          <w:ilvl w:val="0"/>
          <w:numId w:val="1"/>
        </w:numPr>
        <w:shd w:val="clear" w:color="auto" w:fill="FFFFFF"/>
        <w:spacing w:after="100" w:line="275" w:lineRule="atLeast"/>
        <w:ind w:left="-35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638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Importância da Assinatura:</w:t>
      </w:r>
    </w:p>
    <w:p w:rsidR="00056388" w:rsidRDefault="00056388" w:rsidP="00056388">
      <w:pPr>
        <w:shd w:val="clear" w:color="auto" w:fill="FFFFFF"/>
        <w:spacing w:after="100" w:line="275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056388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A assinatura dos confrontantes garante que a </w:t>
      </w:r>
      <w:proofErr w:type="spellStart"/>
      <w:r w:rsidRPr="00056388">
        <w:rPr>
          <w:rFonts w:ascii="Arial" w:eastAsia="Times New Roman" w:hAnsi="Arial" w:cs="Arial"/>
          <w:spacing w:val="1"/>
          <w:sz w:val="24"/>
          <w:szCs w:val="24"/>
          <w:lang w:eastAsia="pt-BR"/>
        </w:rPr>
        <w:t>estremação</w:t>
      </w:r>
      <w:proofErr w:type="spellEnd"/>
      <w:r w:rsidRPr="00056388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é feita com a concordância de todos os interessados, evitando futuros conflitos.</w:t>
      </w:r>
    </w:p>
    <w:p w:rsidR="00056388" w:rsidRPr="00056388" w:rsidRDefault="00056388" w:rsidP="00056388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056388" w:rsidRPr="00056388" w:rsidRDefault="00056388" w:rsidP="00056388">
      <w:pPr>
        <w:numPr>
          <w:ilvl w:val="0"/>
          <w:numId w:val="1"/>
        </w:numPr>
        <w:shd w:val="clear" w:color="auto" w:fill="FFFFFF"/>
        <w:spacing w:after="100" w:line="275" w:lineRule="atLeast"/>
        <w:ind w:left="-35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638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Modelos de Escritura:</w:t>
      </w:r>
    </w:p>
    <w:p w:rsidR="00056388" w:rsidRDefault="00056388" w:rsidP="00056388">
      <w:pPr>
        <w:shd w:val="clear" w:color="auto" w:fill="FFFFFF"/>
        <w:spacing w:after="100" w:line="275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056388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Existem modelos de escritura de </w:t>
      </w:r>
      <w:proofErr w:type="spellStart"/>
      <w:r w:rsidRPr="00056388">
        <w:rPr>
          <w:rFonts w:ascii="Arial" w:eastAsia="Times New Roman" w:hAnsi="Arial" w:cs="Arial"/>
          <w:spacing w:val="1"/>
          <w:sz w:val="24"/>
          <w:szCs w:val="24"/>
          <w:lang w:eastAsia="pt-BR"/>
        </w:rPr>
        <w:t>estremação</w:t>
      </w:r>
      <w:proofErr w:type="spellEnd"/>
      <w:r w:rsidRPr="00056388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que podem ser utilizados, que incluem a assinatura dos confrontantes e seus cônjuges.</w:t>
      </w:r>
    </w:p>
    <w:p w:rsidR="00056388" w:rsidRPr="00056388" w:rsidRDefault="00056388" w:rsidP="00056388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056388" w:rsidRPr="00056388" w:rsidRDefault="00056388" w:rsidP="00056388">
      <w:pPr>
        <w:numPr>
          <w:ilvl w:val="0"/>
          <w:numId w:val="1"/>
        </w:numPr>
        <w:shd w:val="clear" w:color="auto" w:fill="FFFFFF"/>
        <w:spacing w:after="0" w:line="275" w:lineRule="atLeast"/>
        <w:ind w:left="-35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638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Desburocratização:</w:t>
      </w:r>
    </w:p>
    <w:p w:rsidR="00056388" w:rsidRPr="00056388" w:rsidRDefault="00056388" w:rsidP="00056388">
      <w:pPr>
        <w:shd w:val="clear" w:color="auto" w:fill="FFFFFF"/>
        <w:spacing w:after="0" w:line="275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056388">
        <w:rPr>
          <w:rFonts w:ascii="Arial" w:eastAsia="Times New Roman" w:hAnsi="Arial" w:cs="Arial"/>
          <w:spacing w:val="1"/>
          <w:sz w:val="24"/>
          <w:szCs w:val="24"/>
          <w:lang w:eastAsia="pt-BR"/>
        </w:rPr>
        <w:t>Em algumas situações, a legislação pode dispensar a anuência dos confrontantes, facilitando o processo de averbação de imóveis rurais,</w:t>
      </w:r>
      <w:r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</w:t>
      </w:r>
      <w:hyperlink r:id="rId5" w:history="1">
        <w:r w:rsidRPr="00056388">
          <w:rPr>
            <w:rFonts w:ascii="Arial" w:eastAsia="Times New Roman" w:hAnsi="Arial" w:cs="Arial"/>
            <w:spacing w:val="1"/>
            <w:sz w:val="24"/>
            <w:szCs w:val="24"/>
            <w:u w:val="single"/>
            <w:lang w:eastAsia="pt-BR"/>
          </w:rPr>
          <w:t>conforme Jacó Coelho</w:t>
        </w:r>
      </w:hyperlink>
      <w:r w:rsidRPr="00056388">
        <w:rPr>
          <w:rFonts w:ascii="Arial" w:eastAsia="Times New Roman" w:hAnsi="Arial" w:cs="Arial"/>
          <w:spacing w:val="1"/>
          <w:sz w:val="24"/>
          <w:szCs w:val="24"/>
          <w:lang w:eastAsia="pt-BR"/>
        </w:rPr>
        <w:t>.</w:t>
      </w:r>
    </w:p>
    <w:p w:rsidR="00056388" w:rsidRPr="00056388" w:rsidRDefault="00056388" w:rsidP="00056388">
      <w:pPr>
        <w:jc w:val="both"/>
        <w:rPr>
          <w:sz w:val="24"/>
          <w:szCs w:val="24"/>
        </w:rPr>
      </w:pPr>
    </w:p>
    <w:sectPr w:rsidR="00056388" w:rsidRPr="00056388" w:rsidSect="00E67E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A14A03"/>
    <w:multiLevelType w:val="multilevel"/>
    <w:tmpl w:val="B3B0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56388"/>
    <w:rsid w:val="00056388"/>
    <w:rsid w:val="00E67E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EE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056388"/>
  </w:style>
  <w:style w:type="character" w:styleId="Forte">
    <w:name w:val="Strong"/>
    <w:basedOn w:val="Fontepargpadro"/>
    <w:uiPriority w:val="22"/>
    <w:qFormat/>
    <w:rsid w:val="00056388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05638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78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7673">
                  <w:marLeft w:val="0"/>
                  <w:marRight w:val="0"/>
                  <w:marTop w:val="0"/>
                  <w:marBottom w:val="2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25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90006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3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7142">
                  <w:marLeft w:val="-35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3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98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37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66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116075">
                  <w:marLeft w:val="-35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02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47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066035">
                  <w:marLeft w:val="-35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36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45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45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2103641">
                  <w:marLeft w:val="-35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8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5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5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69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8153180">
                  <w:marLeft w:val="-35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0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41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2515781">
                  <w:marLeft w:val="-35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7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4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9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acocoelho.com.br/nova-lei-dispensa-a-anuencia-dos-confrontantes-na-averbacao-do-georreferenciamento-de-imovel-rura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232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1</cp:revision>
  <dcterms:created xsi:type="dcterms:W3CDTF">2025-05-13T15:08:00Z</dcterms:created>
  <dcterms:modified xsi:type="dcterms:W3CDTF">2025-05-13T15:13:00Z</dcterms:modified>
</cp:coreProperties>
</file>