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procedimento para a lavratura de um substabelecimento exige rigor na verificação da validade e da procedência do mandato original para garantir a total segurança jurídica da transmissão de poderes.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Com base nas normas do Provimento Conjunto nº 0093/2020 da Corregedoria-Geral de Justiça de Minas Gerais e nas práticas notariais, os critérios para a realização do ato são bem delimitados: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Documentação Essencial do Mandato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Apresentação da Via Original:</w:t>
      </w:r>
      <w:r w:rsidDel="00000000" w:rsidR="00000000" w:rsidRPr="00000000">
        <w:rPr>
          <w:rtl w:val="0"/>
        </w:rPr>
        <w:t xml:space="preserve"> O Artigo 189, inciso VI, estabelece como requisito documental legitimador indispensável a apresentação do </w:t>
      </w:r>
      <w:r w:rsidDel="00000000" w:rsidR="00000000" w:rsidRPr="00000000">
        <w:rPr>
          <w:b w:val="1"/>
          <w:bCs w:val="1"/>
          <w:rtl w:val="0"/>
        </w:rPr>
        <w:t xml:space="preserve">instrumento de mandato em via original</w:t>
      </w:r>
      <w:r w:rsidDel="00000000" w:rsidR="00000000" w:rsidRPr="00000000">
        <w:rPr>
          <w:rtl w:val="0"/>
        </w:rPr>
        <w:t xml:space="preserve"> para a lavratura de escritura pública de substabelecimento. Portanto, exige-se o traslado original ou a certidão atualizada.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Prazos e Certidões:</w:t>
      </w:r>
      <w:r w:rsidDel="00000000" w:rsidR="00000000" w:rsidRPr="00000000">
        <w:rPr>
          <w:rtl w:val="0"/>
        </w:rPr>
        <w:t xml:space="preserve"> Se a procuração tiver sido outorgada há mais de 30 dias, a serventia onde o novo ato está sendo lavrado deve exigir uma certidão da serventia de origem, dando conta de que o instrumento não foi revogado ou anulado.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Diligência entre Serventias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Verificação de Vigência:</w:t>
      </w:r>
      <w:r w:rsidDel="00000000" w:rsidR="00000000" w:rsidRPr="00000000">
        <w:rPr>
          <w:rtl w:val="0"/>
        </w:rPr>
        <w:t xml:space="preserve"> Quando a procuração provém de outro cartório, o tabelião ou escrevente realiza o contato ou a consulta necessária para atestar que o documento permanece em pleno vigor e apurar se já ocorreram substabelecimentos anteriores que limitem a atuação. Essa providência é estritamente necessária, mas não dispensa o interessado de exibir o traslado ou certidão original no balcão.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Identificação e Cadastro das Partes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Qualificação Pessoal:</w:t>
      </w:r>
      <w:r w:rsidDel="00000000" w:rsidR="00000000" w:rsidRPr="00000000">
        <w:rPr>
          <w:rtl w:val="0"/>
        </w:rPr>
        <w:t xml:space="preserve"> O substabelecente (quem está passando os poderes) deve apresentar seus documentos de identificação oficial com foto (como RG ou CNH dentro do padrão de legibilidade e validade) e CPF para qualificação completa no livro.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Cartão de Autógrafo:</w:t>
      </w:r>
      <w:r w:rsidDel="00000000" w:rsidR="00000000" w:rsidRPr="00000000">
        <w:rPr>
          <w:rtl w:val="0"/>
        </w:rPr>
        <w:t xml:space="preserve"> Por ocasião da lavratura do substabelecimento, será aberto ou atualizado o cartão de autógrafo (ficha de firma) dos envolvidos para o cadastro da serventia.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A exatidão no cumprimento dessas regras previne a ocorrência de ineficácia ou nulidade nos negócios que o novo procurador vier a assinar em nome do mandante original.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Gostaria que eu elaborasse um comparativo detalhado sobre as diferenças práticas e os efeitos jurídicos entre o substabelecimento </w:t>
      </w:r>
      <w:r w:rsidDel="00000000" w:rsidR="00000000" w:rsidRPr="00000000">
        <w:rPr>
          <w:b w:val="1"/>
          <w:bCs w:val="1"/>
          <w:rtl w:val="0"/>
        </w:rPr>
        <w:t xml:space="preserve">com reserva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sem reserva</w:t>
      </w:r>
      <w:r w:rsidDel="00000000" w:rsidR="00000000" w:rsidRPr="00000000">
        <w:rPr>
          <w:rtl w:val="0"/>
        </w:rPr>
        <w:t xml:space="preserve"> de poderes?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Fontes: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Provimento_Conjunto_0093_2020.pdf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jurisp STJ poderes espec.pdf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p8lYIWJdeW807OHZQI7uzXxOH4s1NVmF/view?usp=drive_web" TargetMode="External"/><Relationship Id="rId7" Type="http://schemas.openxmlformats.org/officeDocument/2006/relationships/hyperlink" Target="https://drive.google.com/file/d/1IhjQmoSsYa1XH_ti9sJAtol74a4qcezy/view?usp=drive_w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