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Exatamente. Conforme as normas vigentes aplicáveis aos serviços notariais no Estado de Minas Gerais, para a lavratura de procuração com poderes de disposição patrimonial — como a venda de um bem imóvel —, é obrigatória a apresentação e o arquivamento dos documentos que comprovem a propriedade do bem objeto do mandato.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Artigo 298 do Provimento Conjunto nº 0093/2020</w:t>
      </w:r>
      <w:r w:rsidDel="00000000" w:rsidR="00000000" w:rsidRPr="00000000">
        <w:rPr>
          <w:rtl w:val="0"/>
        </w:rPr>
        <w:t xml:space="preserve"> (com redação atualizada pelo Provimento Conjunto nº 142/2025) estabelece de forma expressa que, para a lavratura da procuração, serão arquivados os documentos de identificação essenciais e, especificamente, </w:t>
      </w:r>
      <w:r w:rsidDel="00000000" w:rsidR="00000000" w:rsidRPr="00000000">
        <w:rPr>
          <w:b w:val="1"/>
          <w:bCs w:val="1"/>
          <w:rtl w:val="0"/>
        </w:rPr>
        <w:t xml:space="preserve">"aqueles que comprovem a propriedade do bem objeto da procuração"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Portanto, a exigência da matrícula atualizada ou da certidão de inteiro teor do imóvel no momento de confeccionar o instrumento cumpre um requisito normativo indispensável para garantir a segurança jurídica e a eficácia do ato.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Gostaria de verificar quais são os outros documentos de identificação pessoal ou de representação exigidos pelo provimento para constar na qualificação dessa procuração?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Provimento_Conjunto_0093_2020.pdf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8lYIWJdeW807OHZQI7uzXxOH4s1NVmF/view?usp=drive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