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7618" w:rsidRDefault="00827618" w:rsidP="00827618">
      <w:pPr>
        <w:pStyle w:val="xmsonormal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sz w:val="22"/>
          <w:szCs w:val="22"/>
          <w:u w:val="single"/>
        </w:rPr>
      </w:pPr>
      <w:r w:rsidRPr="008C1A7C">
        <w:rPr>
          <w:rFonts w:ascii="Arial" w:hAnsi="Arial" w:cs="Arial"/>
          <w:b/>
          <w:bCs/>
          <w:color w:val="000000"/>
          <w:sz w:val="22"/>
          <w:szCs w:val="22"/>
          <w:u w:val="single"/>
        </w:rPr>
        <w:t>Testa</w:t>
      </w:r>
      <w:r w:rsidR="00CF45EA">
        <w:rPr>
          <w:rFonts w:ascii="Arial" w:hAnsi="Arial" w:cs="Arial"/>
          <w:b/>
          <w:bCs/>
          <w:color w:val="000000"/>
          <w:sz w:val="22"/>
          <w:szCs w:val="22"/>
          <w:u w:val="single"/>
        </w:rPr>
        <w:t>mento Público DOCUMENTOS NECESSÁ</w:t>
      </w:r>
      <w:r w:rsidRPr="008C1A7C">
        <w:rPr>
          <w:rFonts w:ascii="Arial" w:hAnsi="Arial" w:cs="Arial"/>
          <w:b/>
          <w:bCs/>
          <w:color w:val="000000"/>
          <w:sz w:val="22"/>
          <w:szCs w:val="22"/>
          <w:u w:val="single"/>
        </w:rPr>
        <w:t>RIOS</w:t>
      </w:r>
    </w:p>
    <w:p w:rsidR="00763308" w:rsidRPr="00763308" w:rsidRDefault="00763308" w:rsidP="00763308">
      <w:pPr>
        <w:spacing w:line="240" w:lineRule="auto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proofErr w:type="gramStart"/>
      <w:r w:rsidRPr="00763308">
        <w:rPr>
          <w:rFonts w:eastAsia="Times New Roman" w:cs="Calibri"/>
          <w:b/>
          <w:bCs/>
          <w:color w:val="000000"/>
          <w:sz w:val="24"/>
          <w:szCs w:val="24"/>
          <w:u w:val="single"/>
          <w:lang w:eastAsia="pt-BR"/>
        </w:rPr>
        <w:t>TESTADOR(</w:t>
      </w:r>
      <w:proofErr w:type="gramEnd"/>
      <w:r w:rsidRPr="00763308">
        <w:rPr>
          <w:rFonts w:eastAsia="Times New Roman" w:cs="Calibri"/>
          <w:b/>
          <w:bCs/>
          <w:color w:val="000000"/>
          <w:sz w:val="24"/>
          <w:szCs w:val="24"/>
          <w:u w:val="single"/>
          <w:lang w:eastAsia="pt-BR"/>
        </w:rPr>
        <w:t>A</w:t>
      </w:r>
      <w:r w:rsidRPr="00763308">
        <w:rPr>
          <w:rFonts w:eastAsia="Times New Roman" w:cs="Calibri"/>
          <w:color w:val="000000"/>
          <w:sz w:val="24"/>
          <w:szCs w:val="24"/>
          <w:lang w:eastAsia="pt-BR"/>
        </w:rPr>
        <w:t>)</w:t>
      </w:r>
    </w:p>
    <w:p w:rsidR="00763308" w:rsidRPr="00763308" w:rsidRDefault="00763308" w:rsidP="00763308">
      <w:pPr>
        <w:spacing w:line="240" w:lineRule="auto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 w:rsidRPr="00763308">
        <w:rPr>
          <w:rFonts w:eastAsia="Times New Roman" w:cs="Calibri"/>
          <w:color w:val="000000"/>
          <w:sz w:val="24"/>
          <w:szCs w:val="24"/>
          <w:lang w:eastAsia="pt-BR"/>
        </w:rPr>
        <w:t>RG (com menos de 10 anos, original) e CPF ou CNH;</w:t>
      </w:r>
    </w:p>
    <w:p w:rsidR="00763308" w:rsidRPr="00763308" w:rsidRDefault="00763308" w:rsidP="00763308">
      <w:pPr>
        <w:spacing w:line="240" w:lineRule="auto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 w:rsidRPr="00763308">
        <w:rPr>
          <w:rFonts w:eastAsia="Times New Roman" w:cs="Calibri"/>
          <w:color w:val="000000"/>
          <w:sz w:val="24"/>
          <w:szCs w:val="24"/>
          <w:lang w:eastAsia="pt-BR"/>
        </w:rPr>
        <w:t>Certidão d</w:t>
      </w:r>
      <w:r w:rsidR="0081701D">
        <w:rPr>
          <w:rFonts w:eastAsia="Times New Roman" w:cs="Calibri"/>
          <w:color w:val="000000"/>
          <w:sz w:val="24"/>
          <w:szCs w:val="24"/>
          <w:lang w:eastAsia="pt-BR"/>
        </w:rPr>
        <w:t>e comprovação de estado civil (c</w:t>
      </w:r>
      <w:r w:rsidRPr="00763308">
        <w:rPr>
          <w:rFonts w:eastAsia="Times New Roman" w:cs="Calibri"/>
          <w:color w:val="000000"/>
          <w:sz w:val="24"/>
          <w:szCs w:val="24"/>
          <w:lang w:eastAsia="pt-BR"/>
        </w:rPr>
        <w:t>asamento ou nascimento);</w:t>
      </w:r>
    </w:p>
    <w:p w:rsidR="00763308" w:rsidRPr="00763308" w:rsidRDefault="00763308" w:rsidP="00763308">
      <w:pPr>
        <w:spacing w:line="240" w:lineRule="auto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 w:rsidRPr="00763308">
        <w:rPr>
          <w:rFonts w:eastAsia="Times New Roman" w:cs="Calibri"/>
          <w:color w:val="000000"/>
          <w:sz w:val="24"/>
          <w:szCs w:val="24"/>
          <w:lang w:eastAsia="pt-BR"/>
        </w:rPr>
        <w:t>email ou declara</w:t>
      </w:r>
      <w:r w:rsidR="0081701D">
        <w:rPr>
          <w:rFonts w:eastAsia="Times New Roman" w:cs="Calibri"/>
          <w:color w:val="000000"/>
          <w:sz w:val="24"/>
          <w:szCs w:val="24"/>
          <w:lang w:eastAsia="pt-BR"/>
        </w:rPr>
        <w:t xml:space="preserve">ção de que </w:t>
      </w:r>
      <w:r w:rsidRPr="00763308">
        <w:rPr>
          <w:rFonts w:eastAsia="Times New Roman" w:cs="Calibri"/>
          <w:color w:val="000000"/>
          <w:sz w:val="24"/>
          <w:szCs w:val="24"/>
          <w:lang w:eastAsia="pt-BR"/>
        </w:rPr>
        <w:t>não possui endereço eletrônico;</w:t>
      </w:r>
    </w:p>
    <w:p w:rsidR="00763308" w:rsidRPr="00763308" w:rsidRDefault="00763308" w:rsidP="00763308">
      <w:pPr>
        <w:spacing w:line="240" w:lineRule="auto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 w:rsidRPr="00763308">
        <w:rPr>
          <w:rFonts w:eastAsia="Times New Roman" w:cs="Calibri"/>
          <w:color w:val="000000"/>
          <w:sz w:val="24"/>
          <w:szCs w:val="24"/>
          <w:lang w:eastAsia="pt-BR"/>
        </w:rPr>
        <w:t>Profissão, Estado Civil, Endereço com CEP;</w:t>
      </w:r>
    </w:p>
    <w:p w:rsidR="00763308" w:rsidRPr="00763308" w:rsidRDefault="00763308" w:rsidP="00763308">
      <w:pPr>
        <w:spacing w:line="240" w:lineRule="auto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 w:rsidRPr="00763308">
        <w:rPr>
          <w:rFonts w:eastAsia="Times New Roman" w:cs="Calibri"/>
          <w:color w:val="000000"/>
          <w:sz w:val="24"/>
          <w:szCs w:val="24"/>
          <w:lang w:eastAsia="pt-BR"/>
        </w:rPr>
        <w:t>Atestado médico original, se maior de 70 anos de idade (validade 30 dias).</w:t>
      </w:r>
    </w:p>
    <w:p w:rsidR="00763308" w:rsidRPr="00763308" w:rsidRDefault="00763308" w:rsidP="00763308">
      <w:pPr>
        <w:spacing w:line="240" w:lineRule="auto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 w:rsidRPr="00763308">
        <w:rPr>
          <w:rFonts w:eastAsia="Times New Roman" w:cs="Calibri"/>
          <w:b/>
          <w:bCs/>
          <w:color w:val="000000"/>
          <w:sz w:val="24"/>
          <w:szCs w:val="24"/>
          <w:u w:val="single"/>
          <w:lang w:eastAsia="pt-BR"/>
        </w:rPr>
        <w:t>TESTAMENTÁRIO</w:t>
      </w:r>
      <w:r w:rsidR="006466EC">
        <w:rPr>
          <w:rFonts w:eastAsia="Times New Roman" w:cs="Calibri"/>
          <w:b/>
          <w:bCs/>
          <w:color w:val="000000"/>
          <w:sz w:val="24"/>
          <w:szCs w:val="24"/>
          <w:u w:val="single"/>
          <w:lang w:eastAsia="pt-BR"/>
        </w:rPr>
        <w:t>(</w:t>
      </w:r>
      <w:r w:rsidRPr="00763308">
        <w:rPr>
          <w:rFonts w:eastAsia="Times New Roman" w:cs="Calibri"/>
          <w:b/>
          <w:bCs/>
          <w:color w:val="000000"/>
          <w:sz w:val="24"/>
          <w:szCs w:val="24"/>
          <w:u w:val="single"/>
          <w:lang w:eastAsia="pt-BR"/>
        </w:rPr>
        <w:t>S</w:t>
      </w:r>
      <w:r w:rsidR="006466EC">
        <w:rPr>
          <w:rFonts w:eastAsia="Times New Roman" w:cs="Calibri"/>
          <w:b/>
          <w:bCs/>
          <w:color w:val="000000"/>
          <w:sz w:val="24"/>
          <w:szCs w:val="24"/>
          <w:u w:val="single"/>
          <w:lang w:eastAsia="pt-BR"/>
        </w:rPr>
        <w:t>)</w:t>
      </w:r>
    </w:p>
    <w:p w:rsidR="00763308" w:rsidRPr="00763308" w:rsidRDefault="00763308" w:rsidP="00763308">
      <w:pPr>
        <w:spacing w:line="240" w:lineRule="auto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 w:rsidRPr="00763308">
        <w:rPr>
          <w:rFonts w:eastAsia="Times New Roman" w:cs="Calibri"/>
          <w:color w:val="000000"/>
          <w:sz w:val="24"/>
          <w:szCs w:val="24"/>
          <w:lang w:eastAsia="pt-BR"/>
        </w:rPr>
        <w:t>RG e CPF do herdeiro(s) testamentários(s) ou nome completo.</w:t>
      </w:r>
    </w:p>
    <w:p w:rsidR="00763308" w:rsidRPr="00763308" w:rsidRDefault="00763308" w:rsidP="00763308">
      <w:pPr>
        <w:spacing w:line="240" w:lineRule="auto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 w:rsidRPr="00763308">
        <w:rPr>
          <w:rFonts w:eastAsia="Times New Roman" w:cs="Calibri"/>
          <w:b/>
          <w:bCs/>
          <w:color w:val="000000"/>
          <w:sz w:val="24"/>
          <w:szCs w:val="24"/>
          <w:u w:val="single"/>
          <w:lang w:eastAsia="pt-BR"/>
        </w:rPr>
        <w:t>TESTEMUNHAS</w:t>
      </w:r>
    </w:p>
    <w:p w:rsidR="00763308" w:rsidRPr="00763308" w:rsidRDefault="00763308" w:rsidP="00763308">
      <w:pPr>
        <w:spacing w:line="240" w:lineRule="auto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 w:rsidRPr="00763308">
        <w:rPr>
          <w:rFonts w:eastAsia="Times New Roman" w:cs="Calibri"/>
          <w:color w:val="000000"/>
          <w:sz w:val="24"/>
          <w:szCs w:val="24"/>
          <w:lang w:eastAsia="pt-BR"/>
        </w:rPr>
        <w:t>Nome de duas testemunhas que não sejam parentes;</w:t>
      </w:r>
    </w:p>
    <w:p w:rsidR="00763308" w:rsidRDefault="00763308" w:rsidP="00763308">
      <w:pPr>
        <w:spacing w:line="240" w:lineRule="auto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 w:rsidRPr="00763308">
        <w:rPr>
          <w:rFonts w:eastAsia="Times New Roman" w:cs="Calibri"/>
          <w:color w:val="000000"/>
          <w:sz w:val="24"/>
          <w:szCs w:val="24"/>
          <w:lang w:eastAsia="pt-BR"/>
        </w:rPr>
        <w:t xml:space="preserve">Cópia de RG, CPF originais e válidos (menos de 10 anos), Profissão, Estado Civil, Endereço com </w:t>
      </w:r>
      <w:proofErr w:type="gramStart"/>
      <w:r w:rsidRPr="00763308">
        <w:rPr>
          <w:rFonts w:eastAsia="Times New Roman" w:cs="Calibri"/>
          <w:color w:val="000000"/>
          <w:sz w:val="24"/>
          <w:szCs w:val="24"/>
          <w:lang w:eastAsia="pt-BR"/>
        </w:rPr>
        <w:t>CEP .</w:t>
      </w:r>
      <w:proofErr w:type="gramEnd"/>
    </w:p>
    <w:p w:rsidR="00E56750" w:rsidRDefault="00E56750" w:rsidP="00763308">
      <w:pPr>
        <w:spacing w:line="240" w:lineRule="auto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>
        <w:rPr>
          <w:rFonts w:eastAsia="Times New Roman" w:cs="Calibri"/>
          <w:color w:val="000000"/>
          <w:sz w:val="24"/>
          <w:szCs w:val="24"/>
          <w:lang w:eastAsia="pt-BR"/>
        </w:rPr>
        <w:t>As testemunhas devem seguir os parâmetros do Artigo 228 do Código Civil brasileiro:</w:t>
      </w:r>
    </w:p>
    <w:p w:rsidR="00E56750" w:rsidRPr="00E56750" w:rsidRDefault="00E56750" w:rsidP="00E56750">
      <w:pPr>
        <w:spacing w:line="240" w:lineRule="auto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>
        <w:rPr>
          <w:rFonts w:eastAsia="Times New Roman" w:cs="Calibri"/>
          <w:b/>
          <w:bCs/>
          <w:color w:val="000000"/>
          <w:sz w:val="24"/>
          <w:szCs w:val="24"/>
          <w:lang w:eastAsia="pt-BR"/>
        </w:rPr>
        <w:t>“</w:t>
      </w:r>
      <w:r w:rsidRPr="00E56750">
        <w:rPr>
          <w:rFonts w:eastAsia="Times New Roman" w:cs="Calibri"/>
          <w:b/>
          <w:bCs/>
          <w:color w:val="000000"/>
          <w:sz w:val="24"/>
          <w:szCs w:val="24"/>
          <w:lang w:eastAsia="pt-BR"/>
        </w:rPr>
        <w:t>Art. 228.</w:t>
      </w:r>
      <w:r w:rsidRPr="00E56750">
        <w:rPr>
          <w:rFonts w:eastAsia="Times New Roman" w:cs="Calibri"/>
          <w:color w:val="000000"/>
          <w:sz w:val="24"/>
          <w:szCs w:val="24"/>
          <w:lang w:eastAsia="pt-BR"/>
        </w:rPr>
        <w:t> Não podem ser admitidos como testemunhas: (Vide Lei nº 13.146, de 2015) (Vigência)</w:t>
      </w:r>
    </w:p>
    <w:p w:rsidR="00E56750" w:rsidRPr="00E56750" w:rsidRDefault="00E56750" w:rsidP="00E56750">
      <w:pPr>
        <w:spacing w:line="240" w:lineRule="auto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 w:rsidRPr="00E56750">
        <w:rPr>
          <w:rFonts w:eastAsia="Times New Roman" w:cs="Calibri"/>
          <w:b/>
          <w:bCs/>
          <w:color w:val="000000"/>
          <w:sz w:val="24"/>
          <w:szCs w:val="24"/>
          <w:lang w:eastAsia="pt-BR"/>
        </w:rPr>
        <w:t>I </w:t>
      </w:r>
      <w:r w:rsidRPr="00E56750">
        <w:rPr>
          <w:rFonts w:eastAsia="Times New Roman" w:cs="Calibri"/>
          <w:color w:val="000000"/>
          <w:sz w:val="24"/>
          <w:szCs w:val="24"/>
          <w:lang w:eastAsia="pt-BR"/>
        </w:rPr>
        <w:t>- os menores de dezesseis anos;</w:t>
      </w:r>
    </w:p>
    <w:p w:rsidR="00E56750" w:rsidRPr="00E56750" w:rsidRDefault="00E56750" w:rsidP="00E56750">
      <w:pPr>
        <w:spacing w:line="240" w:lineRule="auto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 w:rsidRPr="00E56750">
        <w:rPr>
          <w:rFonts w:eastAsia="Times New Roman" w:cs="Calibri"/>
          <w:b/>
          <w:bCs/>
          <w:color w:val="000000"/>
          <w:sz w:val="24"/>
          <w:szCs w:val="24"/>
          <w:lang w:eastAsia="pt-BR"/>
        </w:rPr>
        <w:t>II </w:t>
      </w:r>
      <w:r w:rsidRPr="00E56750">
        <w:rPr>
          <w:rFonts w:eastAsia="Times New Roman" w:cs="Calibri"/>
          <w:color w:val="000000"/>
          <w:sz w:val="24"/>
          <w:szCs w:val="24"/>
          <w:lang w:eastAsia="pt-BR"/>
        </w:rPr>
        <w:t>- (Revogado); (Redação dada pela Lei nº 13.146, de 2015) (Vigência)</w:t>
      </w:r>
    </w:p>
    <w:p w:rsidR="00E56750" w:rsidRPr="00E56750" w:rsidRDefault="00E56750" w:rsidP="00E56750">
      <w:pPr>
        <w:spacing w:line="240" w:lineRule="auto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 w:rsidRPr="00E56750">
        <w:rPr>
          <w:rFonts w:eastAsia="Times New Roman" w:cs="Calibri"/>
          <w:b/>
          <w:bCs/>
          <w:color w:val="000000"/>
          <w:sz w:val="24"/>
          <w:szCs w:val="24"/>
          <w:lang w:eastAsia="pt-BR"/>
        </w:rPr>
        <w:t>III </w:t>
      </w:r>
      <w:r w:rsidRPr="00E56750">
        <w:rPr>
          <w:rFonts w:eastAsia="Times New Roman" w:cs="Calibri"/>
          <w:color w:val="000000"/>
          <w:sz w:val="24"/>
          <w:szCs w:val="24"/>
          <w:lang w:eastAsia="pt-BR"/>
        </w:rPr>
        <w:t>- (Revogado); (Redação dada pela Lei nº 13.146, de 2015) (Vigência)</w:t>
      </w:r>
    </w:p>
    <w:p w:rsidR="00E56750" w:rsidRPr="00E56750" w:rsidRDefault="00E56750" w:rsidP="00E56750">
      <w:pPr>
        <w:spacing w:line="240" w:lineRule="auto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 w:rsidRPr="00E56750">
        <w:rPr>
          <w:rFonts w:eastAsia="Times New Roman" w:cs="Calibri"/>
          <w:b/>
          <w:bCs/>
          <w:color w:val="000000"/>
          <w:sz w:val="24"/>
          <w:szCs w:val="24"/>
          <w:lang w:eastAsia="pt-BR"/>
        </w:rPr>
        <w:t>IV </w:t>
      </w:r>
      <w:r w:rsidRPr="00E56750">
        <w:rPr>
          <w:rFonts w:eastAsia="Times New Roman" w:cs="Calibri"/>
          <w:color w:val="000000"/>
          <w:sz w:val="24"/>
          <w:szCs w:val="24"/>
          <w:lang w:eastAsia="pt-BR"/>
        </w:rPr>
        <w:t>- o interessado no litígio, o amigo íntimo ou o inimigo capital das partes;</w:t>
      </w:r>
    </w:p>
    <w:p w:rsidR="00E56750" w:rsidRPr="00E56750" w:rsidRDefault="00E56750" w:rsidP="00E56750">
      <w:pPr>
        <w:spacing w:line="240" w:lineRule="auto"/>
        <w:jc w:val="both"/>
        <w:rPr>
          <w:rFonts w:eastAsia="Times New Roman" w:cs="Calibri"/>
          <w:color w:val="000000"/>
          <w:sz w:val="24"/>
          <w:szCs w:val="24"/>
          <w:u w:val="single"/>
          <w:lang w:eastAsia="pt-BR"/>
        </w:rPr>
      </w:pPr>
      <w:r w:rsidRPr="00E56750">
        <w:rPr>
          <w:rFonts w:eastAsia="Times New Roman" w:cs="Calibri"/>
          <w:bCs/>
          <w:color w:val="000000"/>
          <w:sz w:val="24"/>
          <w:szCs w:val="24"/>
          <w:u w:val="single"/>
          <w:lang w:eastAsia="pt-BR"/>
        </w:rPr>
        <w:t>V </w:t>
      </w:r>
      <w:r w:rsidRPr="00E56750">
        <w:rPr>
          <w:rFonts w:eastAsia="Times New Roman" w:cs="Calibri"/>
          <w:color w:val="000000"/>
          <w:sz w:val="24"/>
          <w:szCs w:val="24"/>
          <w:u w:val="single"/>
          <w:lang w:eastAsia="pt-BR"/>
        </w:rPr>
        <w:t>- os cônjuges, os ascendentes, os descendentes e os colaterais, até o terceiro grau de alguma das partes, por consangüinidade, ou afinidade.</w:t>
      </w:r>
    </w:p>
    <w:p w:rsidR="00E56750" w:rsidRPr="00E56750" w:rsidRDefault="00E56750" w:rsidP="00E56750">
      <w:pPr>
        <w:spacing w:line="240" w:lineRule="auto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 w:rsidRPr="00E56750">
        <w:rPr>
          <w:rFonts w:eastAsia="Times New Roman" w:cs="Calibri"/>
          <w:b/>
          <w:bCs/>
          <w:color w:val="000000"/>
          <w:sz w:val="24"/>
          <w:szCs w:val="24"/>
          <w:lang w:eastAsia="pt-BR"/>
        </w:rPr>
        <w:t>§ 1º</w:t>
      </w:r>
      <w:r w:rsidRPr="00E56750">
        <w:rPr>
          <w:rFonts w:eastAsia="Times New Roman" w:cs="Calibri"/>
          <w:color w:val="000000"/>
          <w:sz w:val="24"/>
          <w:szCs w:val="24"/>
          <w:lang w:eastAsia="pt-BR"/>
        </w:rPr>
        <w:t> Para a prova de fatos que só elas conheçam, pode o juiz admitir o depoimento das pessoas a que se refere este artigo. (Redação dada pela Lei nº 13.146, de 2015) (Vigência)</w:t>
      </w:r>
    </w:p>
    <w:p w:rsidR="00E56750" w:rsidRDefault="00E56750" w:rsidP="00E56750">
      <w:pPr>
        <w:spacing w:line="240" w:lineRule="auto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 w:rsidRPr="00E56750">
        <w:rPr>
          <w:rFonts w:eastAsia="Times New Roman" w:cs="Calibri"/>
          <w:b/>
          <w:bCs/>
          <w:color w:val="000000"/>
          <w:sz w:val="24"/>
          <w:szCs w:val="24"/>
          <w:lang w:eastAsia="pt-BR"/>
        </w:rPr>
        <w:t>§ 2º</w:t>
      </w:r>
      <w:r w:rsidRPr="00E56750">
        <w:rPr>
          <w:rFonts w:eastAsia="Times New Roman" w:cs="Calibri"/>
          <w:color w:val="000000"/>
          <w:sz w:val="24"/>
          <w:szCs w:val="24"/>
          <w:lang w:eastAsia="pt-BR"/>
        </w:rPr>
        <w:t xml:space="preserve"> A pessoa com deficiência poderá testemunhar em igualdade de condições com as demais pessoas, sendo-lhe assegurados todos os recursos de tecnologia </w:t>
      </w:r>
      <w:proofErr w:type="spellStart"/>
      <w:r w:rsidRPr="00E56750">
        <w:rPr>
          <w:rFonts w:eastAsia="Times New Roman" w:cs="Calibri"/>
          <w:color w:val="000000"/>
          <w:sz w:val="24"/>
          <w:szCs w:val="24"/>
          <w:lang w:eastAsia="pt-BR"/>
        </w:rPr>
        <w:t>assistiva</w:t>
      </w:r>
      <w:proofErr w:type="spellEnd"/>
      <w:r w:rsidRPr="00E56750">
        <w:rPr>
          <w:rFonts w:eastAsia="Times New Roman" w:cs="Calibri"/>
          <w:color w:val="000000"/>
          <w:sz w:val="24"/>
          <w:szCs w:val="24"/>
          <w:lang w:eastAsia="pt-BR"/>
        </w:rPr>
        <w:t>. (</w:t>
      </w:r>
      <w:proofErr w:type="gramStart"/>
      <w:r w:rsidRPr="00E56750">
        <w:rPr>
          <w:rFonts w:eastAsia="Times New Roman" w:cs="Calibri"/>
          <w:color w:val="000000"/>
          <w:sz w:val="24"/>
          <w:szCs w:val="24"/>
          <w:lang w:eastAsia="pt-BR"/>
        </w:rPr>
        <w:t>Incluído pela Lei nº 13.146, de 2015) (Vigência)</w:t>
      </w:r>
      <w:r>
        <w:rPr>
          <w:rFonts w:eastAsia="Times New Roman" w:cs="Calibri"/>
          <w:color w:val="000000"/>
          <w:sz w:val="24"/>
          <w:szCs w:val="24"/>
          <w:lang w:eastAsia="pt-BR"/>
        </w:rPr>
        <w:t>”</w:t>
      </w:r>
      <w:proofErr w:type="gramEnd"/>
    </w:p>
    <w:p w:rsidR="00E56750" w:rsidRPr="00E56750" w:rsidRDefault="00E56750" w:rsidP="00E56750">
      <w:pPr>
        <w:spacing w:line="240" w:lineRule="auto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>
        <w:rPr>
          <w:rFonts w:eastAsia="Times New Roman" w:cs="Calibri"/>
          <w:color w:val="000000"/>
          <w:sz w:val="24"/>
          <w:szCs w:val="24"/>
          <w:lang w:eastAsia="pt-BR"/>
        </w:rPr>
        <w:t>É importante se atentar que os beneficiários do testamento também não podem ser testemunhas.</w:t>
      </w:r>
    </w:p>
    <w:p w:rsidR="00E56750" w:rsidRPr="00763308" w:rsidRDefault="00E56750" w:rsidP="00763308">
      <w:pPr>
        <w:spacing w:line="240" w:lineRule="auto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</w:p>
    <w:p w:rsidR="00763308" w:rsidRPr="00763308" w:rsidRDefault="00763308" w:rsidP="00763308">
      <w:pPr>
        <w:spacing w:line="240" w:lineRule="auto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 w:rsidRPr="00763308">
        <w:rPr>
          <w:rFonts w:eastAsia="Times New Roman" w:cs="Calibri"/>
          <w:b/>
          <w:bCs/>
          <w:color w:val="000000"/>
          <w:sz w:val="24"/>
          <w:szCs w:val="24"/>
          <w:u w:val="single"/>
          <w:lang w:eastAsia="pt-BR"/>
        </w:rPr>
        <w:t>BENS</w:t>
      </w:r>
    </w:p>
    <w:p w:rsidR="00763308" w:rsidRPr="00763308" w:rsidRDefault="006466EC" w:rsidP="00763308">
      <w:pPr>
        <w:spacing w:line="240" w:lineRule="auto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proofErr w:type="gramStart"/>
      <w:r w:rsidRPr="00763308">
        <w:rPr>
          <w:rFonts w:eastAsia="Times New Roman" w:cs="Calibri"/>
          <w:b/>
          <w:bCs/>
          <w:color w:val="000000"/>
          <w:sz w:val="24"/>
          <w:szCs w:val="24"/>
          <w:lang w:eastAsia="pt-BR"/>
        </w:rPr>
        <w:lastRenderedPageBreak/>
        <w:t>I</w:t>
      </w:r>
      <w:r w:rsidR="00763308" w:rsidRPr="00763308">
        <w:rPr>
          <w:rFonts w:eastAsia="Times New Roman" w:cs="Calibri"/>
          <w:b/>
          <w:bCs/>
          <w:color w:val="000000"/>
          <w:sz w:val="24"/>
          <w:szCs w:val="24"/>
          <w:lang w:eastAsia="pt-BR"/>
        </w:rPr>
        <w:t>móve</w:t>
      </w:r>
      <w:r>
        <w:rPr>
          <w:rFonts w:eastAsia="Times New Roman" w:cs="Calibri"/>
          <w:b/>
          <w:bCs/>
          <w:color w:val="000000"/>
          <w:sz w:val="24"/>
          <w:szCs w:val="24"/>
          <w:lang w:eastAsia="pt-BR"/>
        </w:rPr>
        <w:t>l(</w:t>
      </w:r>
      <w:proofErr w:type="gramEnd"/>
      <w:r w:rsidR="00763308" w:rsidRPr="00763308">
        <w:rPr>
          <w:rFonts w:eastAsia="Times New Roman" w:cs="Calibri"/>
          <w:b/>
          <w:bCs/>
          <w:color w:val="000000"/>
          <w:sz w:val="24"/>
          <w:szCs w:val="24"/>
          <w:lang w:eastAsia="pt-BR"/>
        </w:rPr>
        <w:t>is</w:t>
      </w:r>
      <w:r>
        <w:rPr>
          <w:rFonts w:eastAsia="Times New Roman" w:cs="Calibri"/>
          <w:b/>
          <w:bCs/>
          <w:color w:val="000000"/>
          <w:sz w:val="24"/>
          <w:szCs w:val="24"/>
          <w:lang w:eastAsia="pt-BR"/>
        </w:rPr>
        <w:t>)</w:t>
      </w:r>
      <w:r w:rsidR="00763308" w:rsidRPr="00763308">
        <w:rPr>
          <w:rFonts w:eastAsia="Times New Roman" w:cs="Calibri"/>
          <w:b/>
          <w:bCs/>
          <w:color w:val="000000"/>
          <w:sz w:val="24"/>
          <w:szCs w:val="24"/>
          <w:lang w:eastAsia="pt-BR"/>
        </w:rPr>
        <w:t>:</w:t>
      </w:r>
    </w:p>
    <w:p w:rsidR="00763308" w:rsidRPr="00763308" w:rsidRDefault="00763308" w:rsidP="00763308">
      <w:pPr>
        <w:spacing w:line="240" w:lineRule="auto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 w:rsidRPr="00763308">
        <w:rPr>
          <w:rFonts w:eastAsia="Times New Roman" w:cs="Calibri"/>
          <w:color w:val="000000"/>
          <w:sz w:val="24"/>
          <w:szCs w:val="24"/>
          <w:lang w:eastAsia="pt-BR"/>
        </w:rPr>
        <w:t>Cópia da matrícula ou escritura (se for descrever os bens) e documentos de comprovação de propriedade;</w:t>
      </w:r>
    </w:p>
    <w:p w:rsidR="00763308" w:rsidRPr="00763308" w:rsidRDefault="00763308" w:rsidP="00763308">
      <w:pPr>
        <w:spacing w:line="240" w:lineRule="auto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 w:rsidRPr="00763308">
        <w:rPr>
          <w:rFonts w:eastAsia="Times New Roman" w:cs="Calibri"/>
          <w:color w:val="000000"/>
          <w:sz w:val="24"/>
          <w:szCs w:val="24"/>
          <w:lang w:eastAsia="pt-BR"/>
        </w:rPr>
        <w:t>Certidão de Valor Venal;</w:t>
      </w:r>
    </w:p>
    <w:p w:rsidR="00763308" w:rsidRPr="00763308" w:rsidRDefault="00763308" w:rsidP="00763308">
      <w:pPr>
        <w:spacing w:line="240" w:lineRule="auto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 w:rsidRPr="00763308">
        <w:rPr>
          <w:rFonts w:eastAsia="Times New Roman" w:cs="Calibri"/>
          <w:color w:val="000000"/>
          <w:sz w:val="24"/>
          <w:szCs w:val="24"/>
          <w:lang w:eastAsia="pt-BR"/>
        </w:rPr>
        <w:t>Informar o valor atual de mercado.</w:t>
      </w:r>
    </w:p>
    <w:p w:rsidR="00763308" w:rsidRPr="00763308" w:rsidRDefault="00763308" w:rsidP="00763308">
      <w:pPr>
        <w:spacing w:line="240" w:lineRule="auto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proofErr w:type="gramStart"/>
      <w:r w:rsidRPr="00763308">
        <w:rPr>
          <w:rFonts w:eastAsia="Times New Roman" w:cs="Calibri"/>
          <w:b/>
          <w:bCs/>
          <w:color w:val="000000"/>
          <w:sz w:val="24"/>
          <w:szCs w:val="24"/>
          <w:lang w:eastAsia="pt-BR"/>
        </w:rPr>
        <w:t>aplicações</w:t>
      </w:r>
      <w:proofErr w:type="gramEnd"/>
      <w:r w:rsidRPr="00763308">
        <w:rPr>
          <w:rFonts w:eastAsia="Times New Roman" w:cs="Calibri"/>
          <w:b/>
          <w:bCs/>
          <w:color w:val="000000"/>
          <w:sz w:val="24"/>
          <w:szCs w:val="24"/>
          <w:lang w:eastAsia="pt-BR"/>
        </w:rPr>
        <w:t xml:space="preserve"> financeiras:</w:t>
      </w:r>
    </w:p>
    <w:p w:rsidR="00763308" w:rsidRPr="00763308" w:rsidRDefault="00763308" w:rsidP="00763308">
      <w:pPr>
        <w:spacing w:line="240" w:lineRule="auto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proofErr w:type="gramStart"/>
      <w:r w:rsidRPr="00763308">
        <w:rPr>
          <w:rFonts w:eastAsia="Times New Roman" w:cs="Calibri"/>
          <w:color w:val="000000"/>
          <w:sz w:val="24"/>
          <w:szCs w:val="24"/>
          <w:lang w:eastAsia="pt-BR"/>
        </w:rPr>
        <w:t>extratos</w:t>
      </w:r>
      <w:proofErr w:type="gramEnd"/>
      <w:r w:rsidRPr="00763308">
        <w:rPr>
          <w:rFonts w:eastAsia="Times New Roman" w:cs="Calibri"/>
          <w:color w:val="000000"/>
          <w:sz w:val="24"/>
          <w:szCs w:val="24"/>
          <w:lang w:eastAsia="pt-BR"/>
        </w:rPr>
        <w:t xml:space="preserve"> bancários</w:t>
      </w:r>
    </w:p>
    <w:p w:rsidR="00763308" w:rsidRPr="00763308" w:rsidRDefault="00763308" w:rsidP="00763308">
      <w:pPr>
        <w:spacing w:line="240" w:lineRule="auto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proofErr w:type="gramStart"/>
      <w:r w:rsidRPr="00763308">
        <w:rPr>
          <w:rFonts w:eastAsia="Times New Roman" w:cs="Calibri"/>
          <w:b/>
          <w:bCs/>
          <w:color w:val="000000"/>
          <w:sz w:val="24"/>
          <w:szCs w:val="24"/>
          <w:lang w:eastAsia="pt-BR"/>
        </w:rPr>
        <w:t>móveis</w:t>
      </w:r>
      <w:proofErr w:type="gramEnd"/>
      <w:r w:rsidRPr="00763308">
        <w:rPr>
          <w:rFonts w:eastAsia="Times New Roman" w:cs="Calibri"/>
          <w:b/>
          <w:bCs/>
          <w:color w:val="000000"/>
          <w:sz w:val="24"/>
          <w:szCs w:val="24"/>
          <w:lang w:eastAsia="pt-BR"/>
        </w:rPr>
        <w:t>/semoventes:</w:t>
      </w:r>
    </w:p>
    <w:p w:rsidR="00763308" w:rsidRPr="00763308" w:rsidRDefault="00763308" w:rsidP="00763308">
      <w:pPr>
        <w:spacing w:line="240" w:lineRule="auto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proofErr w:type="gramStart"/>
      <w:r w:rsidRPr="00763308">
        <w:rPr>
          <w:rFonts w:eastAsia="Times New Roman" w:cs="Calibri"/>
          <w:color w:val="000000"/>
          <w:sz w:val="24"/>
          <w:szCs w:val="24"/>
          <w:lang w:eastAsia="pt-BR"/>
        </w:rPr>
        <w:t>declaração</w:t>
      </w:r>
      <w:proofErr w:type="gramEnd"/>
      <w:r w:rsidRPr="00763308">
        <w:rPr>
          <w:rFonts w:eastAsia="Times New Roman" w:cs="Calibri"/>
          <w:color w:val="000000"/>
          <w:sz w:val="24"/>
          <w:szCs w:val="24"/>
          <w:lang w:eastAsia="pt-BR"/>
        </w:rPr>
        <w:t xml:space="preserve"> do valor de mercado atual;</w:t>
      </w:r>
    </w:p>
    <w:p w:rsidR="00763308" w:rsidRPr="00763308" w:rsidRDefault="00763308" w:rsidP="00763308">
      <w:pPr>
        <w:spacing w:line="240" w:lineRule="auto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 w:rsidRPr="00763308">
        <w:rPr>
          <w:rFonts w:eastAsia="Times New Roman" w:cs="Calibri"/>
          <w:color w:val="000000"/>
          <w:sz w:val="24"/>
          <w:szCs w:val="24"/>
          <w:lang w:eastAsia="pt-BR"/>
        </w:rPr>
        <w:t>Inf</w:t>
      </w:r>
      <w:r w:rsidR="004D5C0B">
        <w:rPr>
          <w:rFonts w:eastAsia="Times New Roman" w:cs="Calibri"/>
          <w:color w:val="000000"/>
          <w:sz w:val="24"/>
          <w:szCs w:val="24"/>
          <w:lang w:eastAsia="pt-BR"/>
        </w:rPr>
        <w:t>ormar o valor atual de mercado.</w:t>
      </w:r>
    </w:p>
    <w:p w:rsidR="00763308" w:rsidRDefault="00763308" w:rsidP="00A41109">
      <w:pPr>
        <w:shd w:val="clear" w:color="auto" w:fill="FFFFFF"/>
        <w:spacing w:before="100" w:beforeAutospacing="1" w:after="100" w:afterAutospacing="1" w:line="240" w:lineRule="auto"/>
        <w:ind w:left="360"/>
        <w:jc w:val="both"/>
      </w:pPr>
    </w:p>
    <w:p w:rsidR="00827618" w:rsidRPr="00763308" w:rsidRDefault="00827618" w:rsidP="00827618">
      <w:pPr>
        <w:spacing w:line="240" w:lineRule="auto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proofErr w:type="gramStart"/>
      <w:r w:rsidRPr="00763308">
        <w:rPr>
          <w:rFonts w:eastAsia="Times New Roman" w:cs="Calibri"/>
          <w:b/>
          <w:bCs/>
          <w:color w:val="000000"/>
          <w:sz w:val="24"/>
          <w:szCs w:val="24"/>
          <w:u w:val="single"/>
          <w:lang w:eastAsia="pt-BR"/>
        </w:rPr>
        <w:t>TUTOR</w:t>
      </w:r>
      <w:r w:rsidR="006466EC">
        <w:rPr>
          <w:rFonts w:eastAsia="Times New Roman" w:cs="Calibri"/>
          <w:b/>
          <w:bCs/>
          <w:color w:val="000000"/>
          <w:sz w:val="24"/>
          <w:szCs w:val="24"/>
          <w:u w:val="single"/>
          <w:lang w:eastAsia="pt-BR"/>
        </w:rPr>
        <w:t>(</w:t>
      </w:r>
      <w:proofErr w:type="gramEnd"/>
      <w:r w:rsidRPr="00763308">
        <w:rPr>
          <w:rFonts w:eastAsia="Times New Roman" w:cs="Calibri"/>
          <w:b/>
          <w:bCs/>
          <w:color w:val="000000"/>
          <w:sz w:val="24"/>
          <w:szCs w:val="24"/>
          <w:u w:val="single"/>
          <w:lang w:eastAsia="pt-BR"/>
        </w:rPr>
        <w:t>ES</w:t>
      </w:r>
      <w:r w:rsidR="006466EC">
        <w:rPr>
          <w:rFonts w:eastAsia="Times New Roman" w:cs="Calibri"/>
          <w:b/>
          <w:bCs/>
          <w:color w:val="000000"/>
          <w:sz w:val="24"/>
          <w:szCs w:val="24"/>
          <w:u w:val="single"/>
          <w:lang w:eastAsia="pt-BR"/>
        </w:rPr>
        <w:t>)</w:t>
      </w:r>
    </w:p>
    <w:p w:rsidR="00827618" w:rsidRPr="00763308" w:rsidRDefault="00827618" w:rsidP="00827618">
      <w:pPr>
        <w:spacing w:line="240" w:lineRule="auto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 w:rsidRPr="00763308">
        <w:rPr>
          <w:rFonts w:eastAsia="Times New Roman" w:cs="Calibri"/>
          <w:color w:val="000000"/>
          <w:sz w:val="24"/>
          <w:szCs w:val="24"/>
          <w:lang w:eastAsia="pt-BR"/>
        </w:rPr>
        <w:t>RG (com menos de 10 anos, original) e CPF ou CNH;</w:t>
      </w:r>
    </w:p>
    <w:p w:rsidR="00827618" w:rsidRPr="00763308" w:rsidRDefault="00827618" w:rsidP="00827618">
      <w:pPr>
        <w:spacing w:line="240" w:lineRule="auto"/>
        <w:jc w:val="both"/>
        <w:rPr>
          <w:rFonts w:eastAsia="Times New Roman" w:cs="Calibri"/>
          <w:color w:val="000000"/>
          <w:sz w:val="24"/>
          <w:szCs w:val="24"/>
          <w:lang w:eastAsia="pt-BR"/>
        </w:rPr>
      </w:pPr>
      <w:r w:rsidRPr="00763308">
        <w:rPr>
          <w:rFonts w:eastAsia="Times New Roman" w:cs="Calibri"/>
          <w:color w:val="000000"/>
          <w:sz w:val="24"/>
          <w:szCs w:val="24"/>
          <w:lang w:eastAsia="pt-BR"/>
        </w:rPr>
        <w:t>Profissão, Estado Civil, Endereço com CEP.</w:t>
      </w:r>
    </w:p>
    <w:sectPr w:rsidR="00827618" w:rsidRPr="00763308" w:rsidSect="000F55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234BA2"/>
    <w:multiLevelType w:val="multilevel"/>
    <w:tmpl w:val="B3DA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8C1A7C"/>
    <w:rsid w:val="000F559F"/>
    <w:rsid w:val="00304933"/>
    <w:rsid w:val="004D5C0B"/>
    <w:rsid w:val="0060663C"/>
    <w:rsid w:val="006466EC"/>
    <w:rsid w:val="00736CF2"/>
    <w:rsid w:val="00763308"/>
    <w:rsid w:val="0081701D"/>
    <w:rsid w:val="00827618"/>
    <w:rsid w:val="00855B72"/>
    <w:rsid w:val="008C1A7C"/>
    <w:rsid w:val="00A41109"/>
    <w:rsid w:val="00A578F2"/>
    <w:rsid w:val="00CF45EA"/>
    <w:rsid w:val="00E567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A7C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xmsonormal">
    <w:name w:val="x_msonormal"/>
    <w:basedOn w:val="Normal"/>
    <w:rsid w:val="008C1A7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08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8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65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4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1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5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9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2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2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55538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2280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2256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35938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56738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6073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615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0484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9708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7719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648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7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7887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041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0324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46383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86997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6758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6092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7435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9133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2477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8645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8579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1066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819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2845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08528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2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7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7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1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75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5750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21711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04068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54212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7360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29700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5803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90253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39015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968612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00387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03133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24345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323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Escrevente</dc:creator>
  <cp:lastModifiedBy>Pedro.Pizarro</cp:lastModifiedBy>
  <cp:revision>11</cp:revision>
  <dcterms:created xsi:type="dcterms:W3CDTF">2025-07-15T16:52:00Z</dcterms:created>
  <dcterms:modified xsi:type="dcterms:W3CDTF">2026-03-30T13:49:00Z</dcterms:modified>
</cp:coreProperties>
</file>