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0F41" w:rsidRPr="00BF3EA7" w:rsidRDefault="006F0F41" w:rsidP="00BF3EA7">
      <w:pPr>
        <w:jc w:val="both"/>
      </w:pPr>
    </w:p>
    <w:p w:rsidR="00BF3EA7" w:rsidRDefault="00BF3EA7" w:rsidP="00BF3EA7">
      <w:pPr>
        <w:shd w:val="clear" w:color="auto" w:fill="FFFFFF"/>
        <w:spacing w:after="115" w:line="240" w:lineRule="auto"/>
        <w:jc w:val="both"/>
        <w:rPr>
          <w:rFonts w:ascii="Arial" w:eastAsia="Times New Roman" w:hAnsi="Arial" w:cs="Arial"/>
          <w:sz w:val="18"/>
          <w:lang w:eastAsia="pt-BR"/>
        </w:rPr>
      </w:pPr>
      <w:r w:rsidRPr="00BF3EA7">
        <w:rPr>
          <w:rFonts w:ascii="Arial" w:eastAsia="Times New Roman" w:hAnsi="Arial" w:cs="Arial"/>
          <w:sz w:val="18"/>
          <w:szCs w:val="18"/>
          <w:lang w:eastAsia="pt-BR"/>
        </w:rPr>
        <w:t>A penhora</w:t>
      </w:r>
      <w:proofErr w:type="gramStart"/>
      <w:r w:rsidRPr="00BF3EA7">
        <w:rPr>
          <w:rFonts w:ascii="Arial" w:eastAsia="Times New Roman" w:hAnsi="Arial" w:cs="Arial"/>
          <w:sz w:val="18"/>
          <w:szCs w:val="18"/>
          <w:lang w:eastAsia="pt-BR"/>
        </w:rPr>
        <w:t>, hipoteca</w:t>
      </w:r>
      <w:proofErr w:type="gramEnd"/>
      <w:r w:rsidRPr="00BF3EA7">
        <w:rPr>
          <w:rFonts w:ascii="Arial" w:eastAsia="Times New Roman" w:hAnsi="Arial" w:cs="Arial"/>
          <w:sz w:val="18"/>
          <w:szCs w:val="18"/>
          <w:lang w:eastAsia="pt-BR"/>
        </w:rPr>
        <w:t xml:space="preserve"> e fiança são todas garantias para o pagamento de dívidas, mas com diferenças cruciais: hipoteca é uma garantia de bem imóvel oferecida pelo devedor em um contrato (é a própria garantia sobre um bem específico); penhora é um ato judicial de apreensão de bens, que pode acontecer com um bem hipotecado ou não, quando o devedor não paga a dívida; e fiança é uma garantia pessoal, onde uma terceira pessoa se responsabiliza pela dívida do devedor, não sobre um bem específico, mas sim com seu patrimônio geral.</w:t>
      </w:r>
      <w:r w:rsidRPr="00BF3EA7">
        <w:rPr>
          <w:rFonts w:ascii="Arial" w:eastAsia="Times New Roman" w:hAnsi="Arial" w:cs="Arial"/>
          <w:sz w:val="18"/>
          <w:lang w:eastAsia="pt-BR"/>
        </w:rPr>
        <w:t> </w:t>
      </w:r>
    </w:p>
    <w:p w:rsidR="00BF3EA7" w:rsidRPr="00BF3EA7" w:rsidRDefault="00BF3EA7" w:rsidP="00BF3EA7">
      <w:pPr>
        <w:shd w:val="clear" w:color="auto" w:fill="FFFFFF"/>
        <w:spacing w:after="115" w:line="240" w:lineRule="auto"/>
        <w:jc w:val="both"/>
        <w:rPr>
          <w:rFonts w:ascii="Arial" w:eastAsia="Times New Roman" w:hAnsi="Arial" w:cs="Arial"/>
          <w:sz w:val="18"/>
          <w:szCs w:val="18"/>
          <w:lang w:eastAsia="pt-BR"/>
        </w:rPr>
      </w:pPr>
    </w:p>
    <w:p w:rsidR="00BF3EA7" w:rsidRPr="00BF3EA7" w:rsidRDefault="00BF3EA7" w:rsidP="00BF3EA7">
      <w:pPr>
        <w:shd w:val="clear" w:color="auto" w:fill="FFFFFF"/>
        <w:spacing w:after="115" w:line="323" w:lineRule="atLeast"/>
        <w:jc w:val="both"/>
        <w:rPr>
          <w:rFonts w:ascii="Times New Roman" w:eastAsia="Times New Roman" w:hAnsi="Times New Roman" w:cs="Times New Roman"/>
          <w:sz w:val="23"/>
          <w:szCs w:val="23"/>
          <w:lang w:eastAsia="pt-BR"/>
        </w:rPr>
      </w:pPr>
      <w:r w:rsidRPr="00AD73A5">
        <w:rPr>
          <w:rFonts w:ascii="Arial" w:eastAsia="Times New Roman" w:hAnsi="Arial" w:cs="Arial"/>
          <w:sz w:val="23"/>
          <w:szCs w:val="23"/>
          <w:highlight w:val="cyan"/>
          <w:lang w:eastAsia="pt-BR"/>
        </w:rPr>
        <w:t>Hipoteca</w:t>
      </w:r>
    </w:p>
    <w:p w:rsidR="00BF3EA7" w:rsidRPr="00BF3EA7" w:rsidRDefault="00BF3EA7" w:rsidP="00BF3EA7">
      <w:pPr>
        <w:numPr>
          <w:ilvl w:val="0"/>
          <w:numId w:val="1"/>
        </w:numPr>
        <w:shd w:val="clear" w:color="auto" w:fill="FFFFFF"/>
        <w:spacing w:after="92" w:line="276" w:lineRule="atLeast"/>
        <w:ind w:left="0"/>
        <w:jc w:val="both"/>
        <w:rPr>
          <w:rFonts w:ascii="Arial" w:eastAsia="Times New Roman" w:hAnsi="Arial" w:cs="Arial"/>
          <w:sz w:val="18"/>
          <w:szCs w:val="18"/>
          <w:lang w:eastAsia="pt-BR"/>
        </w:rPr>
      </w:pPr>
      <w:r w:rsidRPr="00BF3EA7">
        <w:rPr>
          <w:rFonts w:ascii="Arial" w:eastAsia="Times New Roman" w:hAnsi="Arial" w:cs="Arial"/>
          <w:b/>
          <w:bCs/>
          <w:sz w:val="18"/>
          <w:lang w:eastAsia="pt-BR"/>
        </w:rPr>
        <w:t>O que é:</w:t>
      </w:r>
      <w:r w:rsidRPr="00BF3EA7">
        <w:rPr>
          <w:rFonts w:ascii="Arial" w:eastAsia="Times New Roman" w:hAnsi="Arial" w:cs="Arial"/>
          <w:sz w:val="18"/>
          <w:szCs w:val="18"/>
          <w:lang w:eastAsia="pt-BR"/>
        </w:rPr>
        <w:t> </w:t>
      </w:r>
    </w:p>
    <w:p w:rsidR="00BF3EA7" w:rsidRPr="00BF3EA7" w:rsidRDefault="00BF3EA7" w:rsidP="00BF3EA7">
      <w:pPr>
        <w:shd w:val="clear" w:color="auto" w:fill="FFFFFF"/>
        <w:spacing w:after="92" w:line="276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BF3EA7">
        <w:rPr>
          <w:rFonts w:ascii="Arial" w:eastAsia="Times New Roman" w:hAnsi="Arial" w:cs="Arial"/>
          <w:spacing w:val="1"/>
          <w:sz w:val="18"/>
          <w:szCs w:val="18"/>
          <w:lang w:eastAsia="pt-BR"/>
        </w:rPr>
        <w:t xml:space="preserve">O </w:t>
      </w:r>
      <w:r w:rsidRPr="00AD73A5">
        <w:rPr>
          <w:rFonts w:ascii="Arial" w:eastAsia="Times New Roman" w:hAnsi="Arial" w:cs="Arial"/>
          <w:spacing w:val="1"/>
          <w:sz w:val="18"/>
          <w:szCs w:val="18"/>
          <w:highlight w:val="cyan"/>
          <w:lang w:eastAsia="pt-BR"/>
        </w:rPr>
        <w:t>devedor oferece um bem imóvel (casa, apartamento, terreno) como garantia para um empréstimo ou financiamento</w:t>
      </w:r>
      <w:r w:rsidRPr="00BF3EA7">
        <w:rPr>
          <w:rFonts w:ascii="Arial" w:eastAsia="Times New Roman" w:hAnsi="Arial" w:cs="Arial"/>
          <w:spacing w:val="1"/>
          <w:sz w:val="18"/>
          <w:szCs w:val="18"/>
          <w:lang w:eastAsia="pt-BR"/>
        </w:rPr>
        <w:t>.</w:t>
      </w:r>
      <w:r w:rsidRPr="00BF3EA7">
        <w:rPr>
          <w:rFonts w:ascii="Arial" w:eastAsia="Times New Roman" w:hAnsi="Arial" w:cs="Arial"/>
          <w:spacing w:val="1"/>
          <w:sz w:val="18"/>
          <w:lang w:eastAsia="pt-BR"/>
        </w:rPr>
        <w:t> </w:t>
      </w:r>
    </w:p>
    <w:p w:rsidR="00BF3EA7" w:rsidRPr="00BF3EA7" w:rsidRDefault="00BF3EA7" w:rsidP="00BF3EA7">
      <w:pPr>
        <w:numPr>
          <w:ilvl w:val="0"/>
          <w:numId w:val="1"/>
        </w:numPr>
        <w:shd w:val="clear" w:color="auto" w:fill="FFFFFF"/>
        <w:spacing w:after="0" w:line="276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3EA7">
        <w:rPr>
          <w:rFonts w:ascii="Arial" w:eastAsia="Times New Roman" w:hAnsi="Arial" w:cs="Arial"/>
          <w:b/>
          <w:bCs/>
          <w:sz w:val="18"/>
          <w:lang w:eastAsia="pt-BR"/>
        </w:rPr>
        <w:t>Como funciona:</w:t>
      </w:r>
      <w:r w:rsidRPr="00BF3EA7">
        <w:rPr>
          <w:rFonts w:ascii="Arial" w:eastAsia="Times New Roman" w:hAnsi="Arial" w:cs="Arial"/>
          <w:sz w:val="18"/>
          <w:szCs w:val="18"/>
          <w:lang w:eastAsia="pt-BR"/>
        </w:rPr>
        <w:t> </w:t>
      </w:r>
    </w:p>
    <w:p w:rsidR="00BF3EA7" w:rsidRDefault="00BF3EA7" w:rsidP="00BF3EA7">
      <w:pPr>
        <w:shd w:val="clear" w:color="auto" w:fill="FFFFFF"/>
        <w:spacing w:after="0" w:line="276" w:lineRule="atLeast"/>
        <w:jc w:val="both"/>
        <w:rPr>
          <w:rFonts w:ascii="Arial" w:eastAsia="Times New Roman" w:hAnsi="Arial" w:cs="Arial"/>
          <w:spacing w:val="1"/>
          <w:sz w:val="18"/>
          <w:lang w:eastAsia="pt-BR"/>
        </w:rPr>
      </w:pPr>
      <w:r w:rsidRPr="00BF3EA7">
        <w:rPr>
          <w:rFonts w:ascii="Arial" w:eastAsia="Times New Roman" w:hAnsi="Arial" w:cs="Arial"/>
          <w:spacing w:val="1"/>
          <w:sz w:val="18"/>
          <w:szCs w:val="18"/>
          <w:lang w:eastAsia="pt-BR"/>
        </w:rPr>
        <w:t>O credor (instituição financeira, por exemplo) registra a hipoteca no Cartório de Registro de Imóveis. O devedor continua usando o imóvel, mas, em caso de inadimplência, o credor pode tomar o bem para cobrir a dívida.</w:t>
      </w:r>
      <w:r w:rsidRPr="00BF3EA7">
        <w:rPr>
          <w:rFonts w:ascii="Arial" w:eastAsia="Times New Roman" w:hAnsi="Arial" w:cs="Arial"/>
          <w:spacing w:val="1"/>
          <w:sz w:val="18"/>
          <w:lang w:eastAsia="pt-BR"/>
        </w:rPr>
        <w:t> </w:t>
      </w:r>
    </w:p>
    <w:p w:rsidR="00AD73A5" w:rsidRDefault="00AD73A5" w:rsidP="00BF3EA7">
      <w:pPr>
        <w:shd w:val="clear" w:color="auto" w:fill="FFFFFF"/>
        <w:spacing w:after="0" w:line="276" w:lineRule="atLeast"/>
        <w:jc w:val="both"/>
        <w:rPr>
          <w:rFonts w:ascii="Arial" w:eastAsia="Times New Roman" w:hAnsi="Arial" w:cs="Arial"/>
          <w:spacing w:val="1"/>
          <w:sz w:val="18"/>
          <w:lang w:eastAsia="pt-BR"/>
        </w:rPr>
      </w:pPr>
    </w:p>
    <w:p w:rsidR="00BF3EA7" w:rsidRPr="00BF3EA7" w:rsidRDefault="00BF3EA7" w:rsidP="00BF3EA7">
      <w:pPr>
        <w:shd w:val="clear" w:color="auto" w:fill="FFFFFF"/>
        <w:spacing w:after="0" w:line="276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BF3EA7" w:rsidRPr="00BF3EA7" w:rsidRDefault="00BF3EA7" w:rsidP="00BF3EA7">
      <w:pPr>
        <w:shd w:val="clear" w:color="auto" w:fill="FFFFFF"/>
        <w:spacing w:after="115" w:line="323" w:lineRule="atLeast"/>
        <w:jc w:val="both"/>
        <w:rPr>
          <w:rFonts w:ascii="Times New Roman" w:eastAsia="Times New Roman" w:hAnsi="Times New Roman" w:cs="Times New Roman"/>
          <w:sz w:val="23"/>
          <w:szCs w:val="23"/>
          <w:lang w:eastAsia="pt-BR"/>
        </w:rPr>
      </w:pPr>
      <w:r w:rsidRPr="00AD73A5">
        <w:rPr>
          <w:rFonts w:ascii="Arial" w:eastAsia="Times New Roman" w:hAnsi="Arial" w:cs="Arial"/>
          <w:sz w:val="23"/>
          <w:szCs w:val="23"/>
          <w:highlight w:val="cyan"/>
          <w:lang w:eastAsia="pt-BR"/>
        </w:rPr>
        <w:t>Penhora</w:t>
      </w:r>
    </w:p>
    <w:p w:rsidR="00BF3EA7" w:rsidRPr="00BF3EA7" w:rsidRDefault="00BF3EA7" w:rsidP="00BF3EA7">
      <w:pPr>
        <w:numPr>
          <w:ilvl w:val="0"/>
          <w:numId w:val="2"/>
        </w:numPr>
        <w:shd w:val="clear" w:color="auto" w:fill="FFFFFF"/>
        <w:spacing w:after="92" w:line="276" w:lineRule="atLeast"/>
        <w:ind w:left="0"/>
        <w:jc w:val="both"/>
        <w:rPr>
          <w:rFonts w:ascii="Arial" w:eastAsia="Times New Roman" w:hAnsi="Arial" w:cs="Arial"/>
          <w:sz w:val="18"/>
          <w:szCs w:val="18"/>
          <w:lang w:eastAsia="pt-BR"/>
        </w:rPr>
      </w:pPr>
      <w:r w:rsidRPr="00BF3EA7">
        <w:rPr>
          <w:rFonts w:ascii="Arial" w:eastAsia="Times New Roman" w:hAnsi="Arial" w:cs="Arial"/>
          <w:b/>
          <w:bCs/>
          <w:sz w:val="18"/>
          <w:lang w:eastAsia="pt-BR"/>
        </w:rPr>
        <w:t>O que é:</w:t>
      </w:r>
      <w:r w:rsidRPr="00BF3EA7">
        <w:rPr>
          <w:rFonts w:ascii="Arial" w:eastAsia="Times New Roman" w:hAnsi="Arial" w:cs="Arial"/>
          <w:sz w:val="18"/>
          <w:szCs w:val="18"/>
          <w:lang w:eastAsia="pt-BR"/>
        </w:rPr>
        <w:t> </w:t>
      </w:r>
    </w:p>
    <w:p w:rsidR="00BF3EA7" w:rsidRPr="00BF3EA7" w:rsidRDefault="00BF3EA7" w:rsidP="00BF3EA7">
      <w:pPr>
        <w:shd w:val="clear" w:color="auto" w:fill="FFFFFF"/>
        <w:spacing w:after="92" w:line="276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BF3EA7">
        <w:rPr>
          <w:rFonts w:ascii="Arial" w:eastAsia="Times New Roman" w:hAnsi="Arial" w:cs="Arial"/>
          <w:spacing w:val="1"/>
          <w:sz w:val="18"/>
          <w:szCs w:val="18"/>
          <w:lang w:eastAsia="pt-BR"/>
        </w:rPr>
        <w:t xml:space="preserve">Uma </w:t>
      </w:r>
      <w:r w:rsidRPr="00AD73A5">
        <w:rPr>
          <w:rFonts w:ascii="Arial" w:eastAsia="Times New Roman" w:hAnsi="Arial" w:cs="Arial"/>
          <w:spacing w:val="1"/>
          <w:sz w:val="18"/>
          <w:szCs w:val="18"/>
          <w:highlight w:val="cyan"/>
          <w:lang w:eastAsia="pt-BR"/>
        </w:rPr>
        <w:t>ação judicial de apreensão de bens do devedor para garantir o pagamento de uma dívida que não foi quitada.</w:t>
      </w:r>
      <w:r w:rsidRPr="00BF3EA7">
        <w:rPr>
          <w:rFonts w:ascii="Arial" w:eastAsia="Times New Roman" w:hAnsi="Arial" w:cs="Arial"/>
          <w:spacing w:val="1"/>
          <w:sz w:val="18"/>
          <w:lang w:eastAsia="pt-BR"/>
        </w:rPr>
        <w:t> </w:t>
      </w:r>
    </w:p>
    <w:p w:rsidR="00BF3EA7" w:rsidRPr="00BF3EA7" w:rsidRDefault="00BF3EA7" w:rsidP="00BF3EA7">
      <w:pPr>
        <w:numPr>
          <w:ilvl w:val="0"/>
          <w:numId w:val="2"/>
        </w:numPr>
        <w:shd w:val="clear" w:color="auto" w:fill="FFFFFF"/>
        <w:spacing w:after="0" w:line="276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3EA7">
        <w:rPr>
          <w:rFonts w:ascii="Arial" w:eastAsia="Times New Roman" w:hAnsi="Arial" w:cs="Arial"/>
          <w:b/>
          <w:bCs/>
          <w:sz w:val="18"/>
          <w:lang w:eastAsia="pt-BR"/>
        </w:rPr>
        <w:t>Como funciona:</w:t>
      </w:r>
      <w:r w:rsidRPr="00BF3EA7">
        <w:rPr>
          <w:rFonts w:ascii="Arial" w:eastAsia="Times New Roman" w:hAnsi="Arial" w:cs="Arial"/>
          <w:sz w:val="18"/>
          <w:szCs w:val="18"/>
          <w:lang w:eastAsia="pt-BR"/>
        </w:rPr>
        <w:t> </w:t>
      </w:r>
    </w:p>
    <w:p w:rsidR="00BF3EA7" w:rsidRDefault="00BF3EA7" w:rsidP="00BF3EA7">
      <w:pPr>
        <w:shd w:val="clear" w:color="auto" w:fill="FFFFFF"/>
        <w:spacing w:after="0" w:line="276" w:lineRule="atLeast"/>
        <w:jc w:val="both"/>
        <w:rPr>
          <w:rFonts w:ascii="Arial" w:eastAsia="Times New Roman" w:hAnsi="Arial" w:cs="Arial"/>
          <w:spacing w:val="1"/>
          <w:sz w:val="18"/>
          <w:lang w:eastAsia="pt-BR"/>
        </w:rPr>
      </w:pPr>
      <w:r w:rsidRPr="00BF3EA7">
        <w:rPr>
          <w:rFonts w:ascii="Arial" w:eastAsia="Times New Roman" w:hAnsi="Arial" w:cs="Arial"/>
          <w:spacing w:val="1"/>
          <w:sz w:val="18"/>
          <w:szCs w:val="18"/>
          <w:lang w:eastAsia="pt-BR"/>
        </w:rPr>
        <w:t>O bem é "retido" judicialmente e pode ser leiloado. A penhora pode ocorrer sobre qualquer bem do devedor, seja ele um bem hipotecado, um bem móvel, ou mesmo um bem que não era usado como garantia.</w:t>
      </w:r>
      <w:r w:rsidRPr="00BF3EA7">
        <w:rPr>
          <w:rFonts w:ascii="Arial" w:eastAsia="Times New Roman" w:hAnsi="Arial" w:cs="Arial"/>
          <w:spacing w:val="1"/>
          <w:sz w:val="18"/>
          <w:lang w:eastAsia="pt-BR"/>
        </w:rPr>
        <w:t> </w:t>
      </w:r>
    </w:p>
    <w:p w:rsidR="00AD73A5" w:rsidRDefault="00AD73A5" w:rsidP="00BF3EA7">
      <w:pPr>
        <w:shd w:val="clear" w:color="auto" w:fill="FFFFFF"/>
        <w:spacing w:after="0" w:line="276" w:lineRule="atLeast"/>
        <w:jc w:val="both"/>
        <w:rPr>
          <w:rFonts w:ascii="Arial" w:eastAsia="Times New Roman" w:hAnsi="Arial" w:cs="Arial"/>
          <w:spacing w:val="1"/>
          <w:sz w:val="18"/>
          <w:lang w:eastAsia="pt-BR"/>
        </w:rPr>
      </w:pPr>
    </w:p>
    <w:p w:rsidR="00BF3EA7" w:rsidRPr="00BF3EA7" w:rsidRDefault="00BF3EA7" w:rsidP="00BF3EA7">
      <w:pPr>
        <w:shd w:val="clear" w:color="auto" w:fill="FFFFFF"/>
        <w:spacing w:after="0" w:line="276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BF3EA7" w:rsidRPr="00BF3EA7" w:rsidRDefault="00BF3EA7" w:rsidP="00BF3EA7">
      <w:pPr>
        <w:shd w:val="clear" w:color="auto" w:fill="FFFFFF"/>
        <w:spacing w:after="115" w:line="323" w:lineRule="atLeast"/>
        <w:jc w:val="both"/>
        <w:rPr>
          <w:rFonts w:ascii="Arial" w:eastAsia="Times New Roman" w:hAnsi="Arial" w:cs="Arial"/>
          <w:sz w:val="23"/>
          <w:szCs w:val="23"/>
          <w:lang w:eastAsia="pt-BR"/>
        </w:rPr>
      </w:pPr>
      <w:r w:rsidRPr="00AD73A5">
        <w:rPr>
          <w:rFonts w:ascii="Arial" w:eastAsia="Times New Roman" w:hAnsi="Arial" w:cs="Arial"/>
          <w:sz w:val="23"/>
          <w:szCs w:val="23"/>
          <w:highlight w:val="cyan"/>
          <w:lang w:eastAsia="pt-BR"/>
        </w:rPr>
        <w:t>Fiança</w:t>
      </w:r>
      <w:r w:rsidRPr="00BF3EA7">
        <w:rPr>
          <w:rFonts w:ascii="Arial" w:eastAsia="Times New Roman" w:hAnsi="Arial" w:cs="Arial"/>
          <w:sz w:val="23"/>
          <w:lang w:eastAsia="pt-BR"/>
        </w:rPr>
        <w:t> </w:t>
      </w:r>
    </w:p>
    <w:p w:rsidR="00BF3EA7" w:rsidRPr="00BF3EA7" w:rsidRDefault="00BF3EA7" w:rsidP="00BF3EA7">
      <w:pPr>
        <w:numPr>
          <w:ilvl w:val="0"/>
          <w:numId w:val="3"/>
        </w:numPr>
        <w:shd w:val="clear" w:color="auto" w:fill="FFFFFF"/>
        <w:spacing w:after="92" w:line="276" w:lineRule="atLeast"/>
        <w:ind w:left="0"/>
        <w:jc w:val="both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BF3EA7">
        <w:rPr>
          <w:rFonts w:ascii="Arial" w:eastAsia="Times New Roman" w:hAnsi="Arial" w:cs="Arial"/>
          <w:b/>
          <w:bCs/>
          <w:sz w:val="18"/>
          <w:lang w:eastAsia="pt-BR"/>
        </w:rPr>
        <w:t>O que é:</w:t>
      </w:r>
      <w:r w:rsidRPr="00BF3EA7">
        <w:rPr>
          <w:rFonts w:ascii="Arial" w:eastAsia="Times New Roman" w:hAnsi="Arial" w:cs="Arial"/>
          <w:sz w:val="18"/>
          <w:szCs w:val="18"/>
          <w:lang w:eastAsia="pt-BR"/>
        </w:rPr>
        <w:t> </w:t>
      </w:r>
    </w:p>
    <w:p w:rsidR="00BF3EA7" w:rsidRPr="00BF3EA7" w:rsidRDefault="00BF3EA7" w:rsidP="00BF3EA7">
      <w:pPr>
        <w:shd w:val="clear" w:color="auto" w:fill="FFFFFF"/>
        <w:spacing w:after="92" w:line="276" w:lineRule="atLeast"/>
        <w:jc w:val="both"/>
        <w:rPr>
          <w:rFonts w:ascii="Arial" w:eastAsia="Times New Roman" w:hAnsi="Arial" w:cs="Arial"/>
          <w:spacing w:val="1"/>
          <w:sz w:val="18"/>
          <w:szCs w:val="18"/>
          <w:lang w:eastAsia="pt-BR"/>
        </w:rPr>
      </w:pPr>
      <w:r w:rsidRPr="00BF3EA7">
        <w:rPr>
          <w:rFonts w:ascii="Arial" w:eastAsia="Times New Roman" w:hAnsi="Arial" w:cs="Arial"/>
          <w:spacing w:val="1"/>
          <w:sz w:val="18"/>
          <w:szCs w:val="18"/>
          <w:lang w:eastAsia="pt-BR"/>
        </w:rPr>
        <w:t xml:space="preserve">Uma </w:t>
      </w:r>
      <w:r w:rsidRPr="00AD73A5">
        <w:rPr>
          <w:rFonts w:ascii="Arial" w:eastAsia="Times New Roman" w:hAnsi="Arial" w:cs="Arial"/>
          <w:spacing w:val="1"/>
          <w:sz w:val="18"/>
          <w:szCs w:val="18"/>
          <w:highlight w:val="cyan"/>
          <w:lang w:eastAsia="pt-BR"/>
        </w:rPr>
        <w:t xml:space="preserve">garantia pessoal, em que uma pessoa (o fiador) se compromete a pagar a dívida </w:t>
      </w:r>
      <w:proofErr w:type="gramStart"/>
      <w:r w:rsidRPr="00AD73A5">
        <w:rPr>
          <w:rFonts w:ascii="Arial" w:eastAsia="Times New Roman" w:hAnsi="Arial" w:cs="Arial"/>
          <w:spacing w:val="1"/>
          <w:sz w:val="18"/>
          <w:szCs w:val="18"/>
          <w:highlight w:val="cyan"/>
          <w:lang w:eastAsia="pt-BR"/>
        </w:rPr>
        <w:t>caso</w:t>
      </w:r>
      <w:proofErr w:type="gramEnd"/>
      <w:r w:rsidRPr="00AD73A5">
        <w:rPr>
          <w:rFonts w:ascii="Arial" w:eastAsia="Times New Roman" w:hAnsi="Arial" w:cs="Arial"/>
          <w:spacing w:val="1"/>
          <w:sz w:val="18"/>
          <w:szCs w:val="18"/>
          <w:highlight w:val="cyan"/>
          <w:lang w:eastAsia="pt-BR"/>
        </w:rPr>
        <w:t xml:space="preserve"> o devedor (afiançado) não o fa</w:t>
      </w:r>
      <w:r w:rsidRPr="00BF3EA7">
        <w:rPr>
          <w:rFonts w:ascii="Arial" w:eastAsia="Times New Roman" w:hAnsi="Arial" w:cs="Arial"/>
          <w:spacing w:val="1"/>
          <w:sz w:val="18"/>
          <w:szCs w:val="18"/>
          <w:lang w:eastAsia="pt-BR"/>
        </w:rPr>
        <w:t>ça.</w:t>
      </w:r>
    </w:p>
    <w:p w:rsidR="00BF3EA7" w:rsidRPr="00BF3EA7" w:rsidRDefault="00BF3EA7" w:rsidP="00BF3EA7">
      <w:pPr>
        <w:numPr>
          <w:ilvl w:val="0"/>
          <w:numId w:val="3"/>
        </w:numPr>
        <w:shd w:val="clear" w:color="auto" w:fill="FFFFFF"/>
        <w:spacing w:after="0" w:line="276" w:lineRule="atLeast"/>
        <w:ind w:left="0"/>
        <w:jc w:val="both"/>
        <w:rPr>
          <w:rFonts w:ascii="Arial" w:eastAsia="Times New Roman" w:hAnsi="Arial" w:cs="Arial"/>
          <w:sz w:val="18"/>
          <w:szCs w:val="18"/>
          <w:lang w:eastAsia="pt-BR"/>
        </w:rPr>
      </w:pPr>
      <w:r w:rsidRPr="00BF3EA7">
        <w:rPr>
          <w:rFonts w:ascii="Arial" w:eastAsia="Times New Roman" w:hAnsi="Arial" w:cs="Arial"/>
          <w:b/>
          <w:bCs/>
          <w:sz w:val="18"/>
          <w:lang w:eastAsia="pt-BR"/>
        </w:rPr>
        <w:t>Como funciona:</w:t>
      </w:r>
      <w:r w:rsidRPr="00BF3EA7">
        <w:rPr>
          <w:rFonts w:ascii="Arial" w:eastAsia="Times New Roman" w:hAnsi="Arial" w:cs="Arial"/>
          <w:sz w:val="18"/>
          <w:szCs w:val="18"/>
          <w:lang w:eastAsia="pt-BR"/>
        </w:rPr>
        <w:t> </w:t>
      </w:r>
    </w:p>
    <w:p w:rsidR="00BF3EA7" w:rsidRDefault="00BF3EA7" w:rsidP="00BF3EA7">
      <w:pPr>
        <w:shd w:val="clear" w:color="auto" w:fill="FFFFFF"/>
        <w:spacing w:after="0" w:line="276" w:lineRule="atLeast"/>
        <w:jc w:val="both"/>
        <w:rPr>
          <w:rFonts w:ascii="Arial" w:eastAsia="Times New Roman" w:hAnsi="Arial" w:cs="Arial"/>
          <w:spacing w:val="1"/>
          <w:sz w:val="18"/>
          <w:szCs w:val="18"/>
          <w:lang w:eastAsia="pt-BR"/>
        </w:rPr>
      </w:pPr>
      <w:r w:rsidRPr="00BF3EA7">
        <w:rPr>
          <w:rFonts w:ascii="Arial" w:eastAsia="Times New Roman" w:hAnsi="Arial" w:cs="Arial"/>
          <w:spacing w:val="1"/>
          <w:sz w:val="18"/>
          <w:szCs w:val="18"/>
          <w:lang w:eastAsia="pt-BR"/>
        </w:rPr>
        <w:t>O fiador não oferece um bem específico, mas se torna responsável com todo o seu patrimônio pelo pagamento da dívida.</w:t>
      </w:r>
    </w:p>
    <w:p w:rsidR="00123E1A" w:rsidRPr="00BF3EA7" w:rsidRDefault="00123E1A" w:rsidP="00BF3EA7">
      <w:pPr>
        <w:shd w:val="clear" w:color="auto" w:fill="FFFFFF"/>
        <w:spacing w:after="0" w:line="276" w:lineRule="atLeast"/>
        <w:jc w:val="both"/>
        <w:rPr>
          <w:rFonts w:ascii="Arial" w:eastAsia="Times New Roman" w:hAnsi="Arial" w:cs="Arial"/>
          <w:spacing w:val="1"/>
          <w:sz w:val="18"/>
          <w:szCs w:val="18"/>
          <w:lang w:eastAsia="pt-BR"/>
        </w:rPr>
      </w:pPr>
    </w:p>
    <w:p w:rsidR="00BF3EA7" w:rsidRPr="00BF3EA7" w:rsidRDefault="00BF3EA7" w:rsidP="00BF3EA7">
      <w:pPr>
        <w:shd w:val="clear" w:color="auto" w:fill="FFFFFF"/>
        <w:spacing w:after="115" w:line="323" w:lineRule="atLeast"/>
        <w:jc w:val="both"/>
        <w:rPr>
          <w:rFonts w:ascii="Arial" w:eastAsia="Times New Roman" w:hAnsi="Arial" w:cs="Arial"/>
          <w:sz w:val="23"/>
          <w:szCs w:val="23"/>
          <w:lang w:eastAsia="pt-BR"/>
        </w:rPr>
      </w:pPr>
      <w:r w:rsidRPr="00BF3EA7">
        <w:rPr>
          <w:rFonts w:ascii="Arial" w:eastAsia="Times New Roman" w:hAnsi="Arial" w:cs="Arial"/>
          <w:sz w:val="23"/>
          <w:szCs w:val="23"/>
          <w:lang w:eastAsia="pt-BR"/>
        </w:rPr>
        <w:t>Relação entre eles</w:t>
      </w:r>
    </w:p>
    <w:p w:rsidR="00BF3EA7" w:rsidRPr="00BF3EA7" w:rsidRDefault="00BF3EA7" w:rsidP="00BF3EA7">
      <w:pPr>
        <w:numPr>
          <w:ilvl w:val="0"/>
          <w:numId w:val="4"/>
        </w:numPr>
        <w:shd w:val="clear" w:color="auto" w:fill="FFFFFF"/>
        <w:spacing w:after="92" w:line="276" w:lineRule="atLeast"/>
        <w:ind w:left="0"/>
        <w:jc w:val="both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r w:rsidRPr="00BF3EA7">
        <w:rPr>
          <w:rFonts w:ascii="Arial" w:eastAsia="Times New Roman" w:hAnsi="Arial" w:cs="Arial"/>
          <w:sz w:val="18"/>
          <w:szCs w:val="18"/>
          <w:lang w:eastAsia="pt-BR"/>
        </w:rPr>
        <w:t>Um imóvel pode ser hipotecado e, ainda assim, ser penhorado judicialmente. O credor hipotecário terá prioridade sobre o crédito, mas a penhora sobre o imóvel hipotecado é possível.</w:t>
      </w:r>
      <w:r w:rsidRPr="00BF3EA7">
        <w:rPr>
          <w:rFonts w:ascii="Arial" w:eastAsia="Times New Roman" w:hAnsi="Arial" w:cs="Arial"/>
          <w:sz w:val="18"/>
          <w:lang w:eastAsia="pt-BR"/>
        </w:rPr>
        <w:t> </w:t>
      </w:r>
    </w:p>
    <w:p w:rsidR="00BF3EA7" w:rsidRPr="00BF3EA7" w:rsidRDefault="00BF3EA7" w:rsidP="00BF3EA7">
      <w:pPr>
        <w:numPr>
          <w:ilvl w:val="0"/>
          <w:numId w:val="4"/>
        </w:numPr>
        <w:shd w:val="clear" w:color="auto" w:fill="FFFFFF"/>
        <w:spacing w:after="92" w:line="276" w:lineRule="atLeast"/>
        <w:ind w:left="0"/>
        <w:jc w:val="both"/>
        <w:rPr>
          <w:rFonts w:ascii="Arial" w:eastAsia="Times New Roman" w:hAnsi="Arial" w:cs="Arial"/>
          <w:sz w:val="18"/>
          <w:lang w:eastAsia="pt-BR"/>
        </w:rPr>
      </w:pPr>
      <w:r w:rsidRPr="00BF3EA7">
        <w:rPr>
          <w:rFonts w:ascii="Arial" w:eastAsia="Times New Roman" w:hAnsi="Arial" w:cs="Arial"/>
          <w:sz w:val="18"/>
          <w:szCs w:val="18"/>
          <w:lang w:eastAsia="pt-BR"/>
        </w:rPr>
        <w:t>Um imóvel pode ter uma hipoteca e, em caso de dívida, ser penhorado.</w:t>
      </w:r>
      <w:r w:rsidRPr="00BF3EA7">
        <w:rPr>
          <w:rFonts w:ascii="Arial" w:eastAsia="Times New Roman" w:hAnsi="Arial" w:cs="Arial"/>
          <w:sz w:val="18"/>
          <w:lang w:eastAsia="pt-BR"/>
        </w:rPr>
        <w:t> </w:t>
      </w:r>
    </w:p>
    <w:p w:rsidR="00BF3EA7" w:rsidRPr="00BF3EA7" w:rsidRDefault="00BF3EA7" w:rsidP="00BF3EA7">
      <w:pPr>
        <w:numPr>
          <w:ilvl w:val="0"/>
          <w:numId w:val="4"/>
        </w:numPr>
        <w:shd w:val="clear" w:color="auto" w:fill="FFFFFF"/>
        <w:spacing w:after="92" w:line="276" w:lineRule="atLeast"/>
        <w:ind w:left="0"/>
        <w:jc w:val="both"/>
        <w:rPr>
          <w:rFonts w:ascii="Arial" w:eastAsia="Times New Roman" w:hAnsi="Arial" w:cs="Arial"/>
          <w:sz w:val="18"/>
          <w:lang w:eastAsia="pt-BR"/>
        </w:rPr>
      </w:pPr>
      <w:r w:rsidRPr="00BF3EA7">
        <w:rPr>
          <w:rFonts w:ascii="Arial" w:eastAsia="Times New Roman" w:hAnsi="Arial" w:cs="Arial"/>
          <w:sz w:val="18"/>
          <w:szCs w:val="18"/>
          <w:lang w:eastAsia="pt-BR"/>
        </w:rPr>
        <w:t>Um bem móvel pode ser alvo de penhora.</w:t>
      </w:r>
      <w:r w:rsidRPr="00BF3EA7">
        <w:rPr>
          <w:rFonts w:ascii="Arial" w:eastAsia="Times New Roman" w:hAnsi="Arial" w:cs="Arial"/>
          <w:sz w:val="18"/>
          <w:lang w:eastAsia="pt-BR"/>
        </w:rPr>
        <w:t> </w:t>
      </w:r>
    </w:p>
    <w:p w:rsidR="00BF3EA7" w:rsidRPr="00BF3EA7" w:rsidRDefault="00BF3EA7" w:rsidP="00BF3EA7">
      <w:pPr>
        <w:numPr>
          <w:ilvl w:val="0"/>
          <w:numId w:val="4"/>
        </w:numPr>
        <w:shd w:val="clear" w:color="auto" w:fill="FFFFFF"/>
        <w:spacing w:after="0" w:line="276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3EA7">
        <w:rPr>
          <w:rFonts w:ascii="Arial" w:eastAsia="Times New Roman" w:hAnsi="Arial" w:cs="Arial"/>
          <w:sz w:val="18"/>
          <w:szCs w:val="18"/>
          <w:lang w:eastAsia="pt-BR"/>
        </w:rPr>
        <w:t>Se uma dívida não é paga, a penhora pode ser solicitada. A fiança é uma garantia pessoal, que pode vir à tona caso o devedor original não pague e o credor busque o fiador.</w:t>
      </w:r>
      <w:r w:rsidRPr="00BF3EA7">
        <w:rPr>
          <w:rFonts w:ascii="Arial" w:eastAsia="Times New Roman" w:hAnsi="Arial" w:cs="Arial"/>
          <w:sz w:val="18"/>
          <w:lang w:eastAsia="pt-BR"/>
        </w:rPr>
        <w:t> </w:t>
      </w:r>
    </w:p>
    <w:p w:rsidR="00BF3EA7" w:rsidRPr="00BF3EA7" w:rsidRDefault="00BF3EA7" w:rsidP="00BF3EA7">
      <w:pPr>
        <w:jc w:val="both"/>
      </w:pPr>
    </w:p>
    <w:sectPr w:rsidR="00BF3EA7" w:rsidRPr="00BF3EA7" w:rsidSect="006F0F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990773"/>
    <w:multiLevelType w:val="multilevel"/>
    <w:tmpl w:val="E910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BB09AB"/>
    <w:multiLevelType w:val="multilevel"/>
    <w:tmpl w:val="E53E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E517FE"/>
    <w:multiLevelType w:val="multilevel"/>
    <w:tmpl w:val="2AC8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7156A49"/>
    <w:multiLevelType w:val="multilevel"/>
    <w:tmpl w:val="96A4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BF3EA7"/>
    <w:rsid w:val="00123E1A"/>
    <w:rsid w:val="006F0F41"/>
    <w:rsid w:val="007A5A46"/>
    <w:rsid w:val="00AD73A5"/>
    <w:rsid w:val="00BF3E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0F4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v3um">
    <w:name w:val="uv3um"/>
    <w:basedOn w:val="Fontepargpadro"/>
    <w:rsid w:val="00BF3EA7"/>
  </w:style>
  <w:style w:type="character" w:styleId="Forte">
    <w:name w:val="Strong"/>
    <w:basedOn w:val="Fontepargpadro"/>
    <w:uiPriority w:val="22"/>
    <w:qFormat/>
    <w:rsid w:val="00BF3EA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59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170">
                  <w:marLeft w:val="0"/>
                  <w:marRight w:val="0"/>
                  <w:marTop w:val="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67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8679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2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8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9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1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638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940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0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8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15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53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72658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85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4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077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619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1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1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257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71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92155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8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55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8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72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07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45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976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1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4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17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5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6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17217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3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312</Words>
  <Characters>1691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3</cp:revision>
  <dcterms:created xsi:type="dcterms:W3CDTF">2025-09-12T11:56:00Z</dcterms:created>
  <dcterms:modified xsi:type="dcterms:W3CDTF">2025-09-12T12:17:00Z</dcterms:modified>
</cp:coreProperties>
</file>