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Rule="auto"/>
        <w:jc w:val="both"/>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NOMEAÇÃO DE INVENTARIANTE</w:t>
      </w:r>
    </w:p>
    <w:p w:rsidR="00000000" w:rsidDel="00000000" w:rsidP="00000000" w:rsidRDefault="00000000" w:rsidRPr="00000000" w14:paraId="00000002">
      <w:pPr>
        <w:shd w:fill="ffffff" w:val="clear"/>
        <w:spacing w:after="0" w:before="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spacing w:after="0"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Para a nomeação de inventariante são necessários os seguintes documentos: </w:t>
      </w:r>
    </w:p>
    <w:p w:rsidR="00000000" w:rsidDel="00000000" w:rsidP="00000000" w:rsidRDefault="00000000" w:rsidRPr="00000000" w14:paraId="00000004">
      <w:pPr>
        <w:spacing w:after="0"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spacing w:after="0"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Documento pessoal das partes, certidões de estado civil de todos os herdeiros certidão de casamento de quem for casado, certidão de casamento com as devidas averbações de quem for divorciado, viúvo ou separado e certidão de nascimento de quem for solteiro.</w:t>
      </w:r>
    </w:p>
    <w:p w:rsidR="00000000" w:rsidDel="00000000" w:rsidP="00000000" w:rsidRDefault="00000000" w:rsidRPr="00000000" w14:paraId="00000006">
      <w:pPr>
        <w:spacing w:after="0"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spacing w:after="0"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Conviventes em união estável, documento pessoal do companheiro (a), certidão de estado civil do companheiro (a) e declaratória de união estável.</w:t>
      </w:r>
    </w:p>
    <w:p w:rsidR="00000000" w:rsidDel="00000000" w:rsidP="00000000" w:rsidRDefault="00000000" w:rsidRPr="00000000" w14:paraId="00000008">
      <w:pPr>
        <w:spacing w:after="0"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spacing w:after="0"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Certidão de óbito do de cujus, certidão de estado civil do de cujus e documento pessoal do de cujus;</w:t>
      </w:r>
    </w:p>
    <w:p w:rsidR="00000000" w:rsidDel="00000000" w:rsidP="00000000" w:rsidRDefault="00000000" w:rsidRPr="00000000" w14:paraId="0000000A">
      <w:pPr>
        <w:spacing w:after="0"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spacing w:after="0" w:before="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É necessário advogado </w:t>
      </w:r>
    </w:p>
    <w:p w:rsidR="00000000" w:rsidDel="00000000" w:rsidP="00000000" w:rsidRDefault="00000000" w:rsidRPr="00000000" w14:paraId="0000000C">
      <w:pPr>
        <w:spacing w:after="0" w:before="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shd w:fill="ffffff" w:val="clear"/>
        <w:spacing w:after="0"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 valor é de R$678,88</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color w:val="000000"/>
          <w:rtl w:val="0"/>
        </w:rPr>
        <w:t xml:space="preserve">do Divórcio, R$ </w:t>
      </w:r>
      <w:r w:rsidDel="00000000" w:rsidR="00000000" w:rsidRPr="00000000">
        <w:rPr>
          <w:rFonts w:ascii="Times New Roman" w:cs="Times New Roman" w:eastAsia="Times New Roman" w:hAnsi="Times New Roman"/>
          <w:color w:val="000000"/>
          <w:highlight w:val="white"/>
          <w:rtl w:val="0"/>
        </w:rPr>
        <w:t xml:space="preserve">13,91 </w:t>
      </w:r>
      <w:r w:rsidDel="00000000" w:rsidR="00000000" w:rsidRPr="00000000">
        <w:rPr>
          <w:rFonts w:ascii="Times New Roman" w:cs="Times New Roman" w:eastAsia="Times New Roman" w:hAnsi="Times New Roman"/>
          <w:color w:val="000000"/>
          <w:rtl w:val="0"/>
        </w:rPr>
        <w:t xml:space="preserve">por página de arquivamento e R$ 11,61 de uma autenticação (simples) ou 13,46 de uma autenticação eletrônica. </w:t>
      </w:r>
    </w:p>
    <w:p w:rsidR="00000000" w:rsidDel="00000000" w:rsidP="00000000" w:rsidRDefault="00000000" w:rsidRPr="00000000" w14:paraId="0000000E">
      <w:pPr>
        <w:shd w:fill="ffffff" w:val="clear"/>
        <w:spacing w:after="0" w:before="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F">
      <w:pPr>
        <w:shd w:fill="ffffff" w:val="clear"/>
        <w:spacing w:after="0" w:before="0" w:lineRule="auto"/>
        <w:jc w:val="both"/>
        <w:rPr>
          <w:rFonts w:ascii="Arial" w:cs="Arial" w:eastAsia="Arial" w:hAnsi="Arial"/>
          <w:b w:val="1"/>
          <w:bCs w:val="1"/>
          <w:color w:val="000000"/>
        </w:rPr>
      </w:pPr>
      <w:r w:rsidDel="00000000" w:rsidR="00000000" w:rsidRPr="00000000">
        <w:rPr>
          <w:rtl w:val="0"/>
        </w:rPr>
      </w:r>
    </w:p>
    <w:sectPr>
      <w:pgSz w:h="16838" w:w="11906"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