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3210" w:rsidRPr="006F0EE2" w:rsidRDefault="006F0EE2" w:rsidP="001127FE">
      <w:pPr>
        <w:jc w:val="both"/>
        <w:rPr>
          <w:b/>
          <w:u w:val="single"/>
        </w:rPr>
      </w:pPr>
      <w:r w:rsidRPr="006F0EE2">
        <w:rPr>
          <w:b/>
          <w:u w:val="single"/>
        </w:rPr>
        <w:t>VALIDAÇÃO DE TESTAMENTO EM JUÍZO</w:t>
      </w:r>
    </w:p>
    <w:p w:rsidR="006F0EE2" w:rsidRPr="006F0EE2" w:rsidRDefault="006F0EE2" w:rsidP="001127FE">
      <w:pPr>
        <w:shd w:val="clear" w:color="auto" w:fill="FFFFFF"/>
        <w:spacing w:line="301" w:lineRule="atLeast"/>
        <w:jc w:val="both"/>
        <w:rPr>
          <w:rFonts w:ascii="Arial" w:eastAsia="Times New Roman" w:hAnsi="Arial" w:cs="Arial"/>
          <w:color w:val="0A0A0A"/>
          <w:sz w:val="20"/>
          <w:szCs w:val="20"/>
          <w:lang w:eastAsia="pt-BR"/>
        </w:rPr>
      </w:pPr>
      <w:r w:rsidRPr="006F0EE2">
        <w:rPr>
          <w:rFonts w:ascii="Arial" w:eastAsia="Times New Roman" w:hAnsi="Arial" w:cs="Arial"/>
          <w:color w:val="0A0A0A"/>
          <w:sz w:val="20"/>
          <w:szCs w:val="20"/>
          <w:lang w:eastAsia="pt-BR"/>
        </w:rPr>
        <w:t>A validação prévia do testamento em juízo, no Brasil, ocorre por meio de uma </w:t>
      </w:r>
      <w:r w:rsidRPr="006F0EE2">
        <w:rPr>
          <w:rFonts w:ascii="Arial" w:eastAsia="Times New Roman" w:hAnsi="Arial" w:cs="Arial"/>
          <w:b/>
          <w:bCs/>
          <w:color w:val="0A0A0A"/>
          <w:sz w:val="20"/>
          <w:lang w:eastAsia="pt-BR"/>
        </w:rPr>
        <w:t>ação judicial de abertura, registro e cumprimento de testamento</w:t>
      </w:r>
      <w:r w:rsidRPr="006F0EE2">
        <w:rPr>
          <w:rFonts w:ascii="Arial" w:eastAsia="Times New Roman" w:hAnsi="Arial" w:cs="Arial"/>
          <w:color w:val="0A0A0A"/>
          <w:sz w:val="20"/>
          <w:szCs w:val="20"/>
          <w:lang w:eastAsia="pt-BR"/>
        </w:rPr>
        <w:t>. Esse procedimento é obrigatório e tem como foco exclusivo a verificação dos aspectos formais do documento, sem analisar o mérito das disposições (conteúdo).</w:t>
      </w:r>
      <w:r w:rsidRPr="006F0EE2">
        <w:rPr>
          <w:rFonts w:ascii="Arial" w:eastAsia="Times New Roman" w:hAnsi="Arial" w:cs="Arial"/>
          <w:color w:val="0A0A0A"/>
          <w:sz w:val="20"/>
          <w:lang w:eastAsia="pt-BR"/>
        </w:rPr>
        <w:t> </w:t>
      </w:r>
    </w:p>
    <w:p w:rsidR="006F0EE2" w:rsidRPr="006F0EE2" w:rsidRDefault="006F0EE2" w:rsidP="001127FE">
      <w:pPr>
        <w:shd w:val="clear" w:color="auto" w:fill="FFFFFF"/>
        <w:spacing w:after="125" w:line="351" w:lineRule="atLeast"/>
        <w:jc w:val="both"/>
        <w:rPr>
          <w:rFonts w:ascii="Arial" w:eastAsia="Times New Roman" w:hAnsi="Arial" w:cs="Arial"/>
          <w:b/>
          <w:bCs/>
          <w:color w:val="001D35"/>
          <w:sz w:val="25"/>
          <w:szCs w:val="25"/>
          <w:lang w:eastAsia="pt-BR"/>
        </w:rPr>
      </w:pPr>
      <w:r w:rsidRPr="006F0EE2">
        <w:rPr>
          <w:rFonts w:ascii="Arial" w:eastAsia="Times New Roman" w:hAnsi="Arial" w:cs="Arial"/>
          <w:b/>
          <w:bCs/>
          <w:color w:val="001D35"/>
          <w:sz w:val="25"/>
          <w:szCs w:val="25"/>
          <w:lang w:eastAsia="pt-BR"/>
        </w:rPr>
        <w:t>Procedimento Judicial de Validação</w:t>
      </w:r>
    </w:p>
    <w:p w:rsidR="006F0EE2" w:rsidRPr="006F0EE2" w:rsidRDefault="006F0EE2" w:rsidP="001127FE">
      <w:pPr>
        <w:shd w:val="clear" w:color="auto" w:fill="FFFFFF"/>
        <w:spacing w:line="301" w:lineRule="atLeast"/>
        <w:jc w:val="both"/>
        <w:rPr>
          <w:rFonts w:ascii="Arial" w:eastAsia="Times New Roman" w:hAnsi="Arial" w:cs="Arial"/>
          <w:color w:val="0A0A0A"/>
          <w:sz w:val="20"/>
          <w:szCs w:val="20"/>
          <w:lang w:eastAsia="pt-BR"/>
        </w:rPr>
      </w:pPr>
      <w:r w:rsidRPr="006F0EE2">
        <w:rPr>
          <w:rFonts w:ascii="Arial" w:eastAsia="Times New Roman" w:hAnsi="Arial" w:cs="Arial"/>
          <w:color w:val="0A0A0A"/>
          <w:sz w:val="20"/>
          <w:szCs w:val="20"/>
          <w:lang w:eastAsia="pt-BR"/>
        </w:rPr>
        <w:t>O processo de validação segue as seguintes etapas:</w:t>
      </w:r>
    </w:p>
    <w:p w:rsidR="006F0EE2" w:rsidRPr="006F0EE2" w:rsidRDefault="006F0EE2" w:rsidP="001127FE">
      <w:pPr>
        <w:numPr>
          <w:ilvl w:val="0"/>
          <w:numId w:val="1"/>
        </w:numPr>
        <w:shd w:val="clear" w:color="auto" w:fill="FFFFFF"/>
        <w:spacing w:after="150" w:line="301" w:lineRule="atLeast"/>
        <w:ind w:left="0"/>
        <w:jc w:val="both"/>
        <w:rPr>
          <w:rFonts w:ascii="Arial" w:eastAsia="Times New Roman" w:hAnsi="Arial" w:cs="Arial"/>
          <w:color w:val="0A0A0A"/>
          <w:sz w:val="20"/>
          <w:szCs w:val="20"/>
          <w:lang w:eastAsia="pt-BR"/>
        </w:rPr>
      </w:pPr>
      <w:r w:rsidRPr="006F0EE2">
        <w:rPr>
          <w:rFonts w:ascii="Arial" w:eastAsia="Times New Roman" w:hAnsi="Arial" w:cs="Arial"/>
          <w:b/>
          <w:bCs/>
          <w:color w:val="0A0A0A"/>
          <w:sz w:val="20"/>
          <w:lang w:eastAsia="pt-BR"/>
        </w:rPr>
        <w:t>Requerimento Judicial:</w:t>
      </w:r>
      <w:r w:rsidRPr="006F0EE2">
        <w:rPr>
          <w:rFonts w:ascii="Arial" w:eastAsia="Times New Roman" w:hAnsi="Arial" w:cs="Arial"/>
          <w:color w:val="0A0A0A"/>
          <w:sz w:val="20"/>
          <w:lang w:eastAsia="pt-BR"/>
        </w:rPr>
        <w:t> Após o falecimento do testador, qualquer interessado (como o testamenteiro ou herdeiros) deve ingressar com a ação no foro do último domicílio do falecido, geralmente com o auxílio de um advogado.</w:t>
      </w:r>
    </w:p>
    <w:p w:rsidR="006F0EE2" w:rsidRPr="006F0EE2" w:rsidRDefault="006F0EE2" w:rsidP="001127FE">
      <w:pPr>
        <w:numPr>
          <w:ilvl w:val="0"/>
          <w:numId w:val="1"/>
        </w:numPr>
        <w:shd w:val="clear" w:color="auto" w:fill="FFFFFF"/>
        <w:spacing w:after="150" w:line="301" w:lineRule="atLeast"/>
        <w:ind w:left="0"/>
        <w:jc w:val="both"/>
        <w:rPr>
          <w:rFonts w:ascii="Arial" w:eastAsia="Times New Roman" w:hAnsi="Arial" w:cs="Arial"/>
          <w:color w:val="0A0A0A"/>
          <w:sz w:val="20"/>
          <w:szCs w:val="20"/>
          <w:lang w:eastAsia="pt-BR"/>
        </w:rPr>
      </w:pPr>
      <w:r w:rsidRPr="006F0EE2">
        <w:rPr>
          <w:rFonts w:ascii="Arial" w:eastAsia="Times New Roman" w:hAnsi="Arial" w:cs="Arial"/>
          <w:b/>
          <w:bCs/>
          <w:color w:val="0A0A0A"/>
          <w:sz w:val="20"/>
          <w:lang w:eastAsia="pt-BR"/>
        </w:rPr>
        <w:t>Juntada do Testamento e Certidão de Óbito:</w:t>
      </w:r>
      <w:r w:rsidRPr="006F0EE2">
        <w:rPr>
          <w:rFonts w:ascii="Arial" w:eastAsia="Times New Roman" w:hAnsi="Arial" w:cs="Arial"/>
          <w:color w:val="0A0A0A"/>
          <w:sz w:val="20"/>
          <w:lang w:eastAsia="pt-BR"/>
        </w:rPr>
        <w:t> O requerente deve apresentar o testamento original (ou a certidão, no caso de testamento público) e a certidão de óbito do testador. Para testamentos públicos e cerrados, é recomendável obter uma certidão de inexistência de outros testamentos junto ao </w:t>
      </w:r>
      <w:hyperlink r:id="rId5" w:tgtFrame="_blank" w:history="1">
        <w:r w:rsidRPr="006F0EE2">
          <w:rPr>
            <w:rFonts w:ascii="Arial" w:eastAsia="Times New Roman" w:hAnsi="Arial" w:cs="Arial"/>
            <w:color w:val="1A0DAB"/>
            <w:sz w:val="20"/>
            <w:u w:val="single"/>
            <w:lang w:eastAsia="pt-BR"/>
          </w:rPr>
          <w:t>CENSEC</w:t>
        </w:r>
      </w:hyperlink>
      <w:r w:rsidRPr="006F0EE2">
        <w:rPr>
          <w:rFonts w:ascii="Arial" w:eastAsia="Times New Roman" w:hAnsi="Arial" w:cs="Arial"/>
          <w:color w:val="0A0A0A"/>
          <w:sz w:val="20"/>
          <w:lang w:eastAsia="pt-BR"/>
        </w:rPr>
        <w:t> (Central Notarial de Serviços Eletrônicos Compartilhados).</w:t>
      </w:r>
    </w:p>
    <w:p w:rsidR="006F0EE2" w:rsidRPr="006F0EE2" w:rsidRDefault="006F0EE2" w:rsidP="001127FE">
      <w:pPr>
        <w:numPr>
          <w:ilvl w:val="0"/>
          <w:numId w:val="1"/>
        </w:numPr>
        <w:shd w:val="clear" w:color="auto" w:fill="FFFFFF"/>
        <w:spacing w:after="150" w:line="301" w:lineRule="atLeast"/>
        <w:ind w:left="0"/>
        <w:jc w:val="both"/>
        <w:rPr>
          <w:rFonts w:ascii="Arial" w:eastAsia="Times New Roman" w:hAnsi="Arial" w:cs="Arial"/>
          <w:color w:val="0A0A0A"/>
          <w:sz w:val="20"/>
          <w:szCs w:val="20"/>
          <w:lang w:eastAsia="pt-BR"/>
        </w:rPr>
      </w:pPr>
      <w:r w:rsidRPr="006F0EE2">
        <w:rPr>
          <w:rFonts w:ascii="Arial" w:eastAsia="Times New Roman" w:hAnsi="Arial" w:cs="Arial"/>
          <w:b/>
          <w:bCs/>
          <w:color w:val="0A0A0A"/>
          <w:sz w:val="20"/>
          <w:lang w:eastAsia="pt-BR"/>
        </w:rPr>
        <w:t>Análise Formal pelo Juiz:</w:t>
      </w:r>
      <w:r w:rsidRPr="006F0EE2">
        <w:rPr>
          <w:rFonts w:ascii="Arial" w:eastAsia="Times New Roman" w:hAnsi="Arial" w:cs="Arial"/>
          <w:color w:val="0A0A0A"/>
          <w:sz w:val="20"/>
          <w:lang w:eastAsia="pt-BR"/>
        </w:rPr>
        <w:t> O juiz realiza um exame superficial, ou "externo", para verificar se o documento cumpre todos os requisitos legais exigidos para a modalidade específica de testamento (público, particular ou cerrado), como o número de testemunhas e as assinaturas.</w:t>
      </w:r>
    </w:p>
    <w:p w:rsidR="006F0EE2" w:rsidRPr="006F0EE2" w:rsidRDefault="006F0EE2" w:rsidP="001127FE">
      <w:pPr>
        <w:numPr>
          <w:ilvl w:val="0"/>
          <w:numId w:val="1"/>
        </w:numPr>
        <w:shd w:val="clear" w:color="auto" w:fill="FFFFFF"/>
        <w:spacing w:after="150" w:line="301" w:lineRule="atLeast"/>
        <w:ind w:left="0"/>
        <w:jc w:val="both"/>
        <w:rPr>
          <w:rFonts w:ascii="Arial" w:eastAsia="Times New Roman" w:hAnsi="Arial" w:cs="Arial"/>
          <w:color w:val="0A0A0A"/>
          <w:sz w:val="20"/>
          <w:szCs w:val="20"/>
          <w:lang w:eastAsia="pt-BR"/>
        </w:rPr>
      </w:pPr>
      <w:r w:rsidRPr="006F0EE2">
        <w:rPr>
          <w:rFonts w:ascii="Arial" w:eastAsia="Times New Roman" w:hAnsi="Arial" w:cs="Arial"/>
          <w:b/>
          <w:bCs/>
          <w:color w:val="0A0A0A"/>
          <w:sz w:val="20"/>
          <w:lang w:eastAsia="pt-BR"/>
        </w:rPr>
        <w:t>Intimação e Oitiva de Testemunhas (específico para testamento particular):</w:t>
      </w:r>
      <w:r w:rsidRPr="006F0EE2">
        <w:rPr>
          <w:rFonts w:ascii="Arial" w:eastAsia="Times New Roman" w:hAnsi="Arial" w:cs="Arial"/>
          <w:color w:val="0A0A0A"/>
          <w:sz w:val="20"/>
          <w:lang w:eastAsia="pt-BR"/>
        </w:rPr>
        <w:t xml:space="preserve"> No caso de testamento particular, as testemunhas (geralmente três) são intimadas a comparecer em juízo para confirmar a autenticidade de suas assinaturas e a do testador, bem como o fato da disposição ou a leitura do documento em sua presença. O Superior Tribunal de Justiça (STJ) já </w:t>
      </w:r>
      <w:proofErr w:type="gramStart"/>
      <w:r w:rsidRPr="006F0EE2">
        <w:rPr>
          <w:rFonts w:ascii="Arial" w:eastAsia="Times New Roman" w:hAnsi="Arial" w:cs="Arial"/>
          <w:color w:val="0A0A0A"/>
          <w:sz w:val="20"/>
          <w:lang w:eastAsia="pt-BR"/>
        </w:rPr>
        <w:t>flexibilizou</w:t>
      </w:r>
      <w:proofErr w:type="gramEnd"/>
      <w:r w:rsidRPr="006F0EE2">
        <w:rPr>
          <w:rFonts w:ascii="Arial" w:eastAsia="Times New Roman" w:hAnsi="Arial" w:cs="Arial"/>
          <w:color w:val="0A0A0A"/>
          <w:sz w:val="20"/>
          <w:lang w:eastAsia="pt-BR"/>
        </w:rPr>
        <w:t xml:space="preserve"> essa regra, permitindo a validação mesmo se nem todas as testemunhas forem localizadas, desde que haja provas suficientes da autenticidade.</w:t>
      </w:r>
    </w:p>
    <w:p w:rsidR="006F0EE2" w:rsidRPr="006F0EE2" w:rsidRDefault="006F0EE2" w:rsidP="001127FE">
      <w:pPr>
        <w:numPr>
          <w:ilvl w:val="0"/>
          <w:numId w:val="1"/>
        </w:numPr>
        <w:shd w:val="clear" w:color="auto" w:fill="FFFFFF"/>
        <w:spacing w:after="150" w:line="301" w:lineRule="atLeast"/>
        <w:ind w:left="0"/>
        <w:jc w:val="both"/>
        <w:rPr>
          <w:rFonts w:ascii="Arial" w:eastAsia="Times New Roman" w:hAnsi="Arial" w:cs="Arial"/>
          <w:color w:val="0A0A0A"/>
          <w:sz w:val="20"/>
          <w:szCs w:val="20"/>
          <w:lang w:eastAsia="pt-BR"/>
        </w:rPr>
      </w:pPr>
      <w:r w:rsidRPr="006F0EE2">
        <w:rPr>
          <w:rFonts w:ascii="Arial" w:eastAsia="Times New Roman" w:hAnsi="Arial" w:cs="Arial"/>
          <w:b/>
          <w:bCs/>
          <w:color w:val="0A0A0A"/>
          <w:sz w:val="20"/>
          <w:lang w:eastAsia="pt-BR"/>
        </w:rPr>
        <w:t>Manifestação do Ministério Público e Herdeiros:</w:t>
      </w:r>
      <w:r w:rsidRPr="006F0EE2">
        <w:rPr>
          <w:rFonts w:ascii="Arial" w:eastAsia="Times New Roman" w:hAnsi="Arial" w:cs="Arial"/>
          <w:color w:val="0A0A0A"/>
          <w:sz w:val="20"/>
          <w:lang w:eastAsia="pt-BR"/>
        </w:rPr>
        <w:t xml:space="preserve"> Os herdeiros e o Ministério Público são </w:t>
      </w:r>
      <w:proofErr w:type="gramStart"/>
      <w:r w:rsidRPr="006F0EE2">
        <w:rPr>
          <w:rFonts w:ascii="Arial" w:eastAsia="Times New Roman" w:hAnsi="Arial" w:cs="Arial"/>
          <w:color w:val="0A0A0A"/>
          <w:sz w:val="20"/>
          <w:lang w:eastAsia="pt-BR"/>
        </w:rPr>
        <w:t>citados/intimados</w:t>
      </w:r>
      <w:proofErr w:type="gramEnd"/>
      <w:r w:rsidRPr="006F0EE2">
        <w:rPr>
          <w:rFonts w:ascii="Arial" w:eastAsia="Times New Roman" w:hAnsi="Arial" w:cs="Arial"/>
          <w:color w:val="0A0A0A"/>
          <w:sz w:val="20"/>
          <w:lang w:eastAsia="pt-BR"/>
        </w:rPr>
        <w:t xml:space="preserve"> para se manifestarem sobre o testamento.</w:t>
      </w:r>
    </w:p>
    <w:p w:rsidR="006F0EE2" w:rsidRPr="006F0EE2" w:rsidRDefault="006F0EE2" w:rsidP="001127FE">
      <w:pPr>
        <w:numPr>
          <w:ilvl w:val="0"/>
          <w:numId w:val="1"/>
        </w:numPr>
        <w:shd w:val="clear" w:color="auto" w:fill="FFFFFF"/>
        <w:spacing w:after="150" w:line="301" w:lineRule="atLeast"/>
        <w:ind w:left="0"/>
        <w:jc w:val="both"/>
        <w:rPr>
          <w:rFonts w:ascii="Arial" w:eastAsia="Times New Roman" w:hAnsi="Arial" w:cs="Arial"/>
          <w:color w:val="0A0A0A"/>
          <w:sz w:val="20"/>
          <w:szCs w:val="20"/>
          <w:lang w:eastAsia="pt-BR"/>
        </w:rPr>
      </w:pPr>
      <w:r w:rsidRPr="006F0EE2">
        <w:rPr>
          <w:rFonts w:ascii="Arial" w:eastAsia="Times New Roman" w:hAnsi="Arial" w:cs="Arial"/>
          <w:b/>
          <w:bCs/>
          <w:color w:val="0A0A0A"/>
          <w:sz w:val="20"/>
          <w:lang w:eastAsia="pt-BR"/>
        </w:rPr>
        <w:t>Sentença de Validação:</w:t>
      </w:r>
      <w:r w:rsidRPr="006F0EE2">
        <w:rPr>
          <w:rFonts w:ascii="Arial" w:eastAsia="Times New Roman" w:hAnsi="Arial" w:cs="Arial"/>
          <w:color w:val="0A0A0A"/>
          <w:sz w:val="20"/>
          <w:lang w:eastAsia="pt-BR"/>
        </w:rPr>
        <w:t> Se o juiz considerar que os requisitos formais foram cumpridos, ele profere uma sentença declarando a validade formal do testamento e ordenando seu registro e cumprimento. O processo é então arquivado. </w:t>
      </w:r>
    </w:p>
    <w:p w:rsidR="006F0EE2" w:rsidRPr="006F0EE2" w:rsidRDefault="006F0EE2" w:rsidP="001127FE">
      <w:pPr>
        <w:shd w:val="clear" w:color="auto" w:fill="FFFFFF"/>
        <w:spacing w:after="125" w:line="351" w:lineRule="atLeast"/>
        <w:jc w:val="both"/>
        <w:rPr>
          <w:rFonts w:ascii="Arial" w:eastAsia="Times New Roman" w:hAnsi="Arial" w:cs="Arial"/>
          <w:b/>
          <w:bCs/>
          <w:color w:val="001D35"/>
          <w:sz w:val="25"/>
          <w:szCs w:val="25"/>
          <w:lang w:eastAsia="pt-BR"/>
        </w:rPr>
      </w:pPr>
      <w:proofErr w:type="gramStart"/>
      <w:r w:rsidRPr="006F0EE2">
        <w:rPr>
          <w:rFonts w:ascii="Arial" w:eastAsia="Times New Roman" w:hAnsi="Arial" w:cs="Arial"/>
          <w:b/>
          <w:bCs/>
          <w:color w:val="001D35"/>
          <w:sz w:val="25"/>
          <w:szCs w:val="25"/>
          <w:lang w:eastAsia="pt-BR"/>
        </w:rPr>
        <w:t>Próximos Passos</w:t>
      </w:r>
      <w:proofErr w:type="gramEnd"/>
    </w:p>
    <w:p w:rsidR="006F0EE2" w:rsidRPr="006F0EE2" w:rsidRDefault="006F0EE2" w:rsidP="001127FE">
      <w:pPr>
        <w:shd w:val="clear" w:color="auto" w:fill="FFFFFF"/>
        <w:spacing w:line="301" w:lineRule="atLeast"/>
        <w:jc w:val="both"/>
        <w:rPr>
          <w:rFonts w:ascii="Arial" w:eastAsia="Times New Roman" w:hAnsi="Arial" w:cs="Arial"/>
          <w:color w:val="0A0A0A"/>
          <w:sz w:val="20"/>
          <w:szCs w:val="20"/>
          <w:lang w:eastAsia="pt-BR"/>
        </w:rPr>
      </w:pPr>
      <w:r w:rsidRPr="006F0EE2">
        <w:rPr>
          <w:rFonts w:ascii="Arial" w:eastAsia="Times New Roman" w:hAnsi="Arial" w:cs="Arial"/>
          <w:color w:val="0A0A0A"/>
          <w:sz w:val="20"/>
          <w:szCs w:val="20"/>
          <w:lang w:eastAsia="pt-BR"/>
        </w:rPr>
        <w:t>A </w:t>
      </w:r>
      <w:r w:rsidRPr="006F0EE2">
        <w:rPr>
          <w:rFonts w:ascii="Arial" w:eastAsia="Times New Roman" w:hAnsi="Arial" w:cs="Arial"/>
          <w:b/>
          <w:bCs/>
          <w:color w:val="0A0A0A"/>
          <w:sz w:val="20"/>
          <w:lang w:eastAsia="pt-BR"/>
        </w:rPr>
        <w:t>sentença de validação é um documento indispensável</w:t>
      </w:r>
      <w:r w:rsidRPr="006F0EE2">
        <w:rPr>
          <w:rFonts w:ascii="Arial" w:eastAsia="Times New Roman" w:hAnsi="Arial" w:cs="Arial"/>
          <w:color w:val="0A0A0A"/>
          <w:sz w:val="20"/>
          <w:szCs w:val="20"/>
          <w:lang w:eastAsia="pt-BR"/>
        </w:rPr>
        <w:t> para que se possa prosseguir com o inventário (judicial ou extrajudicial) e a partilha dos bens. A discussão sobre o conteúdo do testamento, como a violação da legítima (parte da herança que por lei deve ir para herdeiros necessários), deve ser feita em uma ação judicial autônoma e não no processo de validação formal.</w:t>
      </w:r>
      <w:r w:rsidRPr="006F0EE2">
        <w:rPr>
          <w:rFonts w:ascii="Arial" w:eastAsia="Times New Roman" w:hAnsi="Arial" w:cs="Arial"/>
          <w:color w:val="0A0A0A"/>
          <w:sz w:val="20"/>
          <w:lang w:eastAsia="pt-BR"/>
        </w:rPr>
        <w:t> </w:t>
      </w:r>
    </w:p>
    <w:p w:rsidR="006F0EE2" w:rsidRDefault="006F0EE2" w:rsidP="001127FE">
      <w:pPr>
        <w:jc w:val="both"/>
      </w:pPr>
    </w:p>
    <w:sectPr w:rsidR="006F0EE2" w:rsidSect="006932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9C5AFD"/>
    <w:multiLevelType w:val="multilevel"/>
    <w:tmpl w:val="DCB48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6F0EE2"/>
    <w:rsid w:val="001127FE"/>
    <w:rsid w:val="00693210"/>
    <w:rsid w:val="006F0E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321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6F0EE2"/>
    <w:rPr>
      <w:b/>
      <w:bCs/>
    </w:rPr>
  </w:style>
  <w:style w:type="character" w:customStyle="1" w:styleId="vkekvd">
    <w:name w:val="vkekvd"/>
    <w:basedOn w:val="Fontepargpadro"/>
    <w:rsid w:val="006F0EE2"/>
  </w:style>
  <w:style w:type="character" w:customStyle="1" w:styleId="t286pc">
    <w:name w:val="t286pc"/>
    <w:basedOn w:val="Fontepargpadro"/>
    <w:rsid w:val="006F0EE2"/>
  </w:style>
  <w:style w:type="character" w:styleId="Hyperlink">
    <w:name w:val="Hyperlink"/>
    <w:basedOn w:val="Fontepargpadro"/>
    <w:uiPriority w:val="99"/>
    <w:semiHidden/>
    <w:unhideWhenUsed/>
    <w:rsid w:val="006F0EE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94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18200">
          <w:marLeft w:val="0"/>
          <w:marRight w:val="0"/>
          <w:marTop w:val="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4077">
          <w:marLeft w:val="0"/>
          <w:marRight w:val="0"/>
          <w:marTop w:val="250"/>
          <w:marBottom w:val="1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10000">
          <w:marLeft w:val="0"/>
          <w:marRight w:val="0"/>
          <w:marTop w:val="125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98087">
          <w:marLeft w:val="0"/>
          <w:marRight w:val="0"/>
          <w:marTop w:val="250"/>
          <w:marBottom w:val="1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49346">
          <w:marLeft w:val="0"/>
          <w:marRight w:val="0"/>
          <w:marTop w:val="125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ensec.org.b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406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2</cp:revision>
  <dcterms:created xsi:type="dcterms:W3CDTF">2025-12-23T19:18:00Z</dcterms:created>
  <dcterms:modified xsi:type="dcterms:W3CDTF">2025-12-23T19:41:00Z</dcterms:modified>
</cp:coreProperties>
</file>