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67509" w:rsidRPr="00867509" w:rsidRDefault="00867509" w:rsidP="00867509">
      <w:pPr>
        <w:rPr>
          <w:rFonts w:ascii="Arial" w:hAnsi="Arial" w:cs="Arial"/>
        </w:rPr>
      </w:pPr>
      <w:r w:rsidRPr="00867509">
        <w:rPr>
          <w:rFonts w:ascii="Arial" w:hAnsi="Arial" w:cs="Arial"/>
        </w:rPr>
        <w:t>Prezado, após analisar a situação, no testamento, tem uma disposição genérica que diz o seguinte: "que 50% de todos os seus bens móveis, imóveis, direitos e ações caibam e venham a pertencer ... ", então de certo modo já esta destinado ao beneficiário do testamento, mas para dar maior segurança jurídica , recomendo que seja colocado o valor da causa como patrimônio declarado do testamento, mesmo que seja um valor aproximado.</w:t>
      </w:r>
    </w:p>
    <w:p w:rsidR="00867509" w:rsidRPr="00867509" w:rsidRDefault="00867509" w:rsidP="00867509">
      <w:pPr>
        <w:rPr>
          <w:rFonts w:ascii="Arial" w:hAnsi="Arial" w:cs="Arial"/>
          <w:b/>
          <w:u w:val="single"/>
        </w:rPr>
      </w:pPr>
      <w:r w:rsidRPr="00867509">
        <w:rPr>
          <w:rFonts w:ascii="Arial" w:hAnsi="Arial" w:cs="Arial"/>
          <w:b/>
          <w:u w:val="single"/>
        </w:rPr>
        <w:t>Em observância ao Artigo 1.899 do Código Civil. "Quando a cláusula testamentária for suscetível de interpretações diferentes, prevalecerá a que melhor assegure a observância da vontade do testador."</w:t>
      </w:r>
    </w:p>
    <w:p w:rsidR="00867509" w:rsidRPr="00867509" w:rsidRDefault="00867509" w:rsidP="00867509">
      <w:pPr>
        <w:rPr>
          <w:rFonts w:ascii="Arial" w:hAnsi="Arial" w:cs="Arial"/>
        </w:rPr>
      </w:pPr>
      <w:r w:rsidRPr="00867509">
        <w:rPr>
          <w:rFonts w:ascii="Arial" w:hAnsi="Arial" w:cs="Arial"/>
        </w:rPr>
        <w:t>Como se trata de um testamento genérico, basta declarar o valor que possui no ato da liberalidade, que é o ato de testar, sem mencionar nenhum bem.</w:t>
      </w:r>
    </w:p>
    <w:p w:rsidR="00867509" w:rsidRPr="00867509" w:rsidRDefault="00867509" w:rsidP="00867509">
      <w:pPr>
        <w:rPr>
          <w:rFonts w:ascii="Arial" w:hAnsi="Arial" w:cs="Arial"/>
        </w:rPr>
      </w:pPr>
    </w:p>
    <w:p w:rsidR="00867509" w:rsidRPr="00867509" w:rsidRDefault="00867509" w:rsidP="00867509">
      <w:pPr>
        <w:rPr>
          <w:rFonts w:ascii="Arial" w:hAnsi="Arial" w:cs="Arial"/>
        </w:rPr>
      </w:pPr>
    </w:p>
    <w:p w:rsidR="00867509" w:rsidRPr="00867509" w:rsidRDefault="00867509" w:rsidP="00867509">
      <w:pPr>
        <w:rPr>
          <w:rFonts w:ascii="Arial" w:hAnsi="Arial" w:cs="Arial"/>
        </w:rPr>
      </w:pPr>
      <w:r w:rsidRPr="00867509">
        <w:rPr>
          <w:rFonts w:ascii="Arial" w:hAnsi="Arial" w:cs="Arial"/>
        </w:rPr>
        <w:t>Com relação a outra dúvida do senhor, no caso da pessoa vir a gastar/dispor/vender/doar o patrimônio que ela possuía ocorre o seguinte:</w:t>
      </w:r>
    </w:p>
    <w:p w:rsidR="00867509" w:rsidRPr="00867509" w:rsidRDefault="00867509" w:rsidP="00867509">
      <w:pPr>
        <w:rPr>
          <w:rFonts w:ascii="Arial" w:hAnsi="Arial" w:cs="Arial"/>
        </w:rPr>
      </w:pPr>
    </w:p>
    <w:p w:rsidR="00867509" w:rsidRPr="00867509" w:rsidRDefault="00867509" w:rsidP="00867509">
      <w:pPr>
        <w:rPr>
          <w:rFonts w:ascii="Arial" w:hAnsi="Arial" w:cs="Arial"/>
        </w:rPr>
      </w:pPr>
      <w:r w:rsidRPr="00867509">
        <w:rPr>
          <w:rFonts w:ascii="Arial" w:hAnsi="Arial" w:cs="Arial"/>
        </w:rPr>
        <w:t>Em relação à parte patrimonial, o testamento perde sua eficácia prática, pois o objeto(patrimônio testado) deixa de existir.</w:t>
      </w:r>
    </w:p>
    <w:p w:rsidR="00867509" w:rsidRPr="00867509" w:rsidRDefault="00867509" w:rsidP="00867509">
      <w:pPr>
        <w:rPr>
          <w:rFonts w:ascii="Arial" w:hAnsi="Arial" w:cs="Arial"/>
        </w:rPr>
      </w:pPr>
    </w:p>
    <w:p w:rsidR="00867509" w:rsidRPr="00867509" w:rsidRDefault="00867509" w:rsidP="00867509">
      <w:pPr>
        <w:rPr>
          <w:rFonts w:ascii="Arial" w:hAnsi="Arial" w:cs="Arial"/>
        </w:rPr>
      </w:pPr>
      <w:r w:rsidRPr="00867509">
        <w:rPr>
          <w:rFonts w:ascii="Arial" w:hAnsi="Arial" w:cs="Arial"/>
        </w:rPr>
        <w:t>Isso acontece porque a lei entende que, ao se desfazer do bem, você mudou de ideia em relação a quem o receberia. Não importa se você vendeu para ganhar dinheiro, se doou por carinho ou se deu o bem para quitar uma dívida; o que conta para o cartório e para o juiz é que, no momento da abertura da sucessão, aquele objeto não faz mais parte do seu patrimônio.</w:t>
      </w:r>
    </w:p>
    <w:p w:rsidR="00867509" w:rsidRPr="00867509" w:rsidRDefault="00867509" w:rsidP="00867509">
      <w:pPr>
        <w:rPr>
          <w:rFonts w:ascii="Arial" w:hAnsi="Arial" w:cs="Arial"/>
        </w:rPr>
      </w:pPr>
    </w:p>
    <w:p w:rsidR="00867509" w:rsidRPr="00867509" w:rsidRDefault="00867509" w:rsidP="00867509">
      <w:pPr>
        <w:rPr>
          <w:rFonts w:ascii="Arial" w:hAnsi="Arial" w:cs="Arial"/>
        </w:rPr>
      </w:pPr>
      <w:r w:rsidRPr="00867509">
        <w:rPr>
          <w:rFonts w:ascii="Arial" w:hAnsi="Arial" w:cs="Arial"/>
        </w:rPr>
        <w:t>Art. 1.939. Caducará o legado: [...] II - se o testador, por qualquer título, alienar no todo ou em parte a coisa legada; nesse caso, caducará até onde ela deixou de pertencer ao testador;</w:t>
      </w:r>
    </w:p>
    <w:p w:rsidR="00867509" w:rsidRPr="00867509" w:rsidRDefault="00867509" w:rsidP="00867509">
      <w:pPr>
        <w:rPr>
          <w:rFonts w:ascii="Arial" w:hAnsi="Arial" w:cs="Arial"/>
        </w:rPr>
      </w:pPr>
      <w:r w:rsidRPr="00867509">
        <w:rPr>
          <w:rFonts w:ascii="Arial" w:hAnsi="Arial" w:cs="Arial"/>
        </w:rPr>
        <w:t>Por qualquer título"</w:t>
      </w:r>
    </w:p>
    <w:p w:rsidR="00867509" w:rsidRPr="00867509" w:rsidRDefault="00867509" w:rsidP="00867509">
      <w:pPr>
        <w:rPr>
          <w:rFonts w:ascii="Arial" w:hAnsi="Arial" w:cs="Arial"/>
        </w:rPr>
      </w:pPr>
      <w:r w:rsidRPr="00867509">
        <w:rPr>
          <w:rFonts w:ascii="Arial" w:hAnsi="Arial" w:cs="Arial"/>
        </w:rPr>
        <w:t>A lei não faz distinção entre a forma de alienação. O legado caduca se o bem for:</w:t>
      </w:r>
    </w:p>
    <w:p w:rsidR="00867509" w:rsidRPr="00867509" w:rsidRDefault="00867509" w:rsidP="00867509">
      <w:pPr>
        <w:rPr>
          <w:rFonts w:ascii="Arial" w:hAnsi="Arial" w:cs="Arial"/>
        </w:rPr>
      </w:pPr>
    </w:p>
    <w:p w:rsidR="00867509" w:rsidRPr="00867509" w:rsidRDefault="00867509" w:rsidP="00867509">
      <w:pPr>
        <w:rPr>
          <w:rFonts w:ascii="Arial" w:hAnsi="Arial" w:cs="Arial"/>
        </w:rPr>
      </w:pPr>
      <w:r w:rsidRPr="00867509">
        <w:rPr>
          <w:rFonts w:ascii="Arial" w:hAnsi="Arial" w:cs="Arial"/>
        </w:rPr>
        <w:t>Vendido (título oneroso);</w:t>
      </w:r>
    </w:p>
    <w:p w:rsidR="00867509" w:rsidRPr="00867509" w:rsidRDefault="00867509" w:rsidP="00867509">
      <w:pPr>
        <w:rPr>
          <w:rFonts w:ascii="Arial" w:hAnsi="Arial" w:cs="Arial"/>
        </w:rPr>
      </w:pPr>
    </w:p>
    <w:p w:rsidR="00867509" w:rsidRPr="00867509" w:rsidRDefault="00867509" w:rsidP="00867509">
      <w:pPr>
        <w:rPr>
          <w:rFonts w:ascii="Arial" w:hAnsi="Arial" w:cs="Arial"/>
        </w:rPr>
      </w:pPr>
      <w:r w:rsidRPr="00867509">
        <w:rPr>
          <w:rFonts w:ascii="Arial" w:hAnsi="Arial" w:cs="Arial"/>
        </w:rPr>
        <w:t>Doado (título gratuito);</w:t>
      </w:r>
    </w:p>
    <w:p w:rsidR="00867509" w:rsidRPr="00867509" w:rsidRDefault="00867509" w:rsidP="00867509">
      <w:pPr>
        <w:rPr>
          <w:rFonts w:ascii="Arial" w:hAnsi="Arial" w:cs="Arial"/>
        </w:rPr>
      </w:pPr>
    </w:p>
    <w:p w:rsidR="00867509" w:rsidRPr="00867509" w:rsidRDefault="00867509" w:rsidP="00867509">
      <w:pPr>
        <w:rPr>
          <w:rFonts w:ascii="Arial" w:hAnsi="Arial" w:cs="Arial"/>
        </w:rPr>
      </w:pPr>
      <w:r w:rsidRPr="00867509">
        <w:rPr>
          <w:rFonts w:ascii="Arial" w:hAnsi="Arial" w:cs="Arial"/>
        </w:rPr>
        <w:lastRenderedPageBreak/>
        <w:t>Permutado (trocado por outro);</w:t>
      </w:r>
    </w:p>
    <w:p w:rsidR="00867509" w:rsidRPr="00867509" w:rsidRDefault="00867509" w:rsidP="00867509">
      <w:pPr>
        <w:rPr>
          <w:rFonts w:ascii="Arial" w:hAnsi="Arial" w:cs="Arial"/>
        </w:rPr>
      </w:pPr>
    </w:p>
    <w:p w:rsidR="00867509" w:rsidRPr="00867509" w:rsidRDefault="00867509" w:rsidP="00867509">
      <w:pPr>
        <w:rPr>
          <w:rFonts w:ascii="Arial" w:hAnsi="Arial" w:cs="Arial"/>
        </w:rPr>
      </w:pPr>
      <w:r w:rsidRPr="00867509">
        <w:rPr>
          <w:rFonts w:ascii="Arial" w:hAnsi="Arial" w:cs="Arial"/>
        </w:rPr>
        <w:t>Dado em pagamento (dação em pagamento).</w:t>
      </w:r>
    </w:p>
    <w:p w:rsidR="00867509" w:rsidRPr="00867509" w:rsidRDefault="00867509" w:rsidP="00867509">
      <w:pPr>
        <w:rPr>
          <w:rFonts w:ascii="Arial" w:hAnsi="Arial" w:cs="Arial"/>
        </w:rPr>
      </w:pPr>
    </w:p>
    <w:p w:rsidR="00867509" w:rsidRPr="00867509" w:rsidRDefault="00867509" w:rsidP="00867509">
      <w:pPr>
        <w:rPr>
          <w:rFonts w:ascii="Arial" w:hAnsi="Arial" w:cs="Arial"/>
        </w:rPr>
      </w:pPr>
      <w:r w:rsidRPr="00867509">
        <w:rPr>
          <w:rFonts w:ascii="Arial" w:hAnsi="Arial" w:cs="Arial"/>
        </w:rPr>
        <w:t>Agora com relação a herança, ao que tange ao regime de bens é o seguinte:</w:t>
      </w:r>
    </w:p>
    <w:p w:rsidR="00867509" w:rsidRPr="00867509" w:rsidRDefault="00867509" w:rsidP="00867509">
      <w:pPr>
        <w:rPr>
          <w:rFonts w:ascii="Arial" w:hAnsi="Arial" w:cs="Arial"/>
        </w:rPr>
      </w:pPr>
    </w:p>
    <w:p w:rsidR="00867509" w:rsidRPr="00867509" w:rsidRDefault="00867509" w:rsidP="00867509">
      <w:pPr>
        <w:rPr>
          <w:rFonts w:ascii="Arial" w:hAnsi="Arial" w:cs="Arial"/>
        </w:rPr>
      </w:pPr>
      <w:r w:rsidRPr="00867509">
        <w:rPr>
          <w:rFonts w:ascii="Arial" w:hAnsi="Arial" w:cs="Arial"/>
        </w:rPr>
        <w:t>Se o senhor  casou pelo regime da comunhão universal, a regra é que 'tudo é de todos'. Ou seja, qualquer herança ou doação que você receba acaba se comunicando e passa a pertencer metade ao seu cônjuge também. A única exceção para essa regra é se quem deixou o patrimônio (o falecido) tiver colocado no testamento ou na escritura de doação uma cláusula de incomunicabilidade. Essa cláusula funciona como um 'escudo' que impede que aquele bem específico se misture ao patrimônio do casal, fazendo com que ele seja só seu.</w:t>
      </w:r>
    </w:p>
    <w:p w:rsidR="00867509" w:rsidRPr="00867509" w:rsidRDefault="00867509" w:rsidP="00867509">
      <w:pPr>
        <w:rPr>
          <w:rFonts w:ascii="Arial" w:hAnsi="Arial" w:cs="Arial"/>
        </w:rPr>
      </w:pPr>
    </w:p>
    <w:p w:rsidR="00000000" w:rsidRPr="00867509" w:rsidRDefault="00867509" w:rsidP="00867509">
      <w:pPr>
        <w:rPr>
          <w:rFonts w:ascii="Arial" w:hAnsi="Arial" w:cs="Arial"/>
        </w:rPr>
      </w:pPr>
      <w:r w:rsidRPr="00867509">
        <w:rPr>
          <w:rFonts w:ascii="Arial" w:hAnsi="Arial" w:cs="Arial"/>
        </w:rPr>
        <w:t>Já se o casamento for pelo regime da comunhão parcial (que é o mais comum hoje em dia) ou pela separação obrigatória de bens, a lógica é diferente. Nesses casos, a herança é considerada um 'bem particular'. Isso significa que a lei entende que o que vem de herança não deve ser dividido com o parceiro; o bem entra apenas no seu nome e permanece exclusivamente seu. O cônjuge só teria direito à metade se fosse um bem comprado por vocês durante o casamento, o que não é o caso aqui.</w:t>
      </w:r>
    </w:p>
    <w:sectPr w:rsidR="00000000" w:rsidRPr="00867509">
      <w:pgSz w:w="11906" w:h="16838"/>
      <w:pgMar w:top="1417" w:right="1701" w:bottom="1417"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64"/>
  <w:defaultTabStop w:val="708"/>
  <w:hyphenationZone w:val="425"/>
  <w:characterSpacingControl w:val="doNotCompress"/>
  <w:compat>
    <w:useFELayout/>
  </w:compat>
  <w:rsids>
    <w:rsidRoot w:val="00867509"/>
    <w:rsid w:val="00867509"/>
  </w:rsids>
  <m:mathPr>
    <m:mathFont m:val="Cambria Math"/>
    <m:brkBin m:val="before"/>
    <m:brkBinSub m:val="--"/>
    <m:smallFrac m:val="off"/>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pt-BR" w:eastAsia="pt-BR"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qFormat/>
    <w:tblPr>
      <w:tblInd w:w="0" w:type="dxa"/>
      <w:tblCellMar>
        <w:top w:w="0" w:type="dxa"/>
        <w:left w:w="108" w:type="dxa"/>
        <w:bottom w:w="0" w:type="dxa"/>
        <w:right w:w="108" w:type="dxa"/>
      </w:tblCellMar>
    </w:tblPr>
  </w:style>
  <w:style w:type="numbering" w:default="1" w:styleId="Semlista">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453</Words>
  <Characters>2448</Characters>
  <Application>Microsoft Office Word</Application>
  <DocSecurity>0</DocSecurity>
  <Lines>20</Lines>
  <Paragraphs>5</Paragraphs>
  <ScaleCrop>false</ScaleCrop>
  <Company/>
  <LinksUpToDate>false</LinksUpToDate>
  <CharactersWithSpaces>2896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Pedro.Pizarro</dc:creator>
  <cp:keywords/>
  <dc:description/>
  <cp:lastModifiedBy>Pedro.Pizarro</cp:lastModifiedBy>
  <cp:revision>2</cp:revision>
  <dcterms:created xsi:type="dcterms:W3CDTF">2026-01-12T15:08:00Z</dcterms:created>
  <dcterms:modified xsi:type="dcterms:W3CDTF">2026-01-12T15:09:00Z</dcterms:modified>
</cp:coreProperties>
</file>