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el polvo de tiza que se acumula en el borde de la pizarra.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r>
        <w:pict>
          <v:rect style="width:0;height:1.5pt" o:hralign="center" o:hrstd="t" o:hr="t"/>
        </w:pict>
      </w:r>
    </w:p>
    <w:p>
      <w:pPr>
        <w:pStyle w:val="FirstParagraph"/>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En ningún otro lugar se aprende un hábito con tanta constancia ni con tanta legitimidad.</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Lo que no deja rastro no cuenta. A esa lección, que ninguna asignatura enseña y que todas practican, la llamaré en este libro</w:t>
      </w:r>
      <w:r>
        <w:t xml:space="preserve"> </w:t>
      </w:r>
      <w:r>
        <w:rPr>
          <w:iCs/>
          <w:i/>
        </w:rPr>
        <w:t xml:space="preserve">pedagogía de la huella</w:t>
      </w:r>
      <w:r>
        <w:t xml:space="preserve">, y gran parte de lo que sigue intenta describir cómo funciona y qué hace con nosotros.</w:t>
      </w:r>
    </w:p>
    <w:p>
      <w:r>
        <w:pict>
          <v:rect style="width:0;height:1.5pt" o:hralign="center" o:hrstd="t" o:hr="t"/>
        </w:pict>
      </w:r>
    </w:p>
    <w:p>
      <w:pPr>
        <w:pStyle w:val="FirstParagraph"/>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r>
        <w:pict>
          <v:rect style="width:0;height:1.5pt" o:hralign="center" o:hrstd="t" o:hr="t"/>
        </w:pict>
      </w:r>
    </w:p>
    <w:p>
      <w:pPr>
        <w:pStyle w:val="FirstParagraph"/>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y lo preocupante no es que lo haga sino que hoy lo haga sin decir para qué.</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No he escrito un libro contra la tecnología, que sería tan ingenuo como inútil, ni un manual de buenas prácticas digitales. Tampoco es un informe técnico, aunque cuando hablo de datos, de leyes o de estudios intento ser preciso y digo de dónde los saco. Es un ensayo de filosofía, y su ambición es formular mejor un problema que nos afecta a todos. Explico cada concepto la primera vez que aparece, hay un glosario al final y las notas están al final del libro, para quien quiera comprobar las fuentes sin interrumpir la lectura.</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0"/>
    <w:bookmarkStart w:id="29"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una chica de quince años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Las diferencias de escala, de técnica y de propósito son enormes. Lo que me interesa es lo que se repite. En los dos casos alguien se encuentra con una imagen de lo que es, o de lo que debería ser, que le llega de fuera. Los griegos habrían dicho sin rodeos que en esos encuentros se forma un alma. Nosotros hemos perdido la costumbre de decirlo, y eso no quiere decir que haya dejado de ocurrir.</w:t>
      </w:r>
    </w:p>
    <w:p>
      <w:r>
        <w:pict>
          <v:rect style="width:0;height:1.5pt" o:hralign="center" o:hrstd="t" o:hr="t"/>
        </w:pict>
      </w:r>
    </w:p>
    <w:p>
      <w:pPr>
        <w:pStyle w:val="FirstParagraph"/>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bookmarkStart w:id="21" w:name="ref-01-1"/>
      <w:hyperlink w:anchor="nota-01-1">
        <w:r>
          <w:rPr>
            <w:rStyle w:val="Hyperlink"/>
            <w:vertAlign w:val="superscript"/>
          </w:rPr>
          <w:t xml:space="preserve">1</w:t>
        </w:r>
      </w:hyperlink>
      <w:bookmarkEnd w:id="21"/>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y lo que no deja rastro no cuenta. Esta inversión, de la que hablaré a lo largo de todo el libro, es para mí la novedad más importante de la escuela contemporánea.</w:t>
      </w:r>
    </w:p>
    <w:p>
      <w:r>
        <w:pict>
          <v:rect style="width:0;height:1.5pt" o:hralign="center" o:hrstd="t" o:hr="t"/>
        </w:pict>
      </w:r>
    </w:p>
    <w:p>
      <w:pPr>
        <w:pStyle w:val="FirstParagraph"/>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bookmarkStart w:id="22" w:name="ref-01-2"/>
      <w:hyperlink w:anchor="nota-01-2">
        <w:r>
          <w:rPr>
            <w:rStyle w:val="Hyperlink"/>
            <w:vertAlign w:val="superscript"/>
          </w:rPr>
          <w:t xml:space="preserve">2</w:t>
        </w:r>
      </w:hyperlink>
      <w:bookmarkEnd w:id="22"/>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los griegos eso significaba vivir según la razón y en compañía de otros. Aristóteles añadía que nadie nace con ella: uno se hace justo haciendo cosas justas, igual que se hace citarista tocando la cítara.</w:t>
      </w:r>
      <w:bookmarkStart w:id="23" w:name="ref-01-3"/>
      <w:hyperlink w:anchor="nota-01-3">
        <w:r>
          <w:rPr>
            <w:rStyle w:val="Hyperlink"/>
            <w:vertAlign w:val="superscript"/>
          </w:rPr>
          <w:t xml:space="preserve">3</w:t>
        </w:r>
      </w:hyperlink>
      <w:bookmarkEnd w:id="23"/>
    </w:p>
    <w:p>
      <w:pPr>
        <w:pStyle w:val="BodyText"/>
      </w:pPr>
      <w:r>
        <w:t xml:space="preserve">En ningún currículo actual aparece la</w:t>
      </w:r>
      <w:r>
        <w:t xml:space="preserve"> </w:t>
      </w:r>
      <w:r>
        <w:rPr>
          <w:iCs/>
          <w:i/>
        </w:rPr>
        <w:t xml:space="preserve">areté</w:t>
      </w:r>
      <w:r>
        <w:t xml:space="preserve">. Ocupan su sitio palabras como competencias, empleabilidad o éxito. Algo, sin embargo, ha resistido: la escuela sigue sirviendo a un proyecto de sociedad y sigue decidiendo qué tipo de persona merece la pena formar. Lo que ha cambiado es que ya no lo dice. Los griegos sabían que estaban formando almas. Nosotros creemos estar desarrollando competencias, y esa ignorancia sobre lo que hacemos me parece más inquietante que cualquier ideal declarado, por discutible que fuera.</w:t>
      </w:r>
    </w:p>
    <w:p>
      <w:r>
        <w:pict>
          <v:rect style="width:0;height:1.5pt" o:hralign="center" o:hrstd="t" o:hr="t"/>
        </w:pict>
      </w:r>
    </w:p>
    <w:p>
      <w:pPr>
        <w:pStyle w:val="FirstParagraph"/>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bookmarkStart w:id="24" w:name="ref-01-4"/>
      <w:hyperlink w:anchor="nota-01-4">
        <w:r>
          <w:rPr>
            <w:rStyle w:val="Hyperlink"/>
            <w:vertAlign w:val="superscript"/>
          </w:rPr>
          <w:t xml:space="preserve">4</w:t>
        </w:r>
      </w:hyperlink>
      <w:bookmarkEnd w:id="24"/>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 y el capítulo siguiente intenta explicarla.</w:t>
      </w:r>
    </w:p>
    <w:p>
      <w:r>
        <w:pict>
          <v:rect style="width:0;height:1.5pt" o:hralign="center" o:hrstd="t" o:hr="t"/>
        </w:pict>
      </w:r>
    </w:p>
    <w:p>
      <w:pPr>
        <w:pStyle w:val="FirstParagraph"/>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 a todo el mundo, y por eso acabó condenado. En la</w:t>
      </w:r>
      <w:r>
        <w:t xml:space="preserve"> </w:t>
      </w:r>
      <w:r>
        <w:rPr>
          <w:iCs/>
          <w:i/>
        </w:rPr>
        <w:t xml:space="preserve">Apología</w:t>
      </w:r>
      <w:r>
        <w:t xml:space="preserve">, Platón le hace decir que una vida sin examen no merece vivirse.</w:t>
      </w:r>
      <w:bookmarkStart w:id="25" w:name="ref-01-5"/>
      <w:hyperlink w:anchor="nota-01-5">
        <w:r>
          <w:rPr>
            <w:rStyle w:val="Hyperlink"/>
            <w:vertAlign w:val="superscript"/>
          </w:rPr>
          <w:t xml:space="preserve">5</w:t>
        </w:r>
      </w:hyperlink>
      <w:bookmarkEnd w:id="25"/>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r>
        <w:pict>
          <v:rect style="width:0;height:1.5pt" o:hralign="center" o:hrstd="t" o:hr="t"/>
        </w:pict>
      </w:r>
    </w:p>
    <w:p>
      <w:pPr>
        <w:pStyle w:val="FirstParagraph"/>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bookmarkStart w:id="26" w:name="ref-01-6"/>
      <w:hyperlink w:anchor="nota-01-6">
        <w:r>
          <w:rPr>
            <w:rStyle w:val="Hyperlink"/>
            <w:vertAlign w:val="superscript"/>
          </w:rPr>
          <w:t xml:space="preserve">6</w:t>
        </w:r>
      </w:hyperlink>
      <w:bookmarkEnd w:id="26"/>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r>
        <w:pict>
          <v:rect style="width:0;height:1.5pt" o:hralign="center" o:hrstd="t" o:hr="t"/>
        </w:pict>
      </w:r>
    </w:p>
    <w:p>
      <w:pPr>
        <w:pStyle w:val="FirstParagraph"/>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bookmarkStart w:id="27" w:name="ref-01-7"/>
      <w:hyperlink w:anchor="nota-01-7">
        <w:r>
          <w:rPr>
            <w:rStyle w:val="Hyperlink"/>
            <w:vertAlign w:val="superscript"/>
          </w:rPr>
          <w:t xml:space="preserve">7</w:t>
        </w:r>
      </w:hyperlink>
      <w:bookmarkEnd w:id="27"/>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bookmarkStart w:id="28" w:name="ref-01-8"/>
      <w:hyperlink w:anchor="nota-01-8">
        <w:r>
          <w:rPr>
            <w:rStyle w:val="Hyperlink"/>
            <w:vertAlign w:val="superscript"/>
          </w:rPr>
          <w:t xml:space="preserve">8</w:t>
        </w:r>
      </w:hyperlink>
      <w:bookmarkEnd w:id="28"/>
      <w:r>
        <w:t xml:space="preserve"> </w:t>
      </w:r>
      <w:r>
        <w:t xml:space="preserve">Para Diotima, aprender era desear.</w:t>
      </w:r>
    </w:p>
    <w:p>
      <w:pPr>
        <w:pStyle w:val="BodyText"/>
      </w:pPr>
      <w:r>
        <w:t xml:space="preserve">Volveré sobre esta idea, porque es clave para entender lo que hacen hoy las plataformas. Toda educación trabaja con el deseo. La diferencia entre una que libera y otra que somete está en hacia dónde lo dirige y en quién decide la dirección.</w:t>
      </w:r>
    </w:p>
    <w:p>
      <w:r>
        <w:pict>
          <v:rect style="width:0;height:1.5pt" o:hralign="center" o:hrstd="t" o:hr="t"/>
        </w:pict>
      </w:r>
    </w:p>
    <w:p>
      <w:pPr>
        <w:pStyle w:val="FirstParagraph"/>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El primer mercado educativo de Occidente tiene veinticinco siglos, y la primera queja contra la venta del saber, también.</w:t>
      </w:r>
    </w:p>
    <w:p>
      <w:pPr>
        <w:pStyle w:val="BodyText"/>
      </w:pPr>
      <w:r>
        <w:t xml:space="preserve">Con el tiempo los saberes se ordenaron en una lista que Roma y la Edad Media llamarían</w:t>
      </w:r>
      <w:r>
        <w:t xml:space="preserve"> </w:t>
      </w:r>
      <w:r>
        <w:rPr>
          <w:iCs/>
          <w:i/>
        </w:rPr>
        <w:t xml:space="preserve">trivium</w:t>
      </w:r>
      <w:r>
        <w:t xml:space="preserve"> </w:t>
      </w:r>
      <w:r>
        <w:t xml:space="preserve">y</w:t>
      </w:r>
      <w:r>
        <w:t xml:space="preserve"> </w:t>
      </w:r>
      <w:r>
        <w:rPr>
          <w:iCs/>
          <w:i/>
        </w:rPr>
        <w:t xml:space="preserve">quadrivium</w:t>
      </w:r>
      <w:r>
        <w:t xml:space="preserve">, y con ella apareció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son sus herederas directas: ordenan contenidos, fijan plazos, marcan el avance y deciden cuándo se puede pasar a la unidad siguiente. Lo nuevo es que este currículo ya no está en un pergamino ni en un decreto, sino en un código que nadie en la escuela sabe leer.</w:t>
      </w:r>
    </w:p>
    <w:p>
      <w:r>
        <w:pict>
          <v:rect style="width:0;height:1.5pt" o:hralign="center" o:hrstd="t" o:hr="t"/>
        </w:pict>
      </w:r>
    </w:p>
    <w:p>
      <w:pPr>
        <w:pStyle w:val="FirstParagraph"/>
      </w:pPr>
      <w:r>
        <w:t xml:space="preserve">De este recorrido me quedo con tres cosas. La educación nunca fue neutral: desde que se pensó a sí misma estuvo ligada a una idea de vida buena, y una educación que se presenta como pura transmisión de competencias es una educación que ha decidido callar su proyecto.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Los griegos 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29"/>
    <w:bookmarkStart w:id="38"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r>
        <w:pict>
          <v:rect style="width:0;height:1.5pt" o:hralign="center" o:hrstd="t" o:hr="t"/>
        </w:pict>
      </w:r>
    </w:p>
    <w:p>
      <w:pPr>
        <w:pStyle w:val="FirstParagraph"/>
      </w:pPr>
      <w:r>
        <w:t xml:space="preserve">Foucault nunca dedicó un libro al dispositivo. Usó mucho la palabra desde mediados de los setenta y no se paró a definirla con calma. La explicación más clara la dio en una entrevista de 1977:</w:t>
      </w:r>
      <w:bookmarkStart w:id="30" w:name="ref-02-1"/>
      <w:hyperlink w:anchor="nota-02-1">
        <w:r>
          <w:rPr>
            <w:rStyle w:val="Hyperlink"/>
            <w:vertAlign w:val="superscript"/>
          </w:rPr>
          <w:t xml:space="preserve">1</w:t>
        </w:r>
      </w:hyperlink>
      <w:bookmarkEnd w:id="30"/>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 ranking.</w:t>
      </w:r>
    </w:p>
    <w:p>
      <w:r>
        <w:pict>
          <v:rect style="width:0;height:1.5pt" o:hralign="center" o:hrstd="t" o:hr="t"/>
        </w:pict>
      </w:r>
    </w:p>
    <w:p>
      <w:pPr>
        <w:pStyle w:val="FirstParagraph"/>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bookmarkStart w:id="31" w:name="ref-02-2"/>
      <w:hyperlink w:anchor="nota-02-2">
        <w:r>
          <w:rPr>
            <w:rStyle w:val="Hyperlink"/>
            <w:vertAlign w:val="superscript"/>
          </w:rPr>
          <w:t xml:space="preserve">2</w:t>
        </w:r>
      </w:hyperlink>
      <w:bookmarkEnd w:id="31"/>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r>
        <w:pict>
          <v:rect style="width:0;height:1.5pt" o:hralign="center" o:hrstd="t" o:hr="t"/>
        </w:pict>
      </w:r>
    </w:p>
    <w:p>
      <w:pPr>
        <w:pStyle w:val="FirstParagraph"/>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bookmarkStart w:id="32" w:name="ref-02-3"/>
      <w:hyperlink w:anchor="nota-02-3">
        <w:r>
          <w:rPr>
            <w:rStyle w:val="Hyperlink"/>
            <w:vertAlign w:val="superscript"/>
          </w:rPr>
          <w:t xml:space="preserve">3</w:t>
        </w:r>
      </w:hyperlink>
      <w:bookmarkEnd w:id="32"/>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Dos siglos y medio después, la Señal tiene otra forma. Es el sonido de la notificación,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r>
        <w:pict>
          <v:rect style="width:0;height:1.5pt" o:hralign="center" o:hrstd="t" o:hr="t"/>
        </w:pict>
      </w:r>
    </w:p>
    <w:p>
      <w:pPr>
        <w:pStyle w:val="FirstParagraph"/>
      </w:pPr>
      <w:r>
        <w:t xml:space="preserve">En el prólogo propuse una definición de plataforma educativa: una infraestructura digital que organiza o condiciona la comunicación, los contenidos, las tareas, la evaluación, el seguimiento y los datos de una escuela. Ahora puedo decir algo más. Una plataforma es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Distribuye además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se compara, y lo que se compara acaba ordenándose en una clasificación aunque nadie lo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La pedagogía de la huella de la que hablé en el prólogo es el resultado de esa reunión.</w:t>
      </w:r>
    </w:p>
    <w:p>
      <w:r>
        <w:pict>
          <v:rect style="width:0;height:1.5pt" o:hralign="center" o:hrstd="t" o:hr="t"/>
        </w:pict>
      </w:r>
    </w:p>
    <w:p>
      <w:pPr>
        <w:pStyle w:val="FirstParagraph"/>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Ahí ensayan su manera de ordenar el tiempo, la visibilidad, las relaciones y la medida sobre un público cautivo y bajo la protección de una institución que todo el mundo considera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convierte los rastros de los alumnos en materia prima para otra cosa. Las cuatro operaciones son comunes. Lo que cambia de un caso a otro es quién se queda con la huella, para qué la usa y ante quién responde. Esa diferencia es política, y recorrerá todo el libro.</w:t>
      </w:r>
    </w:p>
    <w:p>
      <w:r>
        <w:pict>
          <v:rect style="width:0;height:1.5pt" o:hralign="center" o:hrstd="t" o:hr="t"/>
        </w:pict>
      </w:r>
    </w:p>
    <w:p>
      <w:pPr>
        <w:pStyle w:val="FirstParagraph"/>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bookmarkStart w:id="33" w:name="ref-02-4"/>
      <w:hyperlink w:anchor="nota-02-4">
        <w:r>
          <w:rPr>
            <w:rStyle w:val="Hyperlink"/>
            <w:vertAlign w:val="superscript"/>
          </w:rPr>
          <w:t xml:space="preserve">4</w:t>
        </w:r>
      </w:hyperlink>
      <w:bookmarkEnd w:id="33"/>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además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r>
        <w:pict>
          <v:rect style="width:0;height:1.5pt" o:hralign="center" o:hrstd="t" o:hr="t"/>
        </w:pict>
      </w:r>
    </w:p>
    <w:p>
      <w:pPr>
        <w:pStyle w:val="FirstParagraph"/>
      </w:pPr>
      <w:r>
        <w:t xml:space="preserve">El hallazgo más sorprendente de Agamben es que la palabra «dispositivo» viene de la teología.</w:t>
      </w:r>
      <w:bookmarkStart w:id="34" w:name="ref-02-5"/>
      <w:hyperlink w:anchor="nota-02-5">
        <w:r>
          <w:rPr>
            <w:rStyle w:val="Hyperlink"/>
            <w:vertAlign w:val="superscript"/>
          </w:rPr>
          <w:t xml:space="preserve">5</w:t>
        </w:r>
      </w:hyperlink>
      <w:bookmarkEnd w:id="34"/>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nuestro «dispositivo».</w:t>
      </w:r>
    </w:p>
    <w:p>
      <w:pPr>
        <w:pStyle w:val="BodyText"/>
      </w:pPr>
      <w:r>
        <w:t xml:space="preserve">De esa historia Agamben extrae una idea que ilumina buena parte de este libro. Un gobierno que se apoyara en una naturaleza humana ya dada no necesitaría fabricar a sus súbditos; le bastaría con acompañarlos. Un gobierno que es pura gestión, sin fundamento en ninguna idea de lo que el ser humano es o debe ser, carece de ese apoyo y tiene que producir a aquellos sobre quienes se ejerce.</w:t>
      </w:r>
    </w:p>
    <w:p>
      <w:pPr>
        <w:pStyle w:val="BodyText"/>
      </w:pPr>
      <w:r>
        <w:t xml:space="preserve">Pasemos de la teología a la escuela, que no está tan lejos. Durante siglos la educación se pensó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ahí, y la pregunta «¿para qué educamos?» tenía respuesta.</w:t>
      </w:r>
    </w:p>
    <w:p>
      <w:pPr>
        <w:pStyle w:val="BodyText"/>
      </w:pPr>
      <w:r>
        <w:t xml:space="preserve">El vocabulario que domina hoy la educación es el de la gestión: calidad, eficacia, mejora continua, resultados, estándares, indicadores, evidencias, rendición de cuentas. Son palabras que hablan del cómo y callan el para qué. La calidad no dice qué es valioso, solo cuánto se ha conseguido de algo, y la mejora continua es una optimización sin final. Gert Biesta lo ha descrito como la sustitución del lenguaje de la educación por un lenguaje del aprendizaje, que habla de procesos y resultados y deja sin plantear las preguntas por el contenido, el propósito y las relaciones.</w:t>
      </w:r>
      <w:bookmarkStart w:id="35" w:name="ref-02-6"/>
      <w:hyperlink w:anchor="nota-02-6">
        <w:r>
          <w:rPr>
            <w:rStyle w:val="Hyperlink"/>
            <w:vertAlign w:val="superscript"/>
          </w:rPr>
          <w:t xml:space="preserve">6</w:t>
        </w:r>
      </w:hyperlink>
      <w:bookmarkEnd w:id="35"/>
      <w:r>
        <w:t xml:space="preserve"> </w:t>
      </w:r>
      <w:r>
        <w:t xml:space="preserve">Si alguien pregunta para qué sirve la escuela, la respuesta más común es que sirve para desarrollar competencias. Las competencias sirven para ser empleable, para adaptarse a un mundo que cambia, y si uno sigue preguntando para qué adaptarse, la cadena no llega a ninguna idea de vida buena.</w:t>
      </w:r>
    </w:p>
    <w:p>
      <w:pPr>
        <w:pStyle w:val="BodyText"/>
      </w:pPr>
      <w:r>
        <w:t xml:space="preserve">La escuela se ha convertido así en una</w:t>
      </w:r>
      <w:r>
        <w:t xml:space="preserve"> </w:t>
      </w:r>
      <w:r>
        <w:rPr>
          <w:iCs/>
          <w:i/>
        </w:rPr>
        <w:t xml:space="preserve">oikonomía</w:t>
      </w:r>
      <w:r>
        <w:t xml:space="preserve"> </w:t>
      </w:r>
      <w:r>
        <w:t xml:space="preserve">sin fundamento. Al no tener fines declarados, necesita más que nunca producir a sus sujetos, conseguir que alumnos y docentes deseen la mejora continua, se identifiquen con sus indicadores y se juzguen con las medidas del sistema. Un dispositivo sin propósito no puede conformarse con disciplinar cuerpos. Tiene que apoderarse de los deseos.</w:t>
      </w:r>
    </w:p>
    <w:p>
      <w:r>
        <w:pict>
          <v:rect style="width:0;height:1.5pt" o:hralign="center" o:hrstd="t" o:hr="t"/>
        </w:pict>
      </w:r>
    </w:p>
    <w:p>
      <w:pPr>
        <w:pStyle w:val="FirstParagraph"/>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exacta: nadie sabe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r>
        <w:pict>
          <v:rect style="width:0;height:1.5pt" o:hralign="center" o:hrstd="t" o:hr="t"/>
        </w:pict>
      </w:r>
    </w:p>
    <w:p>
      <w:pPr>
        <w:pStyle w:val="FirstParagraph"/>
      </w:pPr>
      <w:r>
        <w:t xml:space="preserve">Agamben no se queda en el diagnóstico. En el derecho romano, las cosas sagradas eran las que se habían retirado del uso común para reservarlas a los dioses. Consagrar era separar. Profanar era devolverlas al uso libre de la gente.</w:t>
      </w:r>
      <w:bookmarkStart w:id="36" w:name="ref-02-7"/>
      <w:hyperlink w:anchor="nota-02-7">
        <w:r>
          <w:rPr>
            <w:rStyle w:val="Hyperlink"/>
            <w:vertAlign w:val="superscript"/>
          </w:rPr>
          <w:t xml:space="preserve">7</w:t>
        </w:r>
      </w:hyperlink>
      <w:bookmarkEnd w:id="36"/>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bookmarkStart w:id="37" w:name="ref-02-8"/>
      <w:hyperlink w:anchor="nota-02-8">
        <w:r>
          <w:rPr>
            <w:rStyle w:val="Hyperlink"/>
            <w:vertAlign w:val="superscript"/>
          </w:rPr>
          <w:t xml:space="preserve">8</w:t>
        </w:r>
      </w:hyperlink>
      <w:bookmarkEnd w:id="37"/>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38"/>
    <w:bookmarkStart w:id="51"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bookmarkStart w:id="39" w:name="ref-03-1"/>
      <w:hyperlink w:anchor="nota-03-1">
        <w:r>
          <w:rPr>
            <w:rStyle w:val="Hyperlink"/>
            <w:vertAlign w:val="superscript"/>
          </w:rPr>
          <w:t xml:space="preserve">1</w:t>
        </w:r>
      </w:hyperlink>
      <w:bookmarkEnd w:id="39"/>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r>
        <w:pict>
          <v:rect style="width:0;height:1.5pt" o:hralign="center" o:hrstd="t" o:hr="t"/>
        </w:pict>
      </w:r>
    </w:p>
    <w:p>
      <w:pPr>
        <w:pStyle w:val="FirstParagraph"/>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r>
        <w:pict>
          <v:rect style="width:0;height:1.5pt" o:hralign="center" o:hrstd="t" o:hr="t"/>
        </w:pict>
      </w:r>
    </w:p>
    <w:p>
      <w:pPr>
        <w:pStyle w:val="FirstParagraph"/>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bookmarkStart w:id="40" w:name="ref-03-2"/>
      <w:hyperlink w:anchor="nota-03-2">
        <w:r>
          <w:rPr>
            <w:rStyle w:val="Hyperlink"/>
            <w:vertAlign w:val="superscript"/>
          </w:rPr>
          <w:t xml:space="preserve">2</w:t>
        </w:r>
      </w:hyperlink>
      <w:bookmarkEnd w:id="40"/>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bookmarkStart w:id="41" w:name="ref-03-3"/>
      <w:hyperlink w:anchor="nota-03-3">
        <w:r>
          <w:rPr>
            <w:rStyle w:val="Hyperlink"/>
            <w:vertAlign w:val="superscript"/>
          </w:rPr>
          <w:t xml:space="preserve">3</w:t>
        </w:r>
      </w:hyperlink>
      <w:bookmarkEnd w:id="41"/>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r>
        <w:pict>
          <v:rect style="width:0;height:1.5pt" o:hralign="center" o:hrstd="t" o:hr="t"/>
        </w:pict>
      </w:r>
    </w:p>
    <w:p>
      <w:pPr>
        <w:pStyle w:val="FirstParagraph"/>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bookmarkStart w:id="42" w:name="ref-03-4"/>
      <w:hyperlink w:anchor="nota-03-4">
        <w:r>
          <w:rPr>
            <w:rStyle w:val="Hyperlink"/>
            <w:vertAlign w:val="superscript"/>
          </w:rPr>
          <w:t xml:space="preserve">4</w:t>
        </w:r>
      </w:hyperlink>
      <w:bookmarkEnd w:id="42"/>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bookmarkStart w:id="43" w:name="ref-03-5"/>
      <w:hyperlink w:anchor="nota-03-5">
        <w:r>
          <w:rPr>
            <w:rStyle w:val="Hyperlink"/>
            <w:vertAlign w:val="superscript"/>
          </w:rPr>
          <w:t xml:space="preserve">5</w:t>
        </w:r>
      </w:hyperlink>
      <w:bookmarkEnd w:id="43"/>
    </w:p>
    <w:p>
      <w:pPr>
        <w:pStyle w:val="BodyText"/>
      </w:pPr>
      <w:r>
        <w:t xml:space="preserve">La niña de Kant, obligada a quedarse quieta, no está siendo educada contra su naturaleza. Se la trata según la naturaleza que el mecanicismo le había asignado: la de una máquina que se puede ajustar.</w:t>
      </w:r>
    </w:p>
    <w:p>
      <w:r>
        <w:pict>
          <v:rect style="width:0;height:1.5pt" o:hralign="center" o:hrstd="t" o:hr="t"/>
        </w:pict>
      </w:r>
    </w:p>
    <w:p>
      <w:pPr>
        <w:pStyle w:val="FirstParagraph"/>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bookmarkStart w:id="44" w:name="ref-03-6"/>
      <w:hyperlink w:anchor="nota-03-6">
        <w:r>
          <w:rPr>
            <w:rStyle w:val="Hyperlink"/>
            <w:vertAlign w:val="superscript"/>
          </w:rPr>
          <w:t xml:space="preserve">6</w:t>
        </w:r>
      </w:hyperlink>
      <w:bookmarkEnd w:id="44"/>
      <w:r>
        <w:t xml:space="preserve"> </w:t>
      </w:r>
      <w:r>
        <w:t xml:space="preserve">La escuela produce un alma que después vigila al cuerpo desde dentro, que siente culpa cuando no rinde, que se corrige antes de que nadie la corrija.</w:t>
      </w:r>
    </w:p>
    <w:p>
      <w:r>
        <w:pict>
          <v:rect style="width:0;height:1.5pt" o:hralign="center" o:hrstd="t" o:hr="t"/>
        </w:pict>
      </w:r>
    </w:p>
    <w:p>
      <w:pPr>
        <w:pStyle w:val="FirstParagraph"/>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bookmarkStart w:id="45" w:name="ref-03-7"/>
      <w:hyperlink w:anchor="nota-03-7">
        <w:r>
          <w:rPr>
            <w:rStyle w:val="Hyperlink"/>
            <w:vertAlign w:val="superscript"/>
          </w:rPr>
          <w:t xml:space="preserve">7</w:t>
        </w:r>
      </w:hyperlink>
      <w:bookmarkEnd w:id="45"/>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r>
        <w:pict>
          <v:rect style="width:0;height:1.5pt" o:hralign="center" o:hrstd="t" o:hr="t"/>
        </w:pict>
      </w:r>
    </w:p>
    <w:p>
      <w:pPr>
        <w:pStyle w:val="FirstParagraph"/>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bookmarkStart w:id="46" w:name="ref-03-8"/>
      <w:hyperlink w:anchor="nota-03-8">
        <w:r>
          <w:rPr>
            <w:rStyle w:val="Hyperlink"/>
            <w:vertAlign w:val="superscript"/>
          </w:rPr>
          <w:t xml:space="preserve">8</w:t>
        </w:r>
      </w:hyperlink>
      <w:bookmarkEnd w:id="46"/>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el rastro es lo que cuenta. No figura en ningún currículo y ningún profesor lo enseña. Probablemente es lo que más a fondo se está aprendiendo.</w:t>
      </w:r>
    </w:p>
    <w:p>
      <w:r>
        <w:pict>
          <v:rect style="width:0;height:1.5pt" o:hralign="center" o:hrstd="t" o:hr="t"/>
        </w:pict>
      </w:r>
    </w:p>
    <w:p>
      <w:pPr>
        <w:pStyle w:val="FirstParagraph"/>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bookmarkStart w:id="47" w:name="ref-03-9"/>
      <w:hyperlink w:anchor="nota-03-9">
        <w:r>
          <w:rPr>
            <w:rStyle w:val="Hyperlink"/>
            <w:vertAlign w:val="superscript"/>
          </w:rPr>
          <w:t xml:space="preserve">9</w:t>
        </w:r>
      </w:hyperlink>
      <w:bookmarkEnd w:id="47"/>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bookmarkStart w:id="48" w:name="ref-03-10"/>
      <w:hyperlink w:anchor="nota-03-10">
        <w:r>
          <w:rPr>
            <w:rStyle w:val="Hyperlink"/>
            <w:vertAlign w:val="superscript"/>
          </w:rPr>
          <w:t xml:space="preserve">10</w:t>
        </w:r>
      </w:hyperlink>
      <w:bookmarkEnd w:id="48"/>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bookmarkStart w:id="49" w:name="ref-03-11"/>
      <w:hyperlink w:anchor="nota-03-11">
        <w:r>
          <w:rPr>
            <w:rStyle w:val="Hyperlink"/>
            <w:vertAlign w:val="superscript"/>
          </w:rPr>
          <w:t xml:space="preserve">11</w:t>
        </w:r>
      </w:hyperlink>
      <w:bookmarkEnd w:id="49"/>
    </w:p>
    <w:p>
      <w:pPr>
        <w:pStyle w:val="BodyText"/>
      </w:pPr>
      <w:r>
        <w:t xml:space="preserve">Las dos preguntas, por qué deseamos lo que nos somete y cómo se aprende a servir, son preguntas sobre educación.</w:t>
      </w:r>
    </w:p>
    <w:p>
      <w:r>
        <w:pict>
          <v:rect style="width:0;height:1.5pt" o:hralign="center" o:hrstd="t" o:hr="t"/>
        </w:pict>
      </w:r>
    </w:p>
    <w:p>
      <w:pPr>
        <w:pStyle w:val="FirstParagraph"/>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bookmarkStart w:id="50" w:name="ref-03-12"/>
      <w:hyperlink w:anchor="nota-03-12">
        <w:r>
          <w:rPr>
            <w:rStyle w:val="Hyperlink"/>
            <w:vertAlign w:val="superscript"/>
          </w:rPr>
          <w:t xml:space="preserve">12</w:t>
        </w:r>
      </w:hyperlink>
      <w:bookmarkEnd w:id="50"/>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Lo que no sabe hacer es registrar el momento en que alguien se sale del guion, porque ese momento, por definición, no estaba previsto entre los datos.</w:t>
      </w:r>
    </w:p>
    <w:p>
      <w:r>
        <w:pict>
          <v:rect style="width:0;height:1.5pt" o:hralign="center" o:hrstd="t" o:hr="t"/>
        </w:pict>
      </w:r>
    </w:p>
    <w:p>
      <w:pPr>
        <w:pStyle w:val="FirstParagraph"/>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La servidumbre voluntaria de La Boétie ha encontrado así su forma más acabada, una servidumbre que se vive como libertad, y para entenderla hay que seguir la historia de una idea que nació para liberar.</w:t>
      </w:r>
    </w:p>
    <w:bookmarkEnd w:id="51"/>
    <w:bookmarkStart w:id="63"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una genealogía ilustre.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bookmarkStart w:id="52" w:name="ref-04-1"/>
      <w:hyperlink w:anchor="nota-04-1">
        <w:r>
          <w:rPr>
            <w:rStyle w:val="Hyperlink"/>
            <w:vertAlign w:val="superscript"/>
          </w:rPr>
          <w:t xml:space="preserve">1</w:t>
        </w:r>
      </w:hyperlink>
      <w:bookmarkEnd w:id="52"/>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r>
        <w:pict>
          <v:rect style="width:0;height:1.5pt" o:hralign="center" o:hrstd="t" o:hr="t"/>
        </w:pict>
      </w:r>
    </w:p>
    <w:p>
      <w:pPr>
        <w:pStyle w:val="FirstParagraph"/>
      </w:pPr>
      <w:r>
        <w:t xml:space="preserve">La tradición que nace con Pico desembocó, a finales del siglo XVIII,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bookmarkStart w:id="53" w:name="ref-04-2"/>
      <w:hyperlink w:anchor="nota-04-2">
        <w:r>
          <w:rPr>
            <w:rStyle w:val="Hyperlink"/>
            <w:vertAlign w:val="superscript"/>
          </w:rPr>
          <w:t xml:space="preserve">2</w:t>
        </w:r>
      </w:hyperlink>
      <w:bookmarkEnd w:id="53"/>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bookmarkStart w:id="54" w:name="ref-04-3"/>
      <w:hyperlink w:anchor="nota-04-3">
        <w:r>
          <w:rPr>
            <w:rStyle w:val="Hyperlink"/>
            <w:vertAlign w:val="superscript"/>
          </w:rPr>
          <w:t xml:space="preserve">3</w:t>
        </w:r>
      </w:hyperlink>
      <w:bookmarkEnd w:id="54"/>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bookmarkStart w:id="55" w:name="ref-04-4"/>
      <w:hyperlink w:anchor="nota-04-4">
        <w:r>
          <w:rPr>
            <w:rStyle w:val="Hyperlink"/>
            <w:vertAlign w:val="superscript"/>
          </w:rPr>
          <w:t xml:space="preserve">4</w:t>
        </w:r>
      </w:hyperlink>
      <w:bookmarkEnd w:id="55"/>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bookmarkStart w:id="56" w:name="ref-04-5"/>
      <w:hyperlink w:anchor="nota-04-5">
        <w:r>
          <w:rPr>
            <w:rStyle w:val="Hyperlink"/>
            <w:vertAlign w:val="superscript"/>
          </w:rPr>
          <w:t xml:space="preserve">5</w:t>
        </w:r>
      </w:hyperlink>
      <w:bookmarkEnd w:id="56"/>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r>
        <w:pict>
          <v:rect style="width:0;height:1.5pt" o:hralign="center" o:hrstd="t" o:hr="t"/>
        </w:pict>
      </w:r>
    </w:p>
    <w:p>
      <w:pPr>
        <w:pStyle w:val="FirstParagraph"/>
      </w:pPr>
      <w:r>
        <w:t xml:space="preserve">En 1784 Kant respondió a la pregunta «¿Qué es la Ilustración?» con una definición que todavía se copia en las pizarras.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bookmarkStart w:id="57" w:name="ref-04-6"/>
      <w:hyperlink w:anchor="nota-04-6">
        <w:r>
          <w:rPr>
            <w:rStyle w:val="Hyperlink"/>
            <w:vertAlign w:val="superscript"/>
          </w:rPr>
          <w:t xml:space="preserve">6</w:t>
        </w:r>
      </w:hyperlink>
      <w:bookmarkEnd w:id="57"/>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r>
        <w:pict>
          <v:rect style="width:0;height:1.5pt" o:hralign="center" o:hrstd="t" o:hr="t"/>
        </w:pict>
      </w:r>
    </w:p>
    <w:p>
      <w:pPr>
        <w:pStyle w:val="FirstParagraph"/>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bookmarkStart w:id="58" w:name="ref-04-7"/>
      <w:hyperlink w:anchor="nota-04-7">
        <w:r>
          <w:rPr>
            <w:rStyle w:val="Hyperlink"/>
            <w:vertAlign w:val="superscript"/>
          </w:rPr>
          <w:t xml:space="preserve">7</w:t>
        </w:r>
      </w:hyperlink>
      <w:bookmarkEnd w:id="58"/>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r>
        <w:pict>
          <v:rect style="width:0;height:1.5pt" o:hralign="center" o:hrstd="t" o:hr="t"/>
        </w:pict>
      </w:r>
    </w:p>
    <w:p>
      <w:pPr>
        <w:pStyle w:val="FirstParagraph"/>
      </w:pPr>
      <w:r>
        <w:t xml:space="preserve">Hasta aquí, la figura podría quedarse en una metáfora. Lo que las plataformas han hecho es darle instrumentos.</w:t>
      </w:r>
    </w:p>
    <w:p>
      <w:pPr>
        <w:pStyle w:val="BodyText"/>
      </w:pPr>
      <w:r>
        <w:t xml:space="preserve">Pensemos otra vez en la chica del primer capítulo, la del gráfico de barras. La plataforma de su instituto le enseña cada semana su porcentaje de entregas, su media en cada asignatura, su posición respecto del grupo. Nadie le pide que se compare: los números se comparan solos. Una empresa necesita un cuadro de mando para saber cómo va, y ella tiene uno en el bolsillo. Antes el balance llegaba con el boletín trimestral, y uno podía olvidarse de él durante semanas. Ahora está disponible a cualquier hora, se actualiza con cada tarea y se puede consultar de noche, a solas, cuando ya no hay nadie que ayude a leerlo.</w:t>
      </w:r>
    </w:p>
    <w:p>
      <w:pPr>
        <w:pStyle w:val="BodyText"/>
      </w:pPr>
      <w:r>
        <w:t xml:space="preserve">Esta es, me parece, la contribución específica de las plataformas a la formación del empresario de sí. La racionalidad neoliberal le dijo al alumno que gestionara su rendimiento. La plataforma le dio los datos para hacerlo de forma continua, con la misma precisión con que se sigue una cotización. Y como cada gesto queda registrado, la gestión no tiene pausa. La pedagogía de la huella y la ética del rendimiento se necesitan mutuamente: una produce los rastros y la otra enseña a vivirlos como un balance personal.</w:t>
      </w:r>
    </w:p>
    <w:p>
      <w:r>
        <w:pict>
          <v:rect style="width:0;height:1.5pt" o:hralign="center" o:hrstd="t" o:hr="t"/>
        </w:pict>
      </w:r>
    </w:p>
    <w:p>
      <w:pPr>
        <w:pStyle w:val="FirstParagraph"/>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bookmarkStart w:id="59" w:name="ref-04-8"/>
      <w:hyperlink w:anchor="nota-04-8">
        <w:r>
          <w:rPr>
            <w:rStyle w:val="Hyperlink"/>
            <w:vertAlign w:val="superscript"/>
          </w:rPr>
          <w:t xml:space="preserve">8</w:t>
        </w:r>
      </w:hyperlink>
      <w:bookmarkEnd w:id="59"/>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r>
        <w:pict>
          <v:rect style="width:0;height:1.5pt" o:hralign="center" o:hrstd="t" o:hr="t"/>
        </w:pict>
      </w:r>
    </w:p>
    <w:p>
      <w:pPr>
        <w:pStyle w:val="FirstParagraph"/>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bookmarkStart w:id="60" w:name="ref-04-9"/>
      <w:hyperlink w:anchor="nota-04-9">
        <w:r>
          <w:rPr>
            <w:rStyle w:val="Hyperlink"/>
            <w:vertAlign w:val="superscript"/>
          </w:rPr>
          <w:t xml:space="preserve">9</w:t>
        </w:r>
      </w:hyperlink>
      <w:bookmarkEnd w:id="60"/>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r>
        <w:pict>
          <v:rect style="width:0;height:1.5pt" o:hralign="center" o:hrstd="t" o:hr="t"/>
        </w:pict>
      </w:r>
    </w:p>
    <w:p>
      <w:pPr>
        <w:pStyle w:val="FirstParagraph"/>
      </w:pPr>
      <w:r>
        <w:t xml:space="preserve">¿Cómo se llega a desear este gobierno? El investigador Engin Atasay ha propuesto que la escolarización neoliberal enseña a desear la carencia.</w:t>
      </w:r>
      <w:bookmarkStart w:id="61" w:name="ref-04-10"/>
      <w:hyperlink w:anchor="nota-04-10">
        <w:r>
          <w:rPr>
            <w:rStyle w:val="Hyperlink"/>
            <w:vertAlign w:val="superscript"/>
          </w:rPr>
          <w:t xml:space="preserve">10</w:t>
        </w:r>
      </w:hyperlink>
      <w:bookmarkEnd w:id="61"/>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r>
        <w:pict>
          <v:rect style="width:0;height:1.5pt" o:hralign="center" o:hrstd="t" o:hr="t"/>
        </w:pict>
      </w:r>
    </w:p>
    <w:p>
      <w:pPr>
        <w:pStyle w:val="FirstParagraph"/>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bookmarkStart w:id="62" w:name="ref-04-11"/>
      <w:hyperlink w:anchor="nota-04-11">
        <w:r>
          <w:rPr>
            <w:rStyle w:val="Hyperlink"/>
            <w:vertAlign w:val="superscript"/>
          </w:rPr>
          <w:t xml:space="preserve">11</w:t>
        </w:r>
      </w:hyperlink>
      <w:bookmarkEnd w:id="62"/>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Nadie le ha dicho que se le evalúa por eso, y sin embargo aprende pronto que esos rastros son lo que se ve de su trabajo. Lo invisible, la conversación con un alumno que lo estaba pasando mal o la clase que salió bien porque se apartó del guion, no deja huella.</w:t>
      </w:r>
    </w:p>
    <w:p>
      <w:r>
        <w:pict>
          <v:rect style="width:0;height:1.5pt" o:hralign="center" o:hrstd="t" o:hr="t"/>
        </w:pict>
      </w:r>
    </w:p>
    <w:p>
      <w:pPr>
        <w:pStyle w:val="FirstParagraph"/>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3"/>
    <w:bookmarkStart w:id="77" w:name="ser-visto"/>
    <w:p>
      <w:pPr>
        <w:pStyle w:val="Heading1"/>
      </w:pPr>
      <w:r>
        <w:t xml:space="preserve">5. Ser visto</w:t>
      </w:r>
    </w:p>
    <w:p>
      <w:pPr>
        <w:pStyle w:val="FirstParagraph"/>
      </w:pPr>
      <w:r>
        <w:t xml:space="preserve">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w:t>
      </w:r>
    </w:p>
    <w:p>
      <w:pPr>
        <w:pStyle w:val="BodyText"/>
      </w:pPr>
      <w:r>
        <w:t xml:space="preserve">Lo que esa notificación tiene de nuevo es la técnica. Lo que tiene de viejo es el deseo de conocer el interior de alguien para conducirlo, y para encontrar su origen hay que retroceder mucho, hasta un diálogo que Agustín de Hipona escribió con su hijo.</w:t>
      </w:r>
    </w:p>
    <w:p>
      <w:r>
        <w:pict>
          <v:rect style="width:0;height:1.5pt" o:hralign="center" o:hrstd="t" o:hr="t"/>
        </w:pict>
      </w:r>
    </w:p>
    <w:p>
      <w:pPr>
        <w:pStyle w:val="FirstParagraph"/>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bookmarkStart w:id="64" w:name="ref-05-1"/>
      <w:hyperlink w:anchor="nota-05-1">
        <w:r>
          <w:rPr>
            <w:rStyle w:val="Hyperlink"/>
            <w:vertAlign w:val="superscript"/>
          </w:rPr>
          <w:t xml:space="preserve">1</w:t>
        </w:r>
      </w:hyperlink>
      <w:bookmarkEnd w:id="64"/>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descubre un territorio, la interioridad, y con él un lugar que habrá que examinar, vigilar y confesar. Pocos años después escribió las</w:t>
      </w:r>
      <w:r>
        <w:t xml:space="preserve"> </w:t>
      </w:r>
      <w:r>
        <w:rPr>
          <w:iCs/>
          <w:i/>
        </w:rPr>
        <w:t xml:space="preserve">Confesiones</w:t>
      </w:r>
      <w:r>
        <w:t xml:space="preserve">, el gran monumento de ese descubrimiento. A partir de ahí la educación querrá llegar a las intenciones, los deseos y los pensamientos, y para gobernar lo invisible primero hay que volverlo visible.</w:t>
      </w:r>
    </w:p>
    <w:p>
      <w:r>
        <w:pict>
          <v:rect style="width:0;height:1.5pt" o:hralign="center" o:hrstd="t" o:hr="t"/>
        </w:pict>
      </w:r>
    </w:p>
    <w:p>
      <w:pPr>
        <w:pStyle w:val="FirstParagraph"/>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bookmarkStart w:id="65" w:name="ref-05-2"/>
      <w:hyperlink w:anchor="nota-05-2">
        <w:r>
          <w:rPr>
            <w:rStyle w:val="Hyperlink"/>
            <w:vertAlign w:val="superscript"/>
          </w:rPr>
          <w:t xml:space="preserve">2</w:t>
        </w:r>
      </w:hyperlink>
      <w:bookmarkEnd w:id="65"/>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r>
        <w:pict>
          <v:rect style="width:0;height:1.5pt" o:hralign="center" o:hrstd="t" o:hr="t"/>
        </w:pict>
      </w:r>
    </w:p>
    <w:p>
      <w:pPr>
        <w:pStyle w:val="FirstParagraph"/>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bookmarkStart w:id="66" w:name="ref-05-3"/>
      <w:hyperlink w:anchor="nota-05-3">
        <w:r>
          <w:rPr>
            <w:rStyle w:val="Hyperlink"/>
            <w:vertAlign w:val="superscript"/>
          </w:rPr>
          <w:t xml:space="preserve">3</w:t>
        </w:r>
      </w:hyperlink>
      <w:bookmarkEnd w:id="66"/>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bookmarkStart w:id="67" w:name="ref-05-4"/>
      <w:hyperlink w:anchor="nota-05-4">
        <w:r>
          <w:rPr>
            <w:rStyle w:val="Hyperlink"/>
            <w:vertAlign w:val="superscript"/>
          </w:rPr>
          <w:t xml:space="preserve">4</w:t>
        </w:r>
      </w:hyperlink>
      <w:bookmarkEnd w:id="67"/>
      <w:r>
        <w:t xml:space="preserve"> </w:t>
      </w:r>
      <w:r>
        <w:t xml:space="preserve">La lista de clase, el registro de faltas y méritos, la nota numérica y la división en niveles nos parecen obvios. Tienen una historia, la de una mirada que aprendió a convertir personas en expedientes.</w:t>
      </w:r>
    </w:p>
    <w:p>
      <w:r>
        <w:pict>
          <v:rect style="width:0;height:1.5pt" o:hralign="center" o:hrstd="t" o:hr="t"/>
        </w:pict>
      </w:r>
    </w:p>
    <w:p>
      <w:pPr>
        <w:pStyle w:val="FirstParagraph"/>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Ya no se distingue el momento de aprender del momento de ser evaluado. A este proceso se le llama datificación, y Ben Williamson ha mostrado cómo los datos se han convertido en una pieza central del gobierno de la educación, desde el aula hasta el ministerio.</w:t>
      </w:r>
      <w:bookmarkStart w:id="68" w:name="ref-05-5"/>
      <w:hyperlink w:anchor="nota-05-5">
        <w:r>
          <w:rPr>
            <w:rStyle w:val="Hyperlink"/>
            <w:vertAlign w:val="superscript"/>
          </w:rPr>
          <w:t xml:space="preserve">5</w:t>
        </w:r>
      </w:hyperlink>
      <w:bookmarkEnd w:id="68"/>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las 23:58. El panóptico necesitaba una torre. La pedagogía de la huella solo necesita que cada gesto pase por la plataforma.</w:t>
      </w:r>
    </w:p>
    <w:p>
      <w:pPr>
        <w:pStyle w:val="BodyText"/>
      </w:pPr>
      <w:r>
        <w:t xml:space="preserve">Esa mirada acaba llegando a las reuniones donde se decide sobre los alumnos. En muchas juntas de evaluación la conversación ya empieza con una pantalla proyectada: medias por materia, porcentajes de entrega, colores que marcan a quién hay que prestar atención. Lo que no figura en la tabla tiene que defenderse de palabra, y pesa menos.</w:t>
      </w:r>
    </w:p>
    <w:p>
      <w:r>
        <w:pict>
          <v:rect style="width:0;height:1.5pt" o:hralign="center" o:hrstd="t" o:hr="t"/>
        </w:pict>
      </w:r>
    </w:p>
    <w:p>
      <w:pPr>
        <w:pStyle w:val="FirstParagraph"/>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cursar al menos dos asignaturas con semáforo aumentaba en un 21 % la tasa de graduación a seis años. Poco después, varios analistas, entre ellos Michael Caulfield y Alfred Essa, señalaron un problema de método: quien permanece más tiempo en la universidad cursa más asignaturas, y por tanto más asignaturas con semáforo. Parte del efecto podía deberse a esa simple correlación.</w:t>
      </w:r>
      <w:bookmarkStart w:id="69" w:name="ref-05-6"/>
      <w:hyperlink w:anchor="nota-05-6">
        <w:r>
          <w:rPr>
            <w:rStyle w:val="Hyperlink"/>
            <w:vertAlign w:val="superscript"/>
          </w:rPr>
          <w:t xml:space="preserve">6</w:t>
        </w:r>
      </w:hyperlink>
      <w:bookmarkEnd w:id="69"/>
      <w:r>
        <w:t xml:space="preserve"> </w:t>
      </w:r>
      <w:r>
        <w:t xml:space="preserve">El semáforo, tan nítido en la pantalla, no demostraba lo que parecía.</w:t>
      </w:r>
    </w:p>
    <w:p>
      <w:pPr>
        <w:pStyle w:val="BodyText"/>
      </w:pPr>
      <w:r>
        <w:t xml:space="preserve">La Universidad Estatal de Georgia, en Atlanta, siguió un camino distinto. A partir de 2012 analizó millones de calificaciones de antiguos estudiantes para definir más de setecientas señales de alerta, como suspender una asignatura clave para la carrera elegida. Cada alerta no producía un mensaje automático sino una conversación con un asesor. Para que eso fuera posible la universidad contrató a más de cuarenta asesores nuevos y redujo la carga de cada uno a unos trescientos estudiantes. Según sus propios informes, la tasa de graduación subió y se cerraron las diferencias por origen étnico y por renta.</w:t>
      </w:r>
      <w:bookmarkStart w:id="70" w:name="ref-05-7"/>
      <w:hyperlink w:anchor="nota-05-7">
        <w:r>
          <w:rPr>
            <w:rStyle w:val="Hyperlink"/>
            <w:vertAlign w:val="superscript"/>
          </w:rPr>
          <w:t xml:space="preserve">7</w:t>
        </w:r>
      </w:hyperlink>
      <w:bookmarkEnd w:id="70"/>
    </w:p>
    <w:p>
      <w:pPr>
        <w:pStyle w:val="BodyText"/>
      </w:pPr>
      <w:r>
        <w:t xml:space="preserve">Los dos casos enseñan algo que el debate suele pasar por alto. Lo decisivo no es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r>
        <w:pict>
          <v:rect style="width:0;height:1.5pt" o:hralign="center" o:hrstd="t" o:hr="t"/>
        </w:pict>
      </w:r>
    </w:p>
    <w:p>
      <w:pPr>
        <w:pStyle w:val="FirstParagraph"/>
      </w:pPr>
      <w:r>
        <w:t xml:space="preserve">En Europa esta pregunta ya ha pasado por las autoridades de protección de datos, y el caso más instructivo es el de Dinamarca.</w:t>
      </w:r>
    </w:p>
    <w:p>
      <w:pPr>
        <w:pStyle w:val="BodyText"/>
      </w:pPr>
      <w:r>
        <w:t xml:space="preserve">En 2019 un padre de Helsingør, al norte de Copenhague, presentó una queja porque desde el Chromebook que la escuela había dado a su hijo se había creado una cuenta de YouTube con el nombre del niño. La autoridad danesa de protección de datos, Datatilsynet, investigó, y en julio de 2022 prohibió provisionalmente al municipio usar Google Workspace y los Chromebooks en sus escuelas, porque no había evaluado como exige el reglamento europeo los riesgos de ese tratamiento, entre ellos la posible transferencia de datos de los alumnos a Estados Unidos.</w:t>
      </w:r>
      <w:bookmarkStart w:id="71" w:name="ref-05-8"/>
      <w:hyperlink w:anchor="nota-05-8">
        <w:r>
          <w:rPr>
            <w:rStyle w:val="Hyperlink"/>
            <w:vertAlign w:val="superscript"/>
          </w:rPr>
          <w:t xml:space="preserve">8</w:t>
        </w:r>
      </w:hyperlink>
      <w:bookmarkEnd w:id="71"/>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las condiciones y las escuelas danesas siguen usando Google.</w:t>
      </w:r>
    </w:p>
    <w:p>
      <w:pPr>
        <w:pStyle w:val="BodyText"/>
      </w:pPr>
      <w:r>
        <w:t xml:space="preserve">El caso me parece ejemplar precisamente porque no acaba en una expulsión. Muestra que la pregunta decisiva no era si usar o no una plataforma, sino para qué se usan las huellas que deja quien la usa.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w:t>
      </w:r>
      <w:bookmarkStart w:id="72" w:name="ref-05-9"/>
      <w:hyperlink w:anchor="nota-05-9">
        <w:r>
          <w:rPr>
            <w:rStyle w:val="Hyperlink"/>
            <w:vertAlign w:val="superscript"/>
          </w:rPr>
          <w:t xml:space="preserve">9</w:t>
        </w:r>
      </w:hyperlink>
      <w:bookmarkEnd w:id="72"/>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r>
        <w:pict>
          <v:rect style="width:0;height:1.5pt" o:hralign="center" o:hrstd="t" o:hr="t"/>
        </w:pict>
      </w:r>
    </w:p>
    <w:p>
      <w:pPr>
        <w:pStyle w:val="FirstParagraph"/>
      </w:pPr>
      <w:r>
        <w:t xml:space="preserve">En 1990 Gilles Deleuze publicó un texto de apenas unas páginas, el «Post-scriptum sobre las sociedades de control», que hoy parece una profecía.</w:t>
      </w:r>
      <w:bookmarkStart w:id="73" w:name="ref-05-10"/>
      <w:hyperlink w:anchor="nota-05-10">
        <w:r>
          <w:rPr>
            <w:rStyle w:val="Hyperlink"/>
            <w:vertAlign w:val="superscript"/>
          </w:rPr>
          <w:t xml:space="preserve">10</w:t>
        </w:r>
      </w:hyperlink>
      <w:bookmarkEnd w:id="73"/>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r>
        <w:pict>
          <v:rect style="width:0;height:1.5pt" o:hralign="center" o:hrstd="t" o:hr="t"/>
        </w:pict>
      </w:r>
    </w:p>
    <w:p>
      <w:pPr>
        <w:pStyle w:val="FirstParagraph"/>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Para personalizar, sin embargo, hay que conocer, y para conocer hay que registrar, así que personalización y vigilancia van juntas.</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bookmarkStart w:id="74" w:name="ref-05-11"/>
      <w:hyperlink w:anchor="nota-05-11">
        <w:r>
          <w:rPr>
            <w:rStyle w:val="Hyperlink"/>
            <w:vertAlign w:val="superscript"/>
          </w:rPr>
          <w:t xml:space="preserve">11</w:t>
        </w:r>
      </w:hyperlink>
      <w:bookmarkEnd w:id="74"/>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que ninguna institución pública controla. El poder pastoral quería conocer las almas para salvarlas. Las plataformas comerciales las conocen para anticiparlas, y anticiparlas es ya empezar a orientarlas.</w:t>
      </w:r>
    </w:p>
    <w:p>
      <w:pPr>
        <w:pStyle w:val="BodyText"/>
      </w:pPr>
      <w:r>
        <w:t xml:space="preserve">La Unión Europea ha trazado aquí una línea significativa.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bookmarkStart w:id="75" w:name="ref-05-12"/>
      <w:hyperlink w:anchor="nota-05-12">
        <w:r>
          <w:rPr>
            <w:rStyle w:val="Hyperlink"/>
            <w:vertAlign w:val="superscript"/>
          </w:rPr>
          <w:t xml:space="preserve">12</w:t>
        </w:r>
      </w:hyperlink>
      <w:bookmarkEnd w:id="75"/>
      <w:r>
        <w:t xml:space="preserve"> </w:t>
      </w:r>
      <w:r>
        <w:t xml:space="preserve">El legislador europeo llegó a la misma conclusión que este capítulo por otro camino: hay una parte del alumno que la escuela no tiene derecho a leer.</w:t>
      </w:r>
    </w:p>
    <w:p>
      <w:pPr>
        <w:pStyle w:val="BodyText"/>
      </w:pPr>
      <w:r>
        <w:t xml:space="preserve">Hay además un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se debilita además lo que tienen en común.</w:t>
      </w:r>
    </w:p>
    <w:p>
      <w:r>
        <w:pict>
          <v:rect style="width:0;height:1.5pt" o:hralign="center" o:hrstd="t" o:hr="t"/>
        </w:pict>
      </w:r>
    </w:p>
    <w:p>
      <w:pPr>
        <w:pStyle w:val="FirstParagraph"/>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bookmarkStart w:id="76" w:name="ref-05-13"/>
      <w:hyperlink w:anchor="nota-05-13">
        <w:r>
          <w:rPr>
            <w:rStyle w:val="Hyperlink"/>
            <w:vertAlign w:val="superscript"/>
          </w:rPr>
          <w:t xml:space="preserve">13</w:t>
        </w:r>
      </w:hyperlink>
      <w:bookmarkEnd w:id="76"/>
      <w:r>
        <w:t xml:space="preserve"> </w:t>
      </w:r>
      <w:r>
        <w:t xml:space="preserve">Aprender es en buena parte equivocarse, y equivocarse requiere un sitio donde el error no quede guardado para siempre. Un alumno que sabe que cada error se registra aprende a no arriesgar. La vigilancia constante produce gente prudente, que se censura sola.</w:t>
      </w:r>
    </w:p>
    <w:p>
      <w:pPr>
        <w:pStyle w:val="BodyText"/>
      </w:pPr>
      <w:r>
        <w:t xml:space="preserve">Este es, para mí, el reverso más grave de la pedagogía de la huella. Una escuela que solo reconoce lo que deja rastro enseña que lo que no se ve no existe, y priva al alumno del derecho a tener una parte de su formación que no le pertenece a nadie más.</w:t>
      </w:r>
    </w:p>
    <w:p>
      <w:r>
        <w:pict>
          <v:rect style="width:0;height:1.5pt" o:hralign="center" o:hrstd="t" o:hr="t"/>
        </w:pict>
      </w:r>
    </w:p>
    <w:p>
      <w:pPr>
        <w:pStyle w:val="FirstParagraph"/>
      </w:pPr>
      <w:r>
        <w:t xml:space="preserve">Del maestro interior de Agustín a la notificación de las nueve y veinte corre un hilo continuo, el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77"/>
    <w:bookmarkStart w:id="93"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bookmarkStart w:id="78" w:name="ref-06-1"/>
      <w:hyperlink w:anchor="nota-06-1">
        <w:r>
          <w:rPr>
            <w:rStyle w:val="Hyperlink"/>
            <w:vertAlign w:val="superscript"/>
          </w:rPr>
          <w:t xml:space="preserve">1</w:t>
        </w:r>
      </w:hyperlink>
      <w:bookmarkEnd w:id="78"/>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bookmarkStart w:id="79" w:name="ref-06-2"/>
      <w:hyperlink w:anchor="nota-06-2">
        <w:r>
          <w:rPr>
            <w:rStyle w:val="Hyperlink"/>
            <w:vertAlign w:val="superscript"/>
          </w:rPr>
          <w:t xml:space="preserve">2</w:t>
        </w:r>
      </w:hyperlink>
      <w:bookmarkEnd w:id="79"/>
      <w:r>
        <w:t xml:space="preserve"> </w:t>
      </w:r>
      <w:r>
        <w:t xml:space="preserve">La escritura amplía nuestras capacidades y puede atrofiarlas. Lo que haga depende del cuidado con que se administre, y esa idea, que vale para todas las técnicas, es la que guía este capítulo.</w:t>
      </w:r>
    </w:p>
    <w:p>
      <w:r>
        <w:pict>
          <v:rect style="width:0;height:1.5pt" o:hralign="center" o:hrstd="t" o:hr="t"/>
        </w:pict>
      </w:r>
    </w:p>
    <w:p>
      <w:pPr>
        <w:pStyle w:val="FirstParagraph"/>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bookmarkStart w:id="80" w:name="ref-06-3"/>
      <w:hyperlink w:anchor="nota-06-3">
        <w:r>
          <w:rPr>
            <w:rStyle w:val="Hyperlink"/>
            <w:vertAlign w:val="superscript"/>
          </w:rPr>
          <w:t xml:space="preserve">3</w:t>
        </w:r>
      </w:hyperlink>
      <w:bookmarkEnd w:id="80"/>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r>
        <w:pict>
          <v:rect style="width:0;height:1.5pt" o:hralign="center" o:hrstd="t" o:hr="t"/>
        </w:pict>
      </w:r>
    </w:p>
    <w:p>
      <w:pPr>
        <w:pStyle w:val="FirstParagraph"/>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bookmarkStart w:id="81" w:name="ref-06-4"/>
      <w:hyperlink w:anchor="nota-06-4">
        <w:r>
          <w:rPr>
            <w:rStyle w:val="Hyperlink"/>
            <w:vertAlign w:val="superscript"/>
          </w:rPr>
          <w:t xml:space="preserve">4</w:t>
        </w:r>
      </w:hyperlink>
      <w:bookmarkEnd w:id="81"/>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Las plataformas son la realización tardía de ese sueño. Secuencian contenidos, cronometran, comprueban resultados y ajustan el paso siguiente con una precisión que Comenio solo podía imaginar. Lo que él no previó es que el reloj podía tener dueño.</w:t>
      </w:r>
    </w:p>
    <w:p>
      <w:r>
        <w:pict>
          <v:rect style="width:0;height:1.5pt" o:hralign="center" o:hrstd="t" o:hr="t"/>
        </w:pict>
      </w:r>
    </w:p>
    <w:p>
      <w:pPr>
        <w:pStyle w:val="FirstParagraph"/>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bookmarkStart w:id="82" w:name="ref-06-5"/>
      <w:hyperlink w:anchor="nota-06-5">
        <w:r>
          <w:rPr>
            <w:rStyle w:val="Hyperlink"/>
            <w:vertAlign w:val="superscript"/>
          </w:rPr>
          <w:t xml:space="preserve">5</w:t>
        </w:r>
      </w:hyperlink>
      <w:bookmarkEnd w:id="82"/>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bookmarkStart w:id="83" w:name="ref-06-6"/>
      <w:hyperlink w:anchor="nota-06-6">
        <w:r>
          <w:rPr>
            <w:rStyle w:val="Hyperlink"/>
            <w:vertAlign w:val="superscript"/>
          </w:rPr>
          <w:t xml:space="preserve">6</w:t>
        </w:r>
      </w:hyperlink>
      <w:bookmarkEnd w:id="83"/>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r>
        <w:pict>
          <v:rect style="width:0;height:1.5pt" o:hralign="center" o:hrstd="t" o:hr="t"/>
        </w:pict>
      </w:r>
    </w:p>
    <w:p>
      <w:pPr>
        <w:pStyle w:val="FirstParagraph"/>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que usaban el ordenador en la escuela con moderación obtenían resultados algo mejores que los que apenas lo usaban, y los que lo usaban con mucha frecuencia los obtenían bastante peores, incluso teniendo en cuenta su origen social. Los países que más habían invertido en tecnología educativa no mostraban mejoras apreciables en lectura, matemáticas o ciencias.</w:t>
      </w:r>
      <w:bookmarkStart w:id="84" w:name="ref-06-7"/>
      <w:hyperlink w:anchor="nota-06-7">
        <w:r>
          <w:rPr>
            <w:rStyle w:val="Hyperlink"/>
            <w:vertAlign w:val="superscript"/>
          </w:rPr>
          <w:t xml:space="preserve">7</w:t>
        </w:r>
      </w:hyperlink>
      <w:bookmarkEnd w:id="84"/>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puntuaban más que quienes no los usaban nada, y la diferencia más grande aparecía en el uso recreativo: hasta una hora diaria se asociaba a resultados muy superiores a los de quienes pasaban entre cinco y siete horas.</w:t>
      </w:r>
      <w:bookmarkStart w:id="85" w:name="ref-06-8"/>
      <w:hyperlink w:anchor="nota-06-8">
        <w:r>
          <w:rPr>
            <w:rStyle w:val="Hyperlink"/>
            <w:vertAlign w:val="superscript"/>
          </w:rPr>
          <w:t xml:space="preserve">8</w:t>
        </w:r>
      </w:hyperlink>
      <w:bookmarkEnd w:id="85"/>
      <w:r>
        <w:t xml:space="preserve"> </w:t>
      </w:r>
      <w:r>
        <w:t xml:space="preserve">La conclusión razonable es que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Hay pruebas de que algunas tecnologías ayudan a algunos aprendizajes en algunos contextos, pero la evidencia sólida e independiente escasea, y buena parte de la disponible procede de quienes venden los productos. Los productos cambian tan deprisa que su evaluación no da abasto, y los costes a largo plazo se subestiman. El informe pide que, antes de adoptar una tecnología, se pregunte si es adecuada al contexto, equitativa, escalable y sostenible, y que nunca sustituya a la enseñanza presencial guiada por docentes.</w:t>
      </w:r>
      <w:bookmarkStart w:id="86" w:name="ref-06-9"/>
      <w:hyperlink w:anchor="nota-06-9">
        <w:r>
          <w:rPr>
            <w:rStyle w:val="Hyperlink"/>
            <w:vertAlign w:val="superscript"/>
          </w:rPr>
          <w:t xml:space="preserve">9</w:t>
        </w:r>
      </w:hyperlink>
      <w:bookmarkEnd w:id="86"/>
    </w:p>
    <w:p>
      <w:r>
        <w:pict>
          <v:rect style="width:0;height:1.5pt" o:hralign="center" o:hrstd="t" o:hr="t"/>
        </w:pict>
      </w:r>
    </w:p>
    <w:p>
      <w:pPr>
        <w:pStyle w:val="FirstParagraph"/>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que al menos 463 millones de niños no pudieron seguir ninguna forma de enseñanza a distancia.</w:t>
      </w:r>
      <w:bookmarkStart w:id="87" w:name="ref-06-10"/>
      <w:hyperlink w:anchor="nota-06-10">
        <w:r>
          <w:rPr>
            <w:rStyle w:val="Hyperlink"/>
            <w:vertAlign w:val="superscript"/>
          </w:rPr>
          <w:t xml:space="preserve">10</w:t>
        </w:r>
      </w:hyperlink>
      <w:bookmarkEnd w:id="87"/>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r>
        <w:pict>
          <v:rect style="width:0;height:1.5pt" o:hralign="center" o:hrstd="t" o:hr="t"/>
        </w:pict>
      </w:r>
    </w:p>
    <w:p>
      <w:pPr>
        <w:pStyle w:val="FirstParagraph"/>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Durante dos décadas la escuela se acostumbró a reconocer el aprendizaje por sus rastros: la tarea entregada, el texto subido, el ejercicio resuelto. La inteligencia artificial generativa produce esos rastros sin que nadie haya recorrido el camino que se suponía detrás. La huella se ha independizado del paso. Una escuela que solo sabía leer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a redacciones escritas por estudiantes no nativos de inglés para el examen TOEFL y encontró que, de media, los detectores clasificaban como generadas por una máquina el 61 % de ellas, aunque las habían escrito personas.</w:t>
      </w:r>
      <w:bookmarkStart w:id="88" w:name="ref-06-11"/>
      <w:hyperlink w:anchor="nota-06-11">
        <w:r>
          <w:rPr>
            <w:rStyle w:val="Hyperlink"/>
            <w:vertAlign w:val="superscript"/>
          </w:rPr>
          <w:t xml:space="preserve">11</w:t>
        </w:r>
      </w:hyperlink>
      <w:bookmarkEnd w:id="88"/>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Incluso con la tasa de falsos positivos del 1 % que anunciaba la empresa, eso habría supuesto unas setecientas cincuenta acusaciones injustas sobre los setenta y cinco mil trabajos que la universidad había revisado el año anterior. La herramienta se había activado con menos de un día de aviso y no explicaba cómo llegaba a sus conclusiones.</w:t>
      </w:r>
      <w:bookmarkStart w:id="89" w:name="ref-06-12"/>
      <w:hyperlink w:anchor="nota-06-12">
        <w:r>
          <w:rPr>
            <w:rStyle w:val="Hyperlink"/>
            <w:vertAlign w:val="superscript"/>
          </w:rPr>
          <w:t xml:space="preserve">12</w:t>
        </w:r>
      </w:hyperlink>
      <w:bookmarkEnd w:id="89"/>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r>
        <w:pict>
          <v:rect style="width:0;height:1.5pt" o:hralign="center" o:hrstd="t" o:hr="t"/>
        </w:pict>
      </w:r>
    </w:p>
    <w:p>
      <w:pPr>
        <w:pStyle w:val="FirstParagraph"/>
      </w:pPr>
      <w:r>
        <w:t xml:space="preserve">Los primeros estudios rigurosos sobre su efecto en el aprendizaje apuntan en la misma dirección. En un experimento con cerca de mil estudiantes de secundaria en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bookmarkStart w:id="90" w:name="ref-06-13"/>
      <w:hyperlink w:anchor="nota-06-13">
        <w:r>
          <w:rPr>
            <w:rStyle w:val="Hyperlink"/>
            <w:vertAlign w:val="superscript"/>
          </w:rPr>
          <w:t xml:space="preserve">13</w:t>
        </w:r>
      </w:hyperlink>
      <w:bookmarkEnd w:id="90"/>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La diferencia no está en la potencia de la máquina, sino en lo que se le pide y en quién decide qué se le pide.</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bookmarkStart w:id="91" w:name="ref-06-14"/>
      <w:hyperlink w:anchor="nota-06-14">
        <w:r>
          <w:rPr>
            <w:rStyle w:val="Hyperlink"/>
            <w:vertAlign w:val="superscript"/>
          </w:rPr>
          <w:t xml:space="preserve">14</w:t>
        </w:r>
      </w:hyperlink>
      <w:bookmarkEnd w:id="91"/>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bookmarkStart w:id="92" w:name="ref-06-15"/>
      <w:hyperlink w:anchor="nota-06-15">
        <w:r>
          <w:rPr>
            <w:rStyle w:val="Hyperlink"/>
            <w:vertAlign w:val="superscript"/>
          </w:rPr>
          <w:t xml:space="preserve">15</w:t>
        </w:r>
      </w:hyperlink>
      <w:bookmarkEnd w:id="92"/>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no sirvió abolir la escritura para responder a Theuth.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r>
        <w:pict>
          <v:rect style="width:0;height:1.5pt" o:hralign="center" o:hrstd="t" o:hr="t"/>
        </w:pict>
      </w:r>
    </w:p>
    <w:p>
      <w:pPr>
        <w:pStyle w:val="FirstParagraph"/>
      </w:pPr>
      <w:r>
        <w:t xml:space="preserve">Junto estos hilos en unas pocas convicciones. Ninguna técnica es neutral: una plataforma que organiza el aprendizaje en tareas con fecha, nota y registro de actividad ya ha decidido qué es aprender antes de que ningún profesor la abra.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3"/>
    <w:bookmarkStart w:id="111"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Los romanos vivían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bookmarkStart w:id="94" w:name="ref-07-1"/>
      <w:hyperlink w:anchor="nota-07-1">
        <w:r>
          <w:rPr>
            <w:rStyle w:val="Hyperlink"/>
            <w:vertAlign w:val="superscript"/>
          </w:rPr>
          <w:t xml:space="preserve">1</w:t>
        </w:r>
      </w:hyperlink>
      <w:bookmarkEnd w:id="94"/>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r>
        <w:pict>
          <v:rect style="width:0;height:1.5pt" o:hralign="center" o:hrstd="t" o:hr="t"/>
        </w:pict>
      </w:r>
    </w:p>
    <w:p>
      <w:pPr>
        <w:pStyle w:val="FirstParagraph"/>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bookmarkStart w:id="95" w:name="ref-07-2"/>
      <w:hyperlink w:anchor="nota-07-2">
        <w:r>
          <w:rPr>
            <w:rStyle w:val="Hyperlink"/>
            <w:vertAlign w:val="superscript"/>
          </w:rPr>
          <w:t xml:space="preserve">2</w:t>
        </w:r>
      </w:hyperlink>
      <w:bookmarkEnd w:id="95"/>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bookmarkStart w:id="96" w:name="ref-07-3"/>
      <w:hyperlink w:anchor="nota-07-3">
        <w:r>
          <w:rPr>
            <w:rStyle w:val="Hyperlink"/>
            <w:vertAlign w:val="superscript"/>
          </w:rPr>
          <w:t xml:space="preserve">3</w:t>
        </w:r>
      </w:hyperlink>
      <w:bookmarkEnd w:id="96"/>
      <w:r>
        <w:t xml:space="preserve"> </w:t>
      </w:r>
      <w:r>
        <w:t xml:space="preserve">La metáfora tenía más de profecía de lo que él podía saber. Pocos años después de escribirla, la educación empezó a tratarse literalmente como una inversión.</w:t>
      </w:r>
    </w:p>
    <w:p>
      <w:r>
        <w:pict>
          <v:rect style="width:0;height:1.5pt" o:hralign="center" o:hrstd="t" o:hr="t"/>
        </w:pict>
      </w:r>
    </w:p>
    <w:p>
      <w:pPr>
        <w:pStyle w:val="FirstParagraph"/>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bookmarkStart w:id="97" w:name="ref-07-4"/>
      <w:hyperlink w:anchor="nota-07-4">
        <w:r>
          <w:rPr>
            <w:rStyle w:val="Hyperlink"/>
            <w:vertAlign w:val="superscript"/>
          </w:rPr>
          <w:t xml:space="preserve">4</w:t>
        </w:r>
      </w:hyperlink>
      <w:bookmarkEnd w:id="97"/>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llega tarde para más de veinte mil que murieron esperándola.</w:t>
      </w:r>
      <w:bookmarkStart w:id="98" w:name="ref-07-5"/>
      <w:hyperlink w:anchor="nota-07-5">
        <w:r>
          <w:rPr>
            <w:rStyle w:val="Hyperlink"/>
            <w:vertAlign w:val="superscript"/>
          </w:rPr>
          <w:t xml:space="preserve">5</w:t>
        </w:r>
      </w:hyperlink>
      <w:bookmarkEnd w:id="98"/>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r>
        <w:pict>
          <v:rect style="width:0;height:1.5pt" o:hralign="center" o:hrstd="t" o:hr="t"/>
        </w:pict>
      </w:r>
    </w:p>
    <w:p>
      <w:pPr>
        <w:pStyle w:val="FirstParagraph"/>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bookmarkStart w:id="99" w:name="ref-07-6"/>
      <w:hyperlink w:anchor="nota-07-6">
        <w:r>
          <w:rPr>
            <w:rStyle w:val="Hyperlink"/>
            <w:vertAlign w:val="superscript"/>
          </w:rPr>
          <w:t xml:space="preserve">6</w:t>
        </w:r>
      </w:hyperlink>
      <w:bookmarkEnd w:id="99"/>
    </w:p>
    <w:p>
      <w:pPr>
        <w:pStyle w:val="BodyText"/>
      </w:pPr>
      <w:r>
        <w:t xml:space="preserve">Los resultados son reales y parciales. Un estudio del Centro de Investigación Avanzada en Educación de la Universidad de Chile, publicado en 2026, estima que la segregación escolar cayó en torno a un 10 % entre 2015 y 2024 y alcanzó su nivel más bajo en dos décadas, y relaciona esa caída con el nuevo sistema de admisión; otros centros de estudio discuten que el efecto pueda atribuirse a la ley, y todos coinciden en que la segregación sigue siendo alta.</w:t>
      </w:r>
      <w:bookmarkStart w:id="100" w:name="ref-07-7"/>
      <w:hyperlink w:anchor="nota-07-7">
        <w:r>
          <w:rPr>
            <w:rStyle w:val="Hyperlink"/>
            <w:vertAlign w:val="superscript"/>
          </w:rPr>
          <w:t xml:space="preserve">7</w:t>
        </w:r>
      </w:hyperlink>
      <w:bookmarkEnd w:id="100"/>
      <w:r>
        <w:t xml:space="preserve"> </w:t>
      </w:r>
      <w:r>
        <w:t xml:space="preserve">El traspaso a los servicios locales avanza más despacio de lo previsto: a mediados de 2026 funcionaban treinta y seis de los setenta, el calendario original, que debía terminar en 2025, ya se había alargado, y el Congreso discutía cuando terminé este libro una propuesta para extenderlo hasta 2040. La reforma del crédito universitario, que pretende sustituir el sistema bancario por un fondo público, seguía detenida en el Senado mientras más de medio millón de deudores tenían la garantía estatal ya ejecutada por impago.</w:t>
      </w:r>
      <w:bookmarkStart w:id="101" w:name="ref-07-8"/>
      <w:hyperlink w:anchor="nota-07-8">
        <w:r>
          <w:rPr>
            <w:rStyle w:val="Hyperlink"/>
            <w:vertAlign w:val="superscript"/>
          </w:rPr>
          <w:t xml:space="preserve">8</w:t>
        </w:r>
      </w:hyperlink>
      <w:bookmarkEnd w:id="101"/>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r>
        <w:pict>
          <v:rect style="width:0;height:1.5pt" o:hralign="center" o:hrstd="t" o:hr="t"/>
        </w:pict>
      </w:r>
    </w:p>
    <w:p>
      <w:pPr>
        <w:pStyle w:val="FirstParagraph"/>
      </w:pPr>
      <w:r>
        <w:t xml:space="preserve">Lo que en Chile fue brutal, en otros países llegó poco a poco. Un mercado educativo necesita una moneda común para comparar a los proveedores, y esa moneda son los resultados de las pruebas estandarizadas publicados en rankings.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elige casi siempre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 rankings 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bookmarkStart w:id="102" w:name="ref-07-9"/>
      <w:hyperlink w:anchor="nota-07-9">
        <w:r>
          <w:rPr>
            <w:rStyle w:val="Hyperlink"/>
            <w:vertAlign w:val="superscript"/>
          </w:rPr>
          <w:t xml:space="preserve">9</w:t>
        </w:r>
      </w:hyperlink>
      <w:bookmarkEnd w:id="102"/>
      <w:r>
        <w:t xml:space="preserve"> </w:t>
      </w:r>
      <w:r>
        <w:t xml:space="preserve">Platón ya lo intuía frente a los sofistas: el saber que se compra es otro saber.</w:t>
      </w:r>
    </w:p>
    <w:p>
      <w:r>
        <w:pict>
          <v:rect style="width:0;height:1.5pt" o:hralign="center" o:hrstd="t" o:hr="t"/>
        </w:pict>
      </w:r>
    </w:p>
    <w:p>
      <w:pPr>
        <w:pStyle w:val="FirstParagraph"/>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 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bookmarkStart w:id="103" w:name="ref-07-10"/>
      <w:hyperlink w:anchor="nota-07-10">
        <w:r>
          <w:rPr>
            <w:rStyle w:val="Hyperlink"/>
            <w:vertAlign w:val="superscript"/>
          </w:rPr>
          <w:t xml:space="preserve">10</w:t>
        </w:r>
      </w:hyperlink>
      <w:bookmarkEnd w:id="103"/>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como dije al principio,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r>
        <w:pict>
          <v:rect style="width:0;height:1.5pt" o:hralign="center" o:hrstd="t" o:hr="t"/>
        </w:pict>
      </w:r>
    </w:p>
    <w:p>
      <w:pPr>
        <w:pStyle w:val="FirstParagraph"/>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bookmarkStart w:id="104" w:name="ref-07-11"/>
      <w:hyperlink w:anchor="nota-07-11">
        <w:r>
          <w:rPr>
            <w:rStyle w:val="Hyperlink"/>
            <w:vertAlign w:val="superscript"/>
          </w:rPr>
          <w:t xml:space="preserve">11</w:t>
        </w:r>
      </w:hyperlink>
      <w:bookmarkEnd w:id="104"/>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bookmarkStart w:id="105" w:name="ref-07-12"/>
      <w:hyperlink w:anchor="nota-07-12">
        <w:r>
          <w:rPr>
            <w:rStyle w:val="Hyperlink"/>
            <w:vertAlign w:val="superscript"/>
          </w:rPr>
          <w:t xml:space="preserve">12</w:t>
        </w:r>
      </w:hyperlink>
      <w:bookmarkEnd w:id="105"/>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bookmarkStart w:id="106" w:name="ref-07-13"/>
      <w:hyperlink w:anchor="nota-07-13">
        <w:r>
          <w:rPr>
            <w:rStyle w:val="Hyperlink"/>
            <w:vertAlign w:val="superscript"/>
          </w:rPr>
          <w:t xml:space="preserve">13</w:t>
        </w:r>
      </w:hyperlink>
      <w:bookmarkEnd w:id="106"/>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 falta además dinero público, continuidad y voluntad política.</w:t>
      </w:r>
    </w:p>
    <w:p>
      <w:r>
        <w:pict>
          <v:rect style="width:0;height:1.5pt" o:hralign="center" o:hrstd="t" o:hr="t"/>
        </w:pict>
      </w:r>
    </w:p>
    <w:p>
      <w:pPr>
        <w:pStyle w:val="FirstParagraph"/>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bookmarkStart w:id="107" w:name="ref-07-14"/>
      <w:hyperlink w:anchor="nota-07-14">
        <w:r>
          <w:rPr>
            <w:rStyle w:val="Hyperlink"/>
            <w:vertAlign w:val="superscript"/>
          </w:rPr>
          <w:t xml:space="preserve">14</w:t>
        </w:r>
      </w:hyperlink>
      <w:bookmarkEnd w:id="107"/>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bookmarkStart w:id="108" w:name="ref-07-15"/>
      <w:hyperlink w:anchor="nota-07-15">
        <w:r>
          <w:rPr>
            <w:rStyle w:val="Hyperlink"/>
            <w:vertAlign w:val="superscript"/>
          </w:rPr>
          <w:t xml:space="preserve">15</w:t>
        </w:r>
      </w:hyperlink>
      <w:bookmarkEnd w:id="108"/>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r>
        <w:pict>
          <v:rect style="width:0;height:1.5pt" o:hralign="center" o:hrstd="t" o:hr="t"/>
        </w:pict>
      </w:r>
    </w:p>
    <w:p>
      <w:pPr>
        <w:pStyle w:val="FirstParagraph"/>
      </w:pPr>
      <w:r>
        <w:t xml:space="preserve">Queda una forma de mercantilización que se disfraza de lo contrario de un mercado, el juego. La gamificación lleva a la escuela puntos, niveles, insignias, clasificaciones y premios. Se presenta como una manera de motivar, y abundan las aplicaciones que dan y quitan puntos por la conducta o que convierten las preguntas de clase en concursos con clasificación. Funcionan, en el sentido de que los alumnos participan más.</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bookmarkStart w:id="109" w:name="ref-07-16"/>
      <w:hyperlink w:anchor="nota-07-16">
        <w:r>
          <w:rPr>
            <w:rStyle w:val="Hyperlink"/>
            <w:vertAlign w:val="superscript"/>
          </w:rPr>
          <w:t xml:space="preserve">16</w:t>
        </w:r>
      </w:hyperlink>
      <w:bookmarkEnd w:id="109"/>
      <w:r>
        <w:t xml:space="preserve"> </w:t>
      </w:r>
      <w:r>
        <w:t xml:space="preserve">Las recompensas variables, la respuesta inmediata y la ausencia de pausas son los mismos recursos que usan las redes sociales y, en versión más suave, muchas herramientas de gamificación escolar. La gamificación enseña que merece la pena lo que tiene premio. Un chico que lee para sumar puntos aprende a sumar puntos, igual que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bookmarkStart w:id="110" w:name="ref-07-17"/>
      <w:hyperlink w:anchor="nota-07-17">
        <w:r>
          <w:rPr>
            <w:rStyle w:val="Hyperlink"/>
            <w:vertAlign w:val="superscript"/>
          </w:rPr>
          <w:t xml:space="preserve">17</w:t>
        </w:r>
      </w:hyperlink>
      <w:bookmarkEnd w:id="110"/>
      <w:r>
        <w:t xml:space="preserve"> </w:t>
      </w:r>
      <w:r>
        <w:t xml:space="preserve">Se juega por jugar, y por eso abre un espacio donde las reglas del mundo ordinario quedan en suspenso. La gamificación copia la forma del juego y le quita lo esencial. Como el sofista que vendía apariencia de sabiduría, vende apariencia de juego.</w:t>
      </w:r>
    </w:p>
    <w:p>
      <w:r>
        <w:pict>
          <v:rect style="width:0;height:1.5pt" o:hralign="center" o:hrstd="t" o:hr="t"/>
        </w:pict>
      </w:r>
    </w:p>
    <w:p>
      <w:pPr>
        <w:pStyle w:val="FirstParagraph"/>
      </w:pPr>
      <w:r>
        <w:t xml:space="preserve">Lo que no tiene precio, pensaban los romanos,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1"/>
    <w:bookmarkStart w:id="124"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bookmarkStart w:id="112" w:name="ref-08-1"/>
      <w:hyperlink w:anchor="nota-08-1">
        <w:r>
          <w:rPr>
            <w:rStyle w:val="Hyperlink"/>
            <w:vertAlign w:val="superscript"/>
          </w:rPr>
          <w:t xml:space="preserve">1</w:t>
        </w:r>
      </w:hyperlink>
      <w:bookmarkEnd w:id="112"/>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Si este libro ha seguido varios hilos (el sello, la red, el cuerpo, el empresario de sí mismo, la mirada, la memoria, el precio), todos acaban en el mismo nudo: de las cuatro operaciones de la plataforma, la que más ha transformado la escuela es la que ordena el tiempo. Por ahí empieza, creo, cualquier resistencia que valga la pena.</w:t>
      </w:r>
    </w:p>
    <w:p>
      <w:r>
        <w:pict>
          <v:rect style="width:0;height:1.5pt" o:hralign="center" o:hrstd="t" o:hr="t"/>
        </w:pict>
      </w:r>
    </w:p>
    <w:p>
      <w:pPr>
        <w:pStyle w:val="FirstParagraph"/>
      </w:pPr>
      <w:r>
        <w:t xml:space="preserve">En los últimos años muchos gobiernos han decidido actuar sobre el objeto más visible de todos, el teléfono móvil. El informe de la UNESCO de 2023 constataba que menos de uno de cada cuatro países lo había prohibido en las escuelas, y recomendaba hacerlo cuando no sirviera al aprendizaje.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bookmarkStart w:id="113" w:name="ref-08-2"/>
      <w:hyperlink w:anchor="nota-08-2">
        <w:r>
          <w:rPr>
            <w:rStyle w:val="Hyperlink"/>
            <w:vertAlign w:val="superscript"/>
          </w:rPr>
          <w:t xml:space="preserve">2</w:t>
        </w:r>
      </w:hyperlink>
      <w:bookmarkEnd w:id="113"/>
    </w:p>
    <w:p>
      <w:pPr>
        <w:pStyle w:val="BodyText"/>
      </w:pPr>
      <w:r>
        <w:t xml:space="preserve">No me opongo a estas medidas. Las distracciones que mide PISA son reales, y muchos docentes las han recibido con alivio. Lo que me interesa es lo que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no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r>
        <w:pict>
          <v:rect style="width:0;height:1.5pt" o:hralign="center" o:hrstd="t" o:hr="t"/>
        </w:pict>
      </w:r>
    </w:p>
    <w:p>
      <w:pPr>
        <w:pStyle w:val="FirstParagraph"/>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bookmarkStart w:id="114" w:name="ref-08-3"/>
      <w:hyperlink w:anchor="nota-08-3">
        <w:r>
          <w:rPr>
            <w:rStyle w:val="Hyperlink"/>
            <w:vertAlign w:val="superscript"/>
          </w:rPr>
          <w:t xml:space="preserve">3</w:t>
        </w:r>
      </w:hyperlink>
      <w:bookmarkEnd w:id="114"/>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bookmarkStart w:id="115" w:name="ref-08-4"/>
      <w:hyperlink w:anchor="nota-08-4">
        <w:r>
          <w:rPr>
            <w:rStyle w:val="Hyperlink"/>
            <w:vertAlign w:val="superscript"/>
          </w:rPr>
          <w:t xml:space="preserve">4</w:t>
        </w:r>
      </w:hyperlink>
      <w:bookmarkEnd w:id="115"/>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r>
        <w:pict>
          <v:rect style="width:0;height:1.5pt" o:hralign="center" o:hrstd="t" o:hr="t"/>
        </w:pict>
      </w:r>
    </w:p>
    <w:p>
      <w:pPr>
        <w:pStyle w:val="FirstParagraph"/>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demasiado generosas, sino las que calculara un algoritmo. El modelo tomaba como punto de partida los resultados históricos de cada centro en cada asignatura y ajustaba a ellos las notas de los alumnos de ese año. Cuando se publicaron los resultados, casi el 40 % de las notas propuestas por los docentes había bajado al menos un grado. Los centros con muy pocos alumnos por asignatura, muchos de ellos privados, conservaban con más frecuencia las notas de sus profesores, porque el modelo no podía aplicarse con fiabilidad a grupos tan pequeños. Una alumna brillante de un instituto con malos resultados en el pasado podía ver su nota rebajada por lo que habían hecho otros antes que ella.</w:t>
      </w:r>
      <w:bookmarkStart w:id="116" w:name="ref-08-5"/>
      <w:hyperlink w:anchor="nota-08-5">
        <w:r>
          <w:rPr>
            <w:rStyle w:val="Hyperlink"/>
            <w:vertAlign w:val="superscript"/>
          </w:rPr>
          <w:t xml:space="preserve">5</w:t>
        </w:r>
      </w:hyperlink>
      <w:bookmarkEnd w:id="116"/>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y el 17 de agosto anunció que se usarían las notas de los profesores.</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r>
        <w:pict>
          <v:rect style="width:0;height:1.5pt" o:hralign="center" o:hrstd="t" o:hr="t"/>
        </w:pict>
      </w:r>
    </w:p>
    <w:p>
      <w:pPr>
        <w:pStyle w:val="FirstParagraph"/>
      </w:pPr>
      <w:r>
        <w:t xml:space="preserve">La mayoría de las resistencias son mucho menos espectaculares. Foucault llamó «contraconductas» a las maneras de comportarse que se apartan de cómo se pretende conducirnos.</w:t>
      </w:r>
      <w:bookmarkStart w:id="117" w:name="ref-08-6"/>
      <w:hyperlink w:anchor="nota-08-6">
        <w:r>
          <w:rPr>
            <w:rStyle w:val="Hyperlink"/>
            <w:vertAlign w:val="superscript"/>
          </w:rPr>
          <w:t xml:space="preserve">6</w:t>
        </w:r>
      </w:hyperlink>
      <w:bookmarkEnd w:id="117"/>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bookmarkStart w:id="118" w:name="ref-08-7"/>
      <w:hyperlink w:anchor="nota-08-7">
        <w:r>
          <w:rPr>
            <w:rStyle w:val="Hyperlink"/>
            <w:vertAlign w:val="superscript"/>
          </w:rPr>
          <w:t xml:space="preserve">7</w:t>
        </w:r>
      </w:hyperlink>
      <w:bookmarkEnd w:id="118"/>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r>
        <w:pict>
          <v:rect style="width:0;height:1.5pt" o:hralign="center" o:hrstd="t" o:hr="t"/>
        </w:pict>
      </w:r>
    </w:p>
    <w:p>
      <w:pPr>
        <w:pStyle w:val="FirstParagraph"/>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r>
        <w:pict>
          <v:rect style="width:0;height:1.5pt" o:hralign="center" o:hrstd="t" o:hr="t"/>
        </w:pict>
      </w:r>
    </w:p>
    <w:p>
      <w:pPr>
        <w:pStyle w:val="FirstParagraph"/>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bookmarkStart w:id="119" w:name="ref-08-8"/>
      <w:hyperlink w:anchor="nota-08-8">
        <w:r>
          <w:rPr>
            <w:rStyle w:val="Hyperlink"/>
            <w:vertAlign w:val="superscript"/>
          </w:rPr>
          <w:t xml:space="preserve">8</w:t>
        </w:r>
      </w:hyperlink>
      <w:bookmarkEnd w:id="119"/>
    </w:p>
    <w:p>
      <w:pPr>
        <w:pStyle w:val="BodyText"/>
      </w:pPr>
      <w:r>
        <w:t xml:space="preserve">Llevada a la escuela de las plataformas, esa ética tiene consecuencias concretas. Supone que ninguna alerta sobre un alumno se resuelva sin una conversación con una persona, que fue lo que distinguió a Georgia State de un semáforo.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bookmarkStart w:id="120" w:name="ref-08-9"/>
      <w:hyperlink w:anchor="nota-08-9">
        <w:r>
          <w:rPr>
            <w:rStyle w:val="Hyperlink"/>
            <w:vertAlign w:val="superscript"/>
          </w:rPr>
          <w:t xml:space="preserve">9</w:t>
        </w:r>
      </w:hyperlink>
      <w:bookmarkEnd w:id="120"/>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bookmarkStart w:id="121" w:name="ref-08-10"/>
      <w:hyperlink w:anchor="nota-08-10">
        <w:r>
          <w:rPr>
            <w:rStyle w:val="Hyperlink"/>
            <w:vertAlign w:val="superscript"/>
          </w:rPr>
          <w:t xml:space="preserve">10</w:t>
        </w:r>
      </w:hyperlink>
      <w:bookmarkEnd w:id="121"/>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bookmarkStart w:id="122" w:name="ref-08-11"/>
      <w:hyperlink w:anchor="nota-08-11">
        <w:r>
          <w:rPr>
            <w:rStyle w:val="Hyperlink"/>
            <w:vertAlign w:val="superscript"/>
          </w:rPr>
          <w:t xml:space="preserve">11</w:t>
        </w:r>
      </w:hyperlink>
      <w:bookmarkEnd w:id="122"/>
      <w:r>
        <w:t xml:space="preserve"> </w:t>
      </w:r>
      <w:r>
        <w:t xml:space="preserve">Las dos desconfían de una educación que forma individuos aislados para competir, y las dos imaginan el aula como uno de los pocos lugares donde todavía se puede ensayar algo en común.</w:t>
      </w:r>
    </w:p>
    <w:p>
      <w:r>
        <w:pict>
          <v:rect style="width:0;height:1.5pt" o:hralign="center" o:hrstd="t" o:hr="t"/>
        </w:pict>
      </w:r>
    </w:p>
    <w:p>
      <w:pPr>
        <w:pStyle w:val="FirstParagraph"/>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r>
        <w:pict>
          <v:rect style="width:0;height:1.5pt" o:hralign="center" o:hrstd="t" o:hr="t"/>
        </w:pict>
      </w:r>
    </w:p>
    <w:p>
      <w:pPr>
        <w:pStyle w:val="FirstParagraph"/>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Antes de concretarla, tengo que recordar los tres límites que este libro ha ido encontrando, porque marcan lo que la edutropía no puede ser. No puede ser nostalgia de una escuela anterior a las pantallas, que también pegaba, clasificaba y excluía. No puede despreciar a las comunidades que eligen herramientas digitales por razones de accesibilidad, de continuidad, de colaboración o de pura falta de recursos, porque esas razones son buenas y son, a menudo, las de quienes menos tienen. Y no puede confiar en que el software libre resuelva por sí solo lo que exige formación, mantenimiento, seguridad e inversión pública sostenida. Una crítica que ignore estos límites se vuelve un lujo de quien ya tiene asegurado lo demás.</w:t>
      </w:r>
    </w:p>
    <w:p>
      <w:r>
        <w:pict>
          <v:rect style="width:0;height:1.5pt" o:hralign="center" o:hrstd="t" o:hr="t"/>
        </w:pict>
      </w:r>
    </w:p>
    <w:p>
      <w:pPr>
        <w:pStyle w:val="FirstParagraph"/>
      </w:pPr>
      <w:r>
        <w:t xml:space="preserve">Se me dirá que todo esto es vago, que una palabra nueva no arregla nada y que hablar de giros y de luz es una manera elegante de no proponer nada concreto. Acepto el riesgo, y por eso quiero bajar a tierra el giro en cuatro direcciones, las mismas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 ranking.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bookmarkStart w:id="123" w:name="ref-08-12"/>
      <w:hyperlink w:anchor="nota-08-12">
        <w:r>
          <w:rPr>
            <w:rStyle w:val="Hyperlink"/>
            <w:vertAlign w:val="superscript"/>
          </w:rPr>
          <w:t xml:space="preserve">12</w:t>
        </w:r>
      </w:hyperlink>
      <w:bookmarkEnd w:id="123"/>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para que dejen de estar decididos por omisión.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r>
        <w:pict>
          <v:rect style="width:0;height:1.5pt" o:hralign="center" o:hrstd="t" o:hr="t"/>
        </w:pict>
      </w:r>
    </w:p>
    <w:p>
      <w:pPr>
        <w:pStyle w:val="FirstParagraph"/>
      </w:pPr>
      <w:r>
        <w:t xml:space="preserve">Nada de esto supone desconectar la escuela. Vivimos en un mundo irreversiblemente atravesado por la técnica, y la educación no puede quedar fuera de él. Lo que sí puede hacer es negarse a recibir la tecnología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24"/>
    <w:bookmarkStart w:id="125"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misma que separa al dispositivo de la educación.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r>
        <w:pict>
          <v:rect style="width:0;height:1.5pt" o:hralign="center" o:hrstd="t" o:hr="t"/>
        </w:pict>
      </w:r>
    </w:p>
    <w:p>
      <w:pPr>
        <w:pStyle w:val="FirstParagraph"/>
      </w:pPr>
      <w:r>
        <w:t xml:space="preserve">He sostenido a lo largo de estas páginas que la escuela no ha sido sustituida por las plataformas, y que se ha convertido en uno de los lugares donde las plataformas aprenden a formar personas. Les presta un público que no puede marcharse, una autoridad que convierte cada hábito en virtud y diez o doce años de práctica diaria. A cambio recibe herramientas que de verdad ayudan, y una manera de entender la educación que casi nadie ha elegido.</w:t>
      </w:r>
    </w:p>
    <w:p>
      <w:pPr>
        <w:pStyle w:val="BodyText"/>
      </w:pPr>
      <w:r>
        <w:t xml:space="preserve">Entre la nota, el algoritmo, el ranking, la notificación y la inteligencia artificial generativa se están redefiniendo cuatro palabras que la escuela siempre tuvo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r>
        <w:pict>
          <v:rect style="width:0;height:1.5pt" o:hralign="center" o:hrstd="t" o:hr="t"/>
        </w:pict>
      </w:r>
    </w:p>
    <w:p>
      <w:pPr>
        <w:pStyle w:val="FirstParagraph"/>
      </w:pPr>
      <w:r>
        <w:t xml:space="preserve">A lo largo del libro he repetido que la educación tiene doble filo, y lo sostengo al final.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produce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ninguna comunidad educativa.</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r>
        <w:pict>
          <v:rect style="width:0;height:1.5pt" o:hralign="center" o:hrstd="t" o:hr="t"/>
        </w:pict>
      </w:r>
    </w:p>
    <w:p>
      <w:pPr>
        <w:pStyle w:val="FirstParagraph"/>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aprender de nuevo a hacer algo que no deje rastro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25"/>
    <w:bookmarkStart w:id="230" w:name="notas"/>
    <w:p>
      <w:pPr>
        <w:pStyle w:val="Heading1"/>
      </w:pPr>
      <w:r>
        <w:t xml:space="preserve">Notas</w:t>
      </w:r>
    </w:p>
    <w:bookmarkStart w:id="134" w:name="el-sello-en-la-cera-1"/>
    <w:p>
      <w:pPr>
        <w:pStyle w:val="Heading2"/>
      </w:pPr>
      <w:r>
        <w:t xml:space="preserve">1. El sello en la cera</w:t>
      </w:r>
    </w:p>
    <w:p>
      <w:pPr>
        <w:pStyle w:val="FirstParagraph"/>
      </w:pPr>
      <w:bookmarkStart w:id="126" w:name="nota-01-1"/>
      <w:hyperlink w:anchor="ref-01-1">
        <w:r>
          <w:rPr>
            <w:rStyle w:val="Hyperlink"/>
          </w:rPr>
          <w:t xml:space="preserve">1</w:t>
        </w:r>
      </w:hyperlink>
      <w:bookmarkEnd w:id="126"/>
      <w:r>
        <w:t xml:space="preserve">. Platón,</w:t>
      </w:r>
      <w:r>
        <w:t xml:space="preserve"> </w:t>
      </w:r>
      <w:r>
        <w:rPr>
          <w:iCs/>
          <w:i/>
        </w:rPr>
        <w:t xml:space="preserve">Teeteto</w:t>
      </w:r>
      <w:r>
        <w:t xml:space="preserve">, 191c-d.</w:t>
      </w:r>
    </w:p>
    <w:p>
      <w:pPr>
        <w:pStyle w:val="BodyText"/>
      </w:pPr>
      <w:bookmarkStart w:id="127" w:name="nota-01-2"/>
      <w:hyperlink w:anchor="ref-01-2">
        <w:r>
          <w:rPr>
            <w:rStyle w:val="Hyperlink"/>
          </w:rPr>
          <w:t xml:space="preserve">2</w:t>
        </w:r>
      </w:hyperlink>
      <w:bookmarkEnd w:id="127"/>
      <w:r>
        <w:t xml:space="preserve">. Aristóteles,</w:t>
      </w:r>
      <w:r>
        <w:t xml:space="preserve"> </w:t>
      </w:r>
      <w:r>
        <w:rPr>
          <w:iCs/>
          <w:i/>
        </w:rPr>
        <w:t xml:space="preserve">Política</w:t>
      </w:r>
      <w:r>
        <w:t xml:space="preserve">, I, 2, 1252b29-30.</w:t>
      </w:r>
    </w:p>
    <w:p>
      <w:pPr>
        <w:pStyle w:val="BodyText"/>
      </w:pPr>
      <w:bookmarkStart w:id="128" w:name="nota-01-3"/>
      <w:hyperlink w:anchor="ref-01-3">
        <w:r>
          <w:rPr>
            <w:rStyle w:val="Hyperlink"/>
          </w:rPr>
          <w:t xml:space="preserve">3</w:t>
        </w:r>
      </w:hyperlink>
      <w:bookmarkEnd w:id="128"/>
      <w:r>
        <w:t xml:space="preserve">. Aristóteles,</w:t>
      </w:r>
      <w:r>
        <w:t xml:space="preserve"> </w:t>
      </w:r>
      <w:r>
        <w:rPr>
          <w:iCs/>
          <w:i/>
        </w:rPr>
        <w:t xml:space="preserve">Ética a Nicómaco</w:t>
      </w:r>
      <w:r>
        <w:t xml:space="preserve">, II, 1, 1103a33-b2.</w:t>
      </w:r>
    </w:p>
    <w:p>
      <w:pPr>
        <w:pStyle w:val="BodyText"/>
      </w:pPr>
      <w:bookmarkStart w:id="129" w:name="nota-01-4"/>
      <w:hyperlink w:anchor="ref-01-4">
        <w:r>
          <w:rPr>
            <w:rStyle w:val="Hyperlink"/>
          </w:rPr>
          <w:t xml:space="preserve">4</w:t>
        </w:r>
      </w:hyperlink>
      <w:bookmarkEnd w:id="129"/>
      <w:r>
        <w:t xml:space="preserve">. Émile Durkheim,</w:t>
      </w:r>
      <w:r>
        <w:t xml:space="preserve"> </w:t>
      </w:r>
      <w:r>
        <w:rPr>
          <w:iCs/>
          <w:i/>
        </w:rPr>
        <w:t xml:space="preserve">Educación y sociología</w:t>
      </w:r>
      <w:r>
        <w:t xml:space="preserve">, cap. 1.</w:t>
      </w:r>
    </w:p>
    <w:p>
      <w:pPr>
        <w:pStyle w:val="BodyText"/>
      </w:pPr>
      <w:bookmarkStart w:id="130" w:name="nota-01-5"/>
      <w:hyperlink w:anchor="ref-01-5">
        <w:r>
          <w:rPr>
            <w:rStyle w:val="Hyperlink"/>
          </w:rPr>
          <w:t xml:space="preserve">5</w:t>
        </w:r>
      </w:hyperlink>
      <w:bookmarkEnd w:id="130"/>
      <w:r>
        <w:t xml:space="preserve">. Platón,</w:t>
      </w:r>
      <w:r>
        <w:t xml:space="preserve"> </w:t>
      </w:r>
      <w:r>
        <w:rPr>
          <w:iCs/>
          <w:i/>
        </w:rPr>
        <w:t xml:space="preserve">Apología de Sócrates</w:t>
      </w:r>
      <w:r>
        <w:t xml:space="preserve">, 38a.</w:t>
      </w:r>
    </w:p>
    <w:p>
      <w:pPr>
        <w:pStyle w:val="BodyText"/>
      </w:pPr>
      <w:bookmarkStart w:id="131" w:name="nota-01-6"/>
      <w:hyperlink w:anchor="ref-01-6">
        <w:r>
          <w:rPr>
            <w:rStyle w:val="Hyperlink"/>
          </w:rPr>
          <w:t xml:space="preserve">6</w:t>
        </w:r>
      </w:hyperlink>
      <w:bookmarkEnd w:id="131"/>
      <w:r>
        <w:t xml:space="preserve">. Aristóteles,</w:t>
      </w:r>
      <w:r>
        <w:t xml:space="preserve"> </w:t>
      </w:r>
      <w:r>
        <w:rPr>
          <w:iCs/>
          <w:i/>
        </w:rPr>
        <w:t xml:space="preserve">Política</w:t>
      </w:r>
      <w:r>
        <w:t xml:space="preserve">, I, 13, 1260a12-13.</w:t>
      </w:r>
    </w:p>
    <w:p>
      <w:pPr>
        <w:pStyle w:val="BodyText"/>
      </w:pPr>
      <w:bookmarkStart w:id="132" w:name="nota-01-7"/>
      <w:hyperlink w:anchor="ref-01-7">
        <w:r>
          <w:rPr>
            <w:rStyle w:val="Hyperlink"/>
          </w:rPr>
          <w:t xml:space="preserve">7</w:t>
        </w:r>
      </w:hyperlink>
      <w:bookmarkEnd w:id="132"/>
      <w:r>
        <w:t xml:space="preserve">. Diógenes Laercio,</w:t>
      </w:r>
      <w:r>
        <w:t xml:space="preserve"> </w:t>
      </w:r>
      <w:r>
        <w:rPr>
          <w:iCs/>
          <w:i/>
        </w:rPr>
        <w:t xml:space="preserve">Vidas de los filósofos ilustres</w:t>
      </w:r>
      <w:r>
        <w:t xml:space="preserve">, VI, 96-98.</w:t>
      </w:r>
    </w:p>
    <w:p>
      <w:pPr>
        <w:pStyle w:val="BodyText"/>
      </w:pPr>
      <w:bookmarkStart w:id="133" w:name="nota-01-8"/>
      <w:hyperlink w:anchor="ref-01-8">
        <w:r>
          <w:rPr>
            <w:rStyle w:val="Hyperlink"/>
          </w:rPr>
          <w:t xml:space="preserve">8</w:t>
        </w:r>
      </w:hyperlink>
      <w:bookmarkEnd w:id="133"/>
      <w:r>
        <w:t xml:space="preserve">. Platón,</w:t>
      </w:r>
      <w:r>
        <w:t xml:space="preserve"> </w:t>
      </w:r>
      <w:r>
        <w:rPr>
          <w:iCs/>
          <w:i/>
        </w:rPr>
        <w:t xml:space="preserve">Banquete</w:t>
      </w:r>
      <w:r>
        <w:t xml:space="preserve">, 201d-212a.</w:t>
      </w:r>
    </w:p>
    <w:bookmarkEnd w:id="134"/>
    <w:bookmarkStart w:id="143" w:name="una-red-sin-dueño-1"/>
    <w:p>
      <w:pPr>
        <w:pStyle w:val="Heading2"/>
      </w:pPr>
      <w:r>
        <w:t xml:space="preserve">2. Una red sin dueño</w:t>
      </w:r>
    </w:p>
    <w:p>
      <w:pPr>
        <w:pStyle w:val="FirstParagraph"/>
      </w:pPr>
      <w:bookmarkStart w:id="135" w:name="nota-02-1"/>
      <w:hyperlink w:anchor="ref-02-1">
        <w:r>
          <w:rPr>
            <w:rStyle w:val="Hyperlink"/>
          </w:rPr>
          <w:t xml:space="preserve">1</w:t>
        </w:r>
      </w:hyperlink>
      <w:bookmarkEnd w:id="135"/>
      <w:r>
        <w:t xml:space="preserve">. «El juego de Michel Foucault» (1977), en</w:t>
      </w:r>
      <w:r>
        <w:t xml:space="preserve"> </w:t>
      </w:r>
      <w:r>
        <w:rPr>
          <w:iCs/>
          <w:i/>
        </w:rPr>
        <w:t xml:space="preserve">Dits et écrits</w:t>
      </w:r>
      <w:r>
        <w:t xml:space="preserve">, III, n.º 206. Cito la versión castellana incluida en Giorgio Agamben,</w:t>
      </w:r>
      <w:r>
        <w:t xml:space="preserve"> </w:t>
      </w:r>
      <w:r>
        <w:rPr>
          <w:iCs/>
          <w:i/>
        </w:rPr>
        <w:t xml:space="preserve">¿Qué es un dispositivo?</w:t>
      </w:r>
      <w:r>
        <w:t xml:space="preserve">, Buenos Aires, Adriana Hidalgo, 2014.</w:t>
      </w:r>
    </w:p>
    <w:p>
      <w:pPr>
        <w:pStyle w:val="BodyText"/>
      </w:pPr>
      <w:bookmarkStart w:id="136" w:name="nota-02-2"/>
      <w:hyperlink w:anchor="ref-02-2">
        <w:r>
          <w:rPr>
            <w:rStyle w:val="Hyperlink"/>
          </w:rPr>
          <w:t xml:space="preserve">2</w:t>
        </w:r>
      </w:hyperlink>
      <w:bookmarkEnd w:id="136"/>
      <w:r>
        <w:t xml:space="preserve">. Michel Foucault,</w:t>
      </w:r>
      <w:r>
        <w:t xml:space="preserve"> </w:t>
      </w:r>
      <w:r>
        <w:rPr>
          <w:iCs/>
          <w:i/>
        </w:rPr>
        <w:t xml:space="preserve">Historia de la sexualidad, 1. La voluntad de saber</w:t>
      </w:r>
      <w:r>
        <w:t xml:space="preserve">, cap. IV, «Método».</w:t>
      </w:r>
    </w:p>
    <w:p>
      <w:pPr>
        <w:pStyle w:val="BodyText"/>
      </w:pPr>
      <w:bookmarkStart w:id="137" w:name="nota-02-3"/>
      <w:hyperlink w:anchor="ref-02-3">
        <w:r>
          <w:rPr>
            <w:rStyle w:val="Hyperlink"/>
          </w:rPr>
          <w:t xml:space="preserve">3</w:t>
        </w:r>
      </w:hyperlink>
      <w:bookmarkEnd w:id="137"/>
      <w:r>
        <w:t xml:space="preserve">. Michel Foucault,</w:t>
      </w:r>
      <w:r>
        <w:t xml:space="preserve"> </w:t>
      </w:r>
      <w:r>
        <w:rPr>
          <w:iCs/>
          <w:i/>
        </w:rPr>
        <w:t xml:space="preserve">Vigilar y castigar</w:t>
      </w:r>
      <w:r>
        <w:t xml:space="preserve">, tercera parte, cap. 1, «Los cuerpos dóciles».</w:t>
      </w:r>
    </w:p>
    <w:p>
      <w:pPr>
        <w:pStyle w:val="BodyText"/>
      </w:pPr>
      <w:bookmarkStart w:id="138" w:name="nota-02-4"/>
      <w:hyperlink w:anchor="ref-02-4">
        <w:r>
          <w:rPr>
            <w:rStyle w:val="Hyperlink"/>
          </w:rPr>
          <w:t xml:space="preserve">4</w:t>
        </w:r>
      </w:hyperlink>
      <w:bookmarkEnd w:id="138"/>
      <w:r>
        <w:t xml:space="preserve">. Agamben,</w:t>
      </w:r>
      <w:r>
        <w:t xml:space="preserve"> </w:t>
      </w:r>
      <w:r>
        <w:rPr>
          <w:iCs/>
          <w:i/>
        </w:rPr>
        <w:t xml:space="preserve">¿Qué es un dispositivo?</w:t>
      </w:r>
      <w:r>
        <w:t xml:space="preserve">, op. cit.</w:t>
      </w:r>
    </w:p>
    <w:p>
      <w:pPr>
        <w:pStyle w:val="BodyText"/>
      </w:pPr>
      <w:bookmarkStart w:id="139" w:name="nota-02-5"/>
      <w:hyperlink w:anchor="ref-02-5">
        <w:r>
          <w:rPr>
            <w:rStyle w:val="Hyperlink"/>
          </w:rPr>
          <w:t xml:space="preserve">5</w:t>
        </w:r>
      </w:hyperlink>
      <w:bookmarkEnd w:id="139"/>
      <w:r>
        <w:t xml:space="preserve">. Giorgio Agamben,</w:t>
      </w:r>
      <w:r>
        <w:t xml:space="preserve"> </w:t>
      </w:r>
      <w:r>
        <w:rPr>
          <w:iCs/>
          <w:i/>
        </w:rPr>
        <w:t xml:space="preserve">El Reino y la Gloria</w:t>
      </w:r>
      <w:r>
        <w:t xml:space="preserve">, Valencia, Pre-Textos, 2008, cap. 2.</w:t>
      </w:r>
    </w:p>
    <w:p>
      <w:pPr>
        <w:pStyle w:val="BodyText"/>
      </w:pPr>
      <w:bookmarkStart w:id="140" w:name="nota-02-6"/>
      <w:hyperlink w:anchor="ref-02-6">
        <w:r>
          <w:rPr>
            <w:rStyle w:val="Hyperlink"/>
          </w:rPr>
          <w:t xml:space="preserve">6</w:t>
        </w:r>
      </w:hyperlink>
      <w:bookmarkEnd w:id="140"/>
      <w:r>
        <w:t xml:space="preserve">. Gert Biesta,</w:t>
      </w:r>
      <w:r>
        <w:t xml:space="preserve"> </w:t>
      </w:r>
      <w:r>
        <w:rPr>
          <w:iCs/>
          <w:i/>
        </w:rPr>
        <w:t xml:space="preserve">Beyond Learning</w:t>
      </w:r>
      <w:r>
        <w:t xml:space="preserve">, Boulder, Paradigm, 2006, cap. 1.</w:t>
      </w:r>
    </w:p>
    <w:p>
      <w:pPr>
        <w:pStyle w:val="BodyText"/>
      </w:pPr>
      <w:bookmarkStart w:id="141" w:name="nota-02-7"/>
      <w:hyperlink w:anchor="ref-02-7">
        <w:r>
          <w:rPr>
            <w:rStyle w:val="Hyperlink"/>
          </w:rPr>
          <w:t xml:space="preserve">7</w:t>
        </w:r>
      </w:hyperlink>
      <w:bookmarkEnd w:id="141"/>
      <w:r>
        <w:t xml:space="preserve">. Giorgio Agamben, «Elogio de la profanación», en</w:t>
      </w:r>
      <w:r>
        <w:t xml:space="preserve"> </w:t>
      </w:r>
      <w:r>
        <w:rPr>
          <w:iCs/>
          <w:i/>
        </w:rPr>
        <w:t xml:space="preserve">Profanaciones</w:t>
      </w:r>
      <w:r>
        <w:t xml:space="preserve">, Barcelona, Anagrama, 2005.</w:t>
      </w:r>
    </w:p>
    <w:p>
      <w:pPr>
        <w:pStyle w:val="BodyText"/>
      </w:pPr>
      <w:bookmarkStart w:id="142" w:name="nota-02-8"/>
      <w:hyperlink w:anchor="ref-02-8">
        <w:r>
          <w:rPr>
            <w:rStyle w:val="Hyperlink"/>
          </w:rPr>
          <w:t xml:space="preserve">8</w:t>
        </w:r>
      </w:hyperlink>
      <w:bookmarkEnd w:id="142"/>
      <w:r>
        <w:t xml:space="preserve">. Gilles Deleuze, «¿Qué es un dispositivo?», en</w:t>
      </w:r>
      <w:r>
        <w:t xml:space="preserve"> </w:t>
      </w:r>
      <w:r>
        <w:rPr>
          <w:iCs/>
          <w:i/>
        </w:rPr>
        <w:t xml:space="preserve">Michel Foucault, filósofo</w:t>
      </w:r>
      <w:r>
        <w:t xml:space="preserve">, Barcelona, Gedisa, 1990.</w:t>
      </w:r>
    </w:p>
    <w:bookmarkEnd w:id="143"/>
    <w:bookmarkStart w:id="156" w:name="el-alma-prisión-del-cuerpo-1"/>
    <w:p>
      <w:pPr>
        <w:pStyle w:val="Heading2"/>
      </w:pPr>
      <w:r>
        <w:t xml:space="preserve">3. El alma, prisión del cuerpo</w:t>
      </w:r>
    </w:p>
    <w:p>
      <w:pPr>
        <w:pStyle w:val="FirstParagraph"/>
      </w:pPr>
      <w:bookmarkStart w:id="144" w:name="nota-03-1"/>
      <w:hyperlink w:anchor="ref-03-1">
        <w:r>
          <w:rPr>
            <w:rStyle w:val="Hyperlink"/>
          </w:rPr>
          <w:t xml:space="preserve">1</w:t>
        </w:r>
      </w:hyperlink>
      <w:bookmarkEnd w:id="144"/>
      <w:r>
        <w:t xml:space="preserve">. Immanuel Kant,</w:t>
      </w:r>
      <w:r>
        <w:t xml:space="preserve"> </w:t>
      </w:r>
      <w:r>
        <w:rPr>
          <w:iCs/>
          <w:i/>
        </w:rPr>
        <w:t xml:space="preserve">Pedagogía</w:t>
      </w:r>
      <w:r>
        <w:t xml:space="preserve">, introducción (Ak. IX, 441-442). Las lecciones las publicó en 1803 su alumno Friedrich Theodor Rink, y los especialistas discuten hasta qué punto reproducen fielmente las palabras de Kant.</w:t>
      </w:r>
    </w:p>
    <w:p>
      <w:pPr>
        <w:pStyle w:val="BodyText"/>
      </w:pPr>
      <w:bookmarkStart w:id="145" w:name="nota-03-2"/>
      <w:hyperlink w:anchor="ref-03-2">
        <w:r>
          <w:rPr>
            <w:rStyle w:val="Hyperlink"/>
          </w:rPr>
          <w:t xml:space="preserve">2</w:t>
        </w:r>
      </w:hyperlink>
      <w:bookmarkEnd w:id="145"/>
      <w:r>
        <w:t xml:space="preserve">. Platón,</w:t>
      </w:r>
      <w:r>
        <w:t xml:space="preserve"> </w:t>
      </w:r>
      <w:r>
        <w:rPr>
          <w:iCs/>
          <w:i/>
        </w:rPr>
        <w:t xml:space="preserve">Fedón</w:t>
      </w:r>
      <w:r>
        <w:t xml:space="preserve">, 65a-d.</w:t>
      </w:r>
    </w:p>
    <w:p>
      <w:pPr>
        <w:pStyle w:val="BodyText"/>
      </w:pPr>
      <w:bookmarkStart w:id="146" w:name="nota-03-3"/>
      <w:hyperlink w:anchor="ref-03-3">
        <w:r>
          <w:rPr>
            <w:rStyle w:val="Hyperlink"/>
          </w:rPr>
          <w:t xml:space="preserve">3</w:t>
        </w:r>
      </w:hyperlink>
      <w:bookmarkEnd w:id="146"/>
      <w:r>
        <w:t xml:space="preserve">. Aristóteles,</w:t>
      </w:r>
      <w:r>
        <w:t xml:space="preserve"> </w:t>
      </w:r>
      <w:r>
        <w:rPr>
          <w:iCs/>
          <w:i/>
        </w:rPr>
        <w:t xml:space="preserve">Acerca del alma</w:t>
      </w:r>
      <w:r>
        <w:t xml:space="preserve">, II, 1, 412a27-b9, y II, 2, 414a19-22.</w:t>
      </w:r>
    </w:p>
    <w:p>
      <w:pPr>
        <w:pStyle w:val="BodyText"/>
      </w:pPr>
      <w:bookmarkStart w:id="147" w:name="nota-03-4"/>
      <w:hyperlink w:anchor="ref-03-4">
        <w:r>
          <w:rPr>
            <w:rStyle w:val="Hyperlink"/>
          </w:rPr>
          <w:t xml:space="preserve">4</w:t>
        </w:r>
      </w:hyperlink>
      <w:bookmarkEnd w:id="147"/>
      <w:r>
        <w:t xml:space="preserve">. Carta de Isabel de Bohemia a Descartes de 6/16 de mayo de 1643 y respuesta de Descartes de 28 de junio de 1643.</w:t>
      </w:r>
    </w:p>
    <w:p>
      <w:pPr>
        <w:pStyle w:val="BodyText"/>
      </w:pPr>
      <w:bookmarkStart w:id="148" w:name="nota-03-5"/>
      <w:hyperlink w:anchor="ref-03-5">
        <w:r>
          <w:rPr>
            <w:rStyle w:val="Hyperlink"/>
          </w:rPr>
          <w:t xml:space="preserve">5</w:t>
        </w:r>
      </w:hyperlink>
      <w:bookmarkEnd w:id="148"/>
      <w:r>
        <w:t xml:space="preserve">. Michel Foucault,</w:t>
      </w:r>
      <w:r>
        <w:t xml:space="preserve"> </w:t>
      </w:r>
      <w:r>
        <w:rPr>
          <w:iCs/>
          <w:i/>
        </w:rPr>
        <w:t xml:space="preserve">Vigilar y castigar</w:t>
      </w:r>
      <w:r>
        <w:t xml:space="preserve">, tercera parte, cap. 1, «Los cuerpos dóciles», donde está también la fórmula sobre utilidad y obediencia.</w:t>
      </w:r>
    </w:p>
    <w:p>
      <w:pPr>
        <w:pStyle w:val="BodyText"/>
      </w:pPr>
      <w:bookmarkStart w:id="149" w:name="nota-03-6"/>
      <w:hyperlink w:anchor="ref-03-6">
        <w:r>
          <w:rPr>
            <w:rStyle w:val="Hyperlink"/>
          </w:rPr>
          <w:t xml:space="preserve">6</w:t>
        </w:r>
      </w:hyperlink>
      <w:bookmarkEnd w:id="149"/>
      <w:r>
        <w:t xml:space="preserve">. Ibíd., primera parte, cap. 1, «El cuerpo de los condenados».</w:t>
      </w:r>
    </w:p>
    <w:p>
      <w:pPr>
        <w:pStyle w:val="BodyText"/>
      </w:pPr>
      <w:bookmarkStart w:id="150" w:name="nota-03-7"/>
      <w:hyperlink w:anchor="ref-03-7">
        <w:r>
          <w:rPr>
            <w:rStyle w:val="Hyperlink"/>
          </w:rPr>
          <w:t xml:space="preserve">7</w:t>
        </w:r>
      </w:hyperlink>
      <w:bookmarkEnd w:id="150"/>
      <w:r>
        <w:t xml:space="preserve">. Nancy Fraser, «Foucault on Modern Power: Empirical Insights and Normative Confusions»,</w:t>
      </w:r>
      <w:r>
        <w:t xml:space="preserve"> </w:t>
      </w:r>
      <w:r>
        <w:rPr>
          <w:iCs/>
          <w:i/>
        </w:rPr>
        <w:t xml:space="preserve">Praxis International</w:t>
      </w:r>
      <w:r>
        <w:t xml:space="preserve">, 1 (3), 1981, pp. 272-287. La crítica de Habermas está en</w:t>
      </w:r>
      <w:r>
        <w:t xml:space="preserve"> </w:t>
      </w:r>
      <w:r>
        <w:rPr>
          <w:iCs/>
          <w:i/>
        </w:rPr>
        <w:t xml:space="preserve">El discurso filosófico de la modernidad</w:t>
      </w:r>
      <w:r>
        <w:t xml:space="preserve">, caps. IX y X.</w:t>
      </w:r>
    </w:p>
    <w:p>
      <w:pPr>
        <w:pStyle w:val="BodyText"/>
      </w:pPr>
      <w:bookmarkStart w:id="151" w:name="nota-03-8"/>
      <w:hyperlink w:anchor="ref-03-8">
        <w:r>
          <w:rPr>
            <w:rStyle w:val="Hyperlink"/>
          </w:rPr>
          <w:t xml:space="preserve">8</w:t>
        </w:r>
      </w:hyperlink>
      <w:bookmarkEnd w:id="151"/>
      <w:r>
        <w:t xml:space="preserve">. Pier Paolo Pasolini,</w:t>
      </w:r>
      <w:r>
        <w:t xml:space="preserve"> </w:t>
      </w:r>
      <w:r>
        <w:rPr>
          <w:iCs/>
          <w:i/>
        </w:rPr>
        <w:t xml:space="preserve">Cartas luteranas</w:t>
      </w:r>
      <w:r>
        <w:t xml:space="preserve">, sección «Gennariello».</w:t>
      </w:r>
    </w:p>
    <w:p>
      <w:pPr>
        <w:pStyle w:val="BodyText"/>
      </w:pPr>
      <w:bookmarkStart w:id="152" w:name="nota-03-9"/>
      <w:hyperlink w:anchor="ref-03-9">
        <w:r>
          <w:rPr>
            <w:rStyle w:val="Hyperlink"/>
          </w:rPr>
          <w:t xml:space="preserve">9</w:t>
        </w:r>
      </w:hyperlink>
      <w:bookmarkEnd w:id="152"/>
      <w:r>
        <w:t xml:space="preserve">. Baruch Spinoza,</w:t>
      </w:r>
      <w:r>
        <w:t xml:space="preserve"> </w:t>
      </w:r>
      <w:r>
        <w:rPr>
          <w:iCs/>
          <w:i/>
        </w:rPr>
        <w:t xml:space="preserve">Ética</w:t>
      </w:r>
      <w:r>
        <w:t xml:space="preserve">, III, proposición 2, escolio.</w:t>
      </w:r>
    </w:p>
    <w:p>
      <w:pPr>
        <w:pStyle w:val="BodyText"/>
      </w:pPr>
      <w:bookmarkStart w:id="153" w:name="nota-03-10"/>
      <w:hyperlink w:anchor="ref-03-10">
        <w:r>
          <w:rPr>
            <w:rStyle w:val="Hyperlink"/>
          </w:rPr>
          <w:t xml:space="preserve">10</w:t>
        </w:r>
      </w:hyperlink>
      <w:bookmarkEnd w:id="153"/>
      <w:r>
        <w:t xml:space="preserve">. Baruch Spinoza,</w:t>
      </w:r>
      <w:r>
        <w:t xml:space="preserve"> </w:t>
      </w:r>
      <w:r>
        <w:rPr>
          <w:iCs/>
          <w:i/>
        </w:rPr>
        <w:t xml:space="preserve">Tratado teológico-político</w:t>
      </w:r>
      <w:r>
        <w:t xml:space="preserve">, prefacio.</w:t>
      </w:r>
    </w:p>
    <w:p>
      <w:pPr>
        <w:pStyle w:val="BodyText"/>
      </w:pPr>
      <w:bookmarkStart w:id="154" w:name="nota-03-11"/>
      <w:hyperlink w:anchor="ref-03-11">
        <w:r>
          <w:rPr>
            <w:rStyle w:val="Hyperlink"/>
          </w:rPr>
          <w:t xml:space="preserve">11</w:t>
        </w:r>
      </w:hyperlink>
      <w:bookmarkEnd w:id="154"/>
      <w:r>
        <w:t xml:space="preserve">. Étienne de La Boétie,</w:t>
      </w:r>
      <w:r>
        <w:t xml:space="preserve"> </w:t>
      </w:r>
      <w:r>
        <w:rPr>
          <w:iCs/>
          <w:i/>
        </w:rPr>
        <w:t xml:space="preserve">Discurso de la servidumbre voluntaria</w:t>
      </w:r>
      <w:r>
        <w:t xml:space="preserve">.</w:t>
      </w:r>
    </w:p>
    <w:p>
      <w:pPr>
        <w:pStyle w:val="BodyText"/>
      </w:pPr>
      <w:bookmarkStart w:id="155" w:name="nota-03-12"/>
      <w:hyperlink w:anchor="ref-03-12">
        <w:r>
          <w:rPr>
            <w:rStyle w:val="Hyperlink"/>
          </w:rPr>
          <w:t xml:space="preserve">12</w:t>
        </w:r>
      </w:hyperlink>
      <w:bookmarkEnd w:id="155"/>
      <w:r>
        <w:t xml:space="preserve">. Gert Biesta, «What is Education For?»,</w:t>
      </w:r>
      <w:r>
        <w:t xml:space="preserve"> </w:t>
      </w:r>
      <w:r>
        <w:rPr>
          <w:iCs/>
          <w:i/>
        </w:rPr>
        <w:t xml:space="preserve">European Journal of Education</w:t>
      </w:r>
      <w:r>
        <w:t xml:space="preserve">, 50 (1), 2015, pp. 75-87.</w:t>
      </w:r>
    </w:p>
    <w:bookmarkEnd w:id="156"/>
    <w:bookmarkStart w:id="168" w:name="escultores-de-sí-mismos-1"/>
    <w:p>
      <w:pPr>
        <w:pStyle w:val="Heading2"/>
      </w:pPr>
      <w:r>
        <w:t xml:space="preserve">4. Escultores de sí mismos</w:t>
      </w:r>
    </w:p>
    <w:p>
      <w:pPr>
        <w:pStyle w:val="FirstParagraph"/>
      </w:pPr>
      <w:bookmarkStart w:id="157" w:name="nota-04-1"/>
      <w:hyperlink w:anchor="ref-04-1">
        <w:r>
          <w:rPr>
            <w:rStyle w:val="Hyperlink"/>
          </w:rPr>
          <w:t xml:space="preserve">1</w:t>
        </w:r>
      </w:hyperlink>
      <w:bookmarkEnd w:id="157"/>
      <w:r>
        <w:t xml:space="preserve">. Giovanni Pico della Mirandola,</w:t>
      </w:r>
      <w:r>
        <w:t xml:space="preserve"> </w:t>
      </w:r>
      <w:r>
        <w:rPr>
          <w:iCs/>
          <w:i/>
        </w:rPr>
        <w:t xml:space="preserve">Discurso sobre la dignidad del hombre</w:t>
      </w:r>
      <w:r>
        <w:t xml:space="preserve"> </w:t>
      </w:r>
      <w:r>
        <w:t xml:space="preserve">(1486).</w:t>
      </w:r>
    </w:p>
    <w:p>
      <w:pPr>
        <w:pStyle w:val="BodyText"/>
      </w:pPr>
      <w:bookmarkStart w:id="158" w:name="nota-04-2"/>
      <w:hyperlink w:anchor="ref-04-2">
        <w:r>
          <w:rPr>
            <w:rStyle w:val="Hyperlink"/>
          </w:rPr>
          <w:t xml:space="preserve">2</w:t>
        </w:r>
      </w:hyperlink>
      <w:bookmarkEnd w:id="158"/>
      <w:r>
        <w:t xml:space="preserve">. Hans-Georg Gadamer,</w:t>
      </w:r>
      <w:r>
        <w:t xml:space="preserve"> </w:t>
      </w:r>
      <w:r>
        <w:rPr>
          <w:iCs/>
          <w:i/>
        </w:rPr>
        <w:t xml:space="preserve">Verdad y método</w:t>
      </w:r>
      <w:r>
        <w:t xml:space="preserve">, primera parte, cap. 1, sobre el concepto de formación.</w:t>
      </w:r>
    </w:p>
    <w:p>
      <w:pPr>
        <w:pStyle w:val="BodyText"/>
      </w:pPr>
      <w:bookmarkStart w:id="159" w:name="nota-04-3"/>
      <w:hyperlink w:anchor="ref-04-3">
        <w:r>
          <w:rPr>
            <w:rStyle w:val="Hyperlink"/>
          </w:rPr>
          <w:t xml:space="preserve">3</w:t>
        </w:r>
      </w:hyperlink>
      <w:bookmarkEnd w:id="159"/>
      <w:r>
        <w:t xml:space="preserve">. Jean-Jacques Rousseau,</w:t>
      </w:r>
      <w:r>
        <w:t xml:space="preserve"> </w:t>
      </w:r>
      <w:r>
        <w:rPr>
          <w:iCs/>
          <w:i/>
        </w:rPr>
        <w:t xml:space="preserve">Emilio, o De la educación</w:t>
      </w:r>
      <w:r>
        <w:t xml:space="preserve">, libro V.</w:t>
      </w:r>
    </w:p>
    <w:p>
      <w:pPr>
        <w:pStyle w:val="BodyText"/>
      </w:pPr>
      <w:bookmarkStart w:id="160" w:name="nota-04-4"/>
      <w:hyperlink w:anchor="ref-04-4">
        <w:r>
          <w:rPr>
            <w:rStyle w:val="Hyperlink"/>
          </w:rPr>
          <w:t xml:space="preserve">4</w:t>
        </w:r>
      </w:hyperlink>
      <w:bookmarkEnd w:id="160"/>
      <w:r>
        <w:t xml:space="preserve">. Christine de Pizan,</w:t>
      </w:r>
      <w:r>
        <w:t xml:space="preserve"> </w:t>
      </w:r>
      <w:r>
        <w:rPr>
          <w:iCs/>
          <w:i/>
        </w:rPr>
        <w:t xml:space="preserve">La ciudad de las damas</w:t>
      </w:r>
      <w:r>
        <w:t xml:space="preserve">, primera parte, caps. 1-2.</w:t>
      </w:r>
    </w:p>
    <w:p>
      <w:pPr>
        <w:pStyle w:val="BodyText"/>
      </w:pPr>
      <w:bookmarkStart w:id="161" w:name="nota-04-5"/>
      <w:hyperlink w:anchor="ref-04-5">
        <w:r>
          <w:rPr>
            <w:rStyle w:val="Hyperlink"/>
          </w:rPr>
          <w:t xml:space="preserve">5</w:t>
        </w:r>
      </w:hyperlink>
      <w:bookmarkEnd w:id="161"/>
      <w:r>
        <w:t xml:space="preserve">. Mary Wollstonecraft,</w:t>
      </w:r>
      <w:r>
        <w:t xml:space="preserve"> </w:t>
      </w:r>
      <w:r>
        <w:rPr>
          <w:iCs/>
          <w:i/>
        </w:rPr>
        <w:t xml:space="preserve">Vindicación de los derechos de la mujer</w:t>
      </w:r>
      <w:r>
        <w:t xml:space="preserve">, caps. 5 y 12.</w:t>
      </w:r>
    </w:p>
    <w:p>
      <w:pPr>
        <w:pStyle w:val="BodyText"/>
      </w:pPr>
      <w:bookmarkStart w:id="162" w:name="nota-04-6"/>
      <w:hyperlink w:anchor="ref-04-6">
        <w:r>
          <w:rPr>
            <w:rStyle w:val="Hyperlink"/>
          </w:rPr>
          <w:t xml:space="preserve">6</w:t>
        </w:r>
      </w:hyperlink>
      <w:bookmarkEnd w:id="162"/>
      <w:r>
        <w:t xml:space="preserve">. Immanuel Kant, «Respuesta a la pregunta: ¿Qué es la Ilustración?» (1784). La paradoja de la libertad bajo coacción está en la introducción a la</w:t>
      </w:r>
      <w:r>
        <w:t xml:space="preserve"> </w:t>
      </w:r>
      <w:r>
        <w:rPr>
          <w:iCs/>
          <w:i/>
        </w:rPr>
        <w:t xml:space="preserve">Pedagogía</w:t>
      </w:r>
      <w:r>
        <w:t xml:space="preserve">.</w:t>
      </w:r>
    </w:p>
    <w:p>
      <w:pPr>
        <w:pStyle w:val="BodyText"/>
      </w:pPr>
      <w:bookmarkStart w:id="163" w:name="nota-04-7"/>
      <w:hyperlink w:anchor="ref-04-7">
        <w:r>
          <w:rPr>
            <w:rStyle w:val="Hyperlink"/>
          </w:rPr>
          <w:t xml:space="preserve">7</w:t>
        </w:r>
      </w:hyperlink>
      <w:bookmarkEnd w:id="163"/>
      <w:r>
        <w:t xml:space="preserve">. Michel Foucault,</w:t>
      </w:r>
      <w:r>
        <w:t xml:space="preserve"> </w:t>
      </w:r>
      <w:r>
        <w:rPr>
          <w:iCs/>
          <w:i/>
        </w:rPr>
        <w:t xml:space="preserve">Nacimiento de la biopolítica</w:t>
      </w:r>
      <w:r>
        <w:t xml:space="preserve">, lección del 14 de marzo de 1979.</w:t>
      </w:r>
    </w:p>
    <w:p>
      <w:pPr>
        <w:pStyle w:val="BodyText"/>
      </w:pPr>
      <w:bookmarkStart w:id="164" w:name="nota-04-8"/>
      <w:hyperlink w:anchor="ref-04-8">
        <w:r>
          <w:rPr>
            <w:rStyle w:val="Hyperlink"/>
          </w:rPr>
          <w:t xml:space="preserve">8</w:t>
        </w:r>
      </w:hyperlink>
      <w:bookmarkEnd w:id="164"/>
      <w:r>
        <w:t xml:space="preserve">. Byung-Chul Han,</w:t>
      </w:r>
      <w:r>
        <w:t xml:space="preserve"> </w:t>
      </w:r>
      <w:r>
        <w:rPr>
          <w:iCs/>
          <w:i/>
        </w:rPr>
        <w:t xml:space="preserve">La sociedad del cansancio</w:t>
      </w:r>
      <w:r>
        <w:t xml:space="preserve">, Barcelona, Herder, 2012.</w:t>
      </w:r>
    </w:p>
    <w:p>
      <w:pPr>
        <w:pStyle w:val="BodyText"/>
      </w:pPr>
      <w:bookmarkStart w:id="165" w:name="nota-04-9"/>
      <w:hyperlink w:anchor="ref-04-9">
        <w:r>
          <w:rPr>
            <w:rStyle w:val="Hyperlink"/>
          </w:rPr>
          <w:t xml:space="preserve">9</w:t>
        </w:r>
      </w:hyperlink>
      <w:bookmarkEnd w:id="165"/>
      <w:r>
        <w:t xml:space="preserve">. Paul Black y Dylan Wiliam, «Inside the Black Box»,</w:t>
      </w:r>
      <w:r>
        <w:t xml:space="preserve"> </w:t>
      </w:r>
      <w:r>
        <w:rPr>
          <w:iCs/>
          <w:i/>
        </w:rPr>
        <w:t xml:space="preserve">Phi Delta Kappan</w:t>
      </w:r>
      <w:r>
        <w:t xml:space="preserve">, 80 (2), 1998, pp. 139-148.</w:t>
      </w:r>
    </w:p>
    <w:p>
      <w:pPr>
        <w:pStyle w:val="BodyText"/>
      </w:pPr>
      <w:bookmarkStart w:id="166" w:name="nota-04-10"/>
      <w:hyperlink w:anchor="ref-04-10">
        <w:r>
          <w:rPr>
            <w:rStyle w:val="Hyperlink"/>
          </w:rPr>
          <w:t xml:space="preserve">10</w:t>
        </w:r>
      </w:hyperlink>
      <w:bookmarkEnd w:id="166"/>
      <w:r>
        <w:t xml:space="preserve">. Engin Atasay, «Neoliberal schooling and subjectivity: learning to desire lack»,</w:t>
      </w:r>
      <w:r>
        <w:t xml:space="preserve"> </w:t>
      </w:r>
      <w:r>
        <w:rPr>
          <w:iCs/>
          <w:i/>
        </w:rPr>
        <w:t xml:space="preserve">Subjectivity</w:t>
      </w:r>
      <w:r>
        <w:t xml:space="preserve">, 7 (3), 2014, pp. 288-307.</w:t>
      </w:r>
    </w:p>
    <w:p>
      <w:pPr>
        <w:pStyle w:val="BodyText"/>
      </w:pPr>
      <w:bookmarkStart w:id="167" w:name="nota-04-11"/>
      <w:hyperlink w:anchor="ref-04-11">
        <w:r>
          <w:rPr>
            <w:rStyle w:val="Hyperlink"/>
          </w:rPr>
          <w:t xml:space="preserve">11</w:t>
        </w:r>
      </w:hyperlink>
      <w:bookmarkEnd w:id="167"/>
      <w:r>
        <w:t xml:space="preserve">. Stephen J. Ball, «The teacher’s soul and the terrors of performativity»,</w:t>
      </w:r>
      <w:r>
        <w:t xml:space="preserve"> </w:t>
      </w:r>
      <w:r>
        <w:rPr>
          <w:iCs/>
          <w:i/>
        </w:rPr>
        <w:t xml:space="preserve">Journal of Education Policy</w:t>
      </w:r>
      <w:r>
        <w:t xml:space="preserve">, 18 (2), 2003, pp. 215-228.</w:t>
      </w:r>
    </w:p>
    <w:bookmarkEnd w:id="168"/>
    <w:bookmarkStart w:id="182" w:name="ser-visto-1"/>
    <w:p>
      <w:pPr>
        <w:pStyle w:val="Heading2"/>
      </w:pPr>
      <w:r>
        <w:t xml:space="preserve">5. Ser visto</w:t>
      </w:r>
    </w:p>
    <w:p>
      <w:pPr>
        <w:pStyle w:val="FirstParagraph"/>
      </w:pPr>
      <w:bookmarkStart w:id="169" w:name="nota-05-1"/>
      <w:hyperlink w:anchor="ref-05-1">
        <w:r>
          <w:rPr>
            <w:rStyle w:val="Hyperlink"/>
          </w:rPr>
          <w:t xml:space="preserve">1</w:t>
        </w:r>
      </w:hyperlink>
      <w:bookmarkEnd w:id="169"/>
      <w:r>
        <w:t xml:space="preserve">. Agustín de Hipona,</w:t>
      </w:r>
      <w:r>
        <w:t xml:space="preserve"> </w:t>
      </w:r>
      <w:r>
        <w:rPr>
          <w:iCs/>
          <w:i/>
        </w:rPr>
        <w:t xml:space="preserve">Del maestro</w:t>
      </w:r>
      <w:r>
        <w:t xml:space="preserve">, en</w:t>
      </w:r>
      <w:r>
        <w:t xml:space="preserve"> </w:t>
      </w:r>
      <w:r>
        <w:rPr>
          <w:iCs/>
          <w:i/>
        </w:rPr>
        <w:t xml:space="preserve">Obras de San Agustín</w:t>
      </w:r>
      <w:r>
        <w:t xml:space="preserve">, t. III, Madrid, BAC.</w:t>
      </w:r>
    </w:p>
    <w:p>
      <w:pPr>
        <w:pStyle w:val="BodyText"/>
      </w:pPr>
      <w:bookmarkStart w:id="170" w:name="nota-05-2"/>
      <w:hyperlink w:anchor="ref-05-2">
        <w:r>
          <w:rPr>
            <w:rStyle w:val="Hyperlink"/>
          </w:rPr>
          <w:t xml:space="preserve">2</w:t>
        </w:r>
      </w:hyperlink>
      <w:bookmarkEnd w:id="170"/>
      <w:r>
        <w:t xml:space="preserve">. Michel Foucault,</w:t>
      </w:r>
      <w:r>
        <w:t xml:space="preserve"> </w:t>
      </w:r>
      <w:r>
        <w:rPr>
          <w:iCs/>
          <w:i/>
        </w:rPr>
        <w:t xml:space="preserve">Seguridad, territorio, población</w:t>
      </w:r>
      <w:r>
        <w:t xml:space="preserve">, lecciones de febrero de 1978.</w:t>
      </w:r>
    </w:p>
    <w:p>
      <w:pPr>
        <w:pStyle w:val="BodyText"/>
      </w:pPr>
      <w:bookmarkStart w:id="171" w:name="nota-05-3"/>
      <w:hyperlink w:anchor="ref-05-3">
        <w:r>
          <w:rPr>
            <w:rStyle w:val="Hyperlink"/>
          </w:rPr>
          <w:t xml:space="preserve">3</w:t>
        </w:r>
      </w:hyperlink>
      <w:bookmarkEnd w:id="171"/>
      <w:r>
        <w:t xml:space="preserve">. Michel Foucault,</w:t>
      </w:r>
      <w:r>
        <w:t xml:space="preserve"> </w:t>
      </w:r>
      <w:r>
        <w:rPr>
          <w:iCs/>
          <w:i/>
        </w:rPr>
        <w:t xml:space="preserve">Vigilar y castigar</w:t>
      </w:r>
      <w:r>
        <w:t xml:space="preserve">, tercera parte, cap. 3, «El panoptismo».</w:t>
      </w:r>
    </w:p>
    <w:p>
      <w:pPr>
        <w:pStyle w:val="BodyText"/>
      </w:pPr>
      <w:bookmarkStart w:id="172" w:name="nota-05-4"/>
      <w:hyperlink w:anchor="ref-05-4">
        <w:r>
          <w:rPr>
            <w:rStyle w:val="Hyperlink"/>
          </w:rPr>
          <w:t xml:space="preserve">4</w:t>
        </w:r>
      </w:hyperlink>
      <w:bookmarkEnd w:id="172"/>
      <w:r>
        <w:t xml:space="preserve">. Ibíd., tercera parte, cap. 2, «Los medios del buen encauzamiento».</w:t>
      </w:r>
    </w:p>
    <w:p>
      <w:pPr>
        <w:pStyle w:val="BodyText"/>
      </w:pPr>
      <w:bookmarkStart w:id="173" w:name="nota-05-5"/>
      <w:hyperlink w:anchor="ref-05-5">
        <w:r>
          <w:rPr>
            <w:rStyle w:val="Hyperlink"/>
          </w:rPr>
          <w:t xml:space="preserve">5</w:t>
        </w:r>
      </w:hyperlink>
      <w:bookmarkEnd w:id="173"/>
      <w:r>
        <w:t xml:space="preserve">. Ben Williamson,</w:t>
      </w:r>
      <w:r>
        <w:t xml:space="preserve"> </w:t>
      </w:r>
      <w:r>
        <w:rPr>
          <w:iCs/>
          <w:i/>
        </w:rPr>
        <w:t xml:space="preserve">Big Data in Education</w:t>
      </w:r>
      <w:r>
        <w:t xml:space="preserve">, Londres, SAGE, 2017.</w:t>
      </w:r>
    </w:p>
    <w:p>
      <w:pPr>
        <w:pStyle w:val="BodyText"/>
      </w:pPr>
      <w:bookmarkStart w:id="174" w:name="nota-05-6"/>
      <w:hyperlink w:anchor="ref-05-6">
        <w:r>
          <w:rPr>
            <w:rStyle w:val="Hyperlink"/>
          </w:rPr>
          <w:t xml:space="preserve">6</w:t>
        </w:r>
      </w:hyperlink>
      <w:bookmarkEnd w:id="174"/>
      <w:r>
        <w:t xml:space="preserve">. Kimberly Arnold y Matthew Pistilli, «Course Signals at Purdue: Using Learning Analytics to Increase Student Success»,</w:t>
      </w:r>
      <w:r>
        <w:t xml:space="preserve"> </w:t>
      </w:r>
      <w:r>
        <w:rPr>
          <w:iCs/>
          <w:i/>
        </w:rPr>
        <w:t xml:space="preserve">Proceedings of the 2nd International Conference on Learning Analytics and Knowledge</w:t>
      </w:r>
      <w:r>
        <w:t xml:space="preserve">, ACM, 2012. Las críticas de Michael Caulfield y Alfred Essa se publicaron en sus blogs en 2013 y las recogió la prensa universitaria estadounidense (</w:t>
      </w:r>
      <w:r>
        <w:rPr>
          <w:iCs/>
          <w:i/>
        </w:rPr>
        <w:t xml:space="preserve">Inside Higher Ed</w:t>
      </w:r>
      <w:r>
        <w:t xml:space="preserve">, 2013).</w:t>
      </w:r>
    </w:p>
    <w:p>
      <w:pPr>
        <w:pStyle w:val="BodyText"/>
      </w:pPr>
      <w:bookmarkStart w:id="175" w:name="nota-05-7"/>
      <w:hyperlink w:anchor="ref-05-7">
        <w:r>
          <w:rPr>
            <w:rStyle w:val="Hyperlink"/>
          </w:rPr>
          <w:t xml:space="preserve">7</w:t>
        </w:r>
      </w:hyperlink>
      <w:bookmarkEnd w:id="175"/>
      <w:r>
        <w:t xml:space="preserve">. Georgia State University,</w:t>
      </w:r>
      <w:r>
        <w:t xml:space="preserve"> </w:t>
      </w:r>
      <w:r>
        <w:rPr>
          <w:iCs/>
          <w:i/>
        </w:rPr>
        <w:t xml:space="preserve">Complete College Report</w:t>
      </w:r>
      <w:r>
        <w:t xml:space="preserve"> </w:t>
      </w:r>
      <w:r>
        <w:t xml:space="preserve">(varios años), y la descripción del sistema GPS Advising en la web de su Office of Student Success. Son datos de la propia institución, no evaluaciones independientes.</w:t>
      </w:r>
    </w:p>
    <w:p>
      <w:pPr>
        <w:pStyle w:val="BodyText"/>
      </w:pPr>
      <w:bookmarkStart w:id="176" w:name="nota-05-8"/>
      <w:hyperlink w:anchor="ref-05-8">
        <w:r>
          <w:rPr>
            <w:rStyle w:val="Hyperlink"/>
          </w:rPr>
          <w:t xml:space="preserve">8</w:t>
        </w:r>
      </w:hyperlink>
      <w:bookmarkEnd w:id="176"/>
      <w:r>
        <w:t xml:space="preserve">. Datatilsynet, decisión de 14 de julio de 2022 sobre el municipio de Helsingør, y decisión de 30 de enero de 2024 sobre el uso de Google Workspace y Chromebooks en cincuenta y tres municipios daneses.</w:t>
      </w:r>
    </w:p>
    <w:p>
      <w:pPr>
        <w:pStyle w:val="BodyText"/>
      </w:pPr>
      <w:bookmarkStart w:id="177" w:name="nota-05-9"/>
      <w:hyperlink w:anchor="ref-05-9">
        <w:r>
          <w:rPr>
            <w:rStyle w:val="Hyperlink"/>
          </w:rPr>
          <w:t xml:space="preserve">9</w:t>
        </w:r>
      </w:hyperlink>
      <w:bookmarkEnd w:id="177"/>
      <w:r>
        <w:t xml:space="preserve">. Decisión de ejecución (UE) 2023/1795 de la Comisión, de 10 de julio de 2023; Tribunal General, asunto T-553/23,</w:t>
      </w:r>
      <w:r>
        <w:t xml:space="preserve"> </w:t>
      </w:r>
      <w:r>
        <w:rPr>
          <w:iCs/>
          <w:i/>
        </w:rPr>
        <w:t xml:space="preserve">Latombe c. Comisión</w:t>
      </w:r>
      <w:r>
        <w:t xml:space="preserve">, sentencia de 3 de septiembre de 2025. Los acuerdos anteriores se anularon en las sentencias</w:t>
      </w:r>
      <w:r>
        <w:t xml:space="preserve"> </w:t>
      </w:r>
      <w:r>
        <w:rPr>
          <w:iCs/>
          <w:i/>
        </w:rPr>
        <w:t xml:space="preserve">Schrems</w:t>
      </w:r>
      <w:r>
        <w:t xml:space="preserve"> </w:t>
      </w:r>
      <w:r>
        <w:t xml:space="preserve">(C-362/14, 2015) y</w:t>
      </w:r>
      <w:r>
        <w:t xml:space="preserve"> </w:t>
      </w:r>
      <w:r>
        <w:rPr>
          <w:iCs/>
          <w:i/>
        </w:rPr>
        <w:t xml:space="preserve">Schrems II</w:t>
      </w:r>
      <w:r>
        <w:t xml:space="preserve"> </w:t>
      </w:r>
      <w:r>
        <w:t xml:space="preserve">(C-311/18, 2020).</w:t>
      </w:r>
    </w:p>
    <w:p>
      <w:pPr>
        <w:pStyle w:val="BodyText"/>
      </w:pPr>
      <w:bookmarkStart w:id="178" w:name="nota-05-10"/>
      <w:hyperlink w:anchor="ref-05-10">
        <w:r>
          <w:rPr>
            <w:rStyle w:val="Hyperlink"/>
          </w:rPr>
          <w:t xml:space="preserve">10</w:t>
        </w:r>
      </w:hyperlink>
      <w:bookmarkEnd w:id="178"/>
      <w:r>
        <w:t xml:space="preserve">. Gilles Deleuze, «Post-scriptum sobre las sociedades de control», en</w:t>
      </w:r>
      <w:r>
        <w:t xml:space="preserve"> </w:t>
      </w:r>
      <w:r>
        <w:rPr>
          <w:iCs/>
          <w:i/>
        </w:rPr>
        <w:t xml:space="preserve">Conversaciones</w:t>
      </w:r>
      <w:r>
        <w:t xml:space="preserve">, Valencia, Pre-Textos, 1999.</w:t>
      </w:r>
    </w:p>
    <w:p>
      <w:pPr>
        <w:pStyle w:val="BodyText"/>
      </w:pPr>
      <w:bookmarkStart w:id="179" w:name="nota-05-11"/>
      <w:hyperlink w:anchor="ref-05-11">
        <w:r>
          <w:rPr>
            <w:rStyle w:val="Hyperlink"/>
          </w:rPr>
          <w:t xml:space="preserve">11</w:t>
        </w:r>
      </w:hyperlink>
      <w:bookmarkEnd w:id="179"/>
      <w:r>
        <w:t xml:space="preserve">. Shoshana Zuboff,</w:t>
      </w:r>
      <w:r>
        <w:t xml:space="preserve"> </w:t>
      </w:r>
      <w:r>
        <w:rPr>
          <w:iCs/>
          <w:i/>
        </w:rPr>
        <w:t xml:space="preserve">La era del capitalismo de la vigilancia</w:t>
      </w:r>
      <w:r>
        <w:t xml:space="preserve">, Barcelona, Paidós, 2020, primera parte.</w:t>
      </w:r>
    </w:p>
    <w:p>
      <w:pPr>
        <w:pStyle w:val="BodyText"/>
      </w:pPr>
      <w:bookmarkStart w:id="180" w:name="nota-05-12"/>
      <w:hyperlink w:anchor="ref-05-12">
        <w:r>
          <w:rPr>
            <w:rStyle w:val="Hyperlink"/>
          </w:rPr>
          <w:t xml:space="preserve">12</w:t>
        </w:r>
      </w:hyperlink>
      <w:bookmarkEnd w:id="180"/>
      <w:r>
        <w:t xml:space="preserve">. Reglamento (UE) 2024/1689, de Inteligencia Artificial, art. 5.1.f y anexo III, punto 3. El aplazamiento de las obligaciones para los sistemas de alto riesgo procede de la modificación aprobada en 2026 dentro del llamado paquete Ómnibus Digital.</w:t>
      </w:r>
    </w:p>
    <w:p>
      <w:pPr>
        <w:pStyle w:val="BodyText"/>
      </w:pPr>
      <w:bookmarkStart w:id="181" w:name="nota-05-13"/>
      <w:hyperlink w:anchor="ref-05-13">
        <w:r>
          <w:rPr>
            <w:rStyle w:val="Hyperlink"/>
          </w:rPr>
          <w:t xml:space="preserve">13</w:t>
        </w:r>
      </w:hyperlink>
      <w:bookmarkEnd w:id="181"/>
      <w:r>
        <w:t xml:space="preserve">. Hannah Arendt, «La crisis en la educación», en</w:t>
      </w:r>
      <w:r>
        <w:t xml:space="preserve"> </w:t>
      </w:r>
      <w:r>
        <w:rPr>
          <w:iCs/>
          <w:i/>
        </w:rPr>
        <w:t xml:space="preserve">Entre el pasado y el futuro</w:t>
      </w:r>
      <w:r>
        <w:t xml:space="preserve">, Barcelona, Península.</w:t>
      </w:r>
    </w:p>
    <w:bookmarkEnd w:id="182"/>
    <w:bookmarkStart w:id="198" w:name="la-memoria-fuera-de-nosotros-1"/>
    <w:p>
      <w:pPr>
        <w:pStyle w:val="Heading2"/>
      </w:pPr>
      <w:r>
        <w:t xml:space="preserve">6. La memoria fuera de nosotros</w:t>
      </w:r>
    </w:p>
    <w:p>
      <w:pPr>
        <w:pStyle w:val="FirstParagraph"/>
      </w:pPr>
      <w:bookmarkStart w:id="183" w:name="nota-06-1"/>
      <w:hyperlink w:anchor="ref-06-1">
        <w:r>
          <w:rPr>
            <w:rStyle w:val="Hyperlink"/>
          </w:rPr>
          <w:t xml:space="preserve">1</w:t>
        </w:r>
      </w:hyperlink>
      <w:bookmarkEnd w:id="183"/>
      <w:r>
        <w:t xml:space="preserve">. Platón,</w:t>
      </w:r>
      <w:r>
        <w:t xml:space="preserve"> </w:t>
      </w:r>
      <w:r>
        <w:rPr>
          <w:iCs/>
          <w:i/>
        </w:rPr>
        <w:t xml:space="preserve">Fedro</w:t>
      </w:r>
      <w:r>
        <w:t xml:space="preserve">, 274c-275b.</w:t>
      </w:r>
    </w:p>
    <w:p>
      <w:pPr>
        <w:pStyle w:val="BodyText"/>
      </w:pPr>
      <w:bookmarkStart w:id="184" w:name="nota-06-2"/>
      <w:hyperlink w:anchor="ref-06-2">
        <w:r>
          <w:rPr>
            <w:rStyle w:val="Hyperlink"/>
          </w:rPr>
          <w:t xml:space="preserve">2</w:t>
        </w:r>
      </w:hyperlink>
      <w:bookmarkEnd w:id="184"/>
      <w:r>
        <w:t xml:space="preserve">. Jacques Derrida, «La farmacia de Platón», en</w:t>
      </w:r>
      <w:r>
        <w:t xml:space="preserve"> </w:t>
      </w:r>
      <w:r>
        <w:rPr>
          <w:iCs/>
          <w:i/>
        </w:rPr>
        <w:t xml:space="preserve">La diseminación</w:t>
      </w:r>
      <w:r>
        <w:t xml:space="preserve">, Madrid, Fundamentos, 1975.</w:t>
      </w:r>
    </w:p>
    <w:p>
      <w:pPr>
        <w:pStyle w:val="BodyText"/>
      </w:pPr>
      <w:bookmarkStart w:id="185" w:name="nota-06-3"/>
      <w:hyperlink w:anchor="ref-06-3">
        <w:r>
          <w:rPr>
            <w:rStyle w:val="Hyperlink"/>
          </w:rPr>
          <w:t xml:space="preserve">3</w:t>
        </w:r>
      </w:hyperlink>
      <w:bookmarkEnd w:id="185"/>
      <w:r>
        <w:t xml:space="preserve">. Bernard Stiegler,</w:t>
      </w:r>
      <w:r>
        <w:t xml:space="preserve"> </w:t>
      </w:r>
      <w:r>
        <w:rPr>
          <w:iCs/>
          <w:i/>
        </w:rPr>
        <w:t xml:space="preserve">La técnica y el tiempo</w:t>
      </w:r>
      <w:r>
        <w:t xml:space="preserve">, Hondarribia, Hiru, 2002, y</w:t>
      </w:r>
      <w:r>
        <w:t xml:space="preserve"> </w:t>
      </w:r>
      <w:r>
        <w:rPr>
          <w:iCs/>
          <w:i/>
        </w:rPr>
        <w:t xml:space="preserve">Lo que hace que la vida merezca ser vivida. De la farmacología</w:t>
      </w:r>
      <w:r>
        <w:t xml:space="preserve">, Avarigani, 2015.</w:t>
      </w:r>
    </w:p>
    <w:p>
      <w:pPr>
        <w:pStyle w:val="BodyText"/>
      </w:pPr>
      <w:bookmarkStart w:id="186" w:name="nota-06-4"/>
      <w:hyperlink w:anchor="ref-06-4">
        <w:r>
          <w:rPr>
            <w:rStyle w:val="Hyperlink"/>
          </w:rPr>
          <w:t xml:space="preserve">4</w:t>
        </w:r>
      </w:hyperlink>
      <w:bookmarkEnd w:id="186"/>
      <w:r>
        <w:t xml:space="preserve">. Jan Amos Comenio,</w:t>
      </w:r>
      <w:r>
        <w:t xml:space="preserve"> </w:t>
      </w:r>
      <w:r>
        <w:rPr>
          <w:iCs/>
          <w:i/>
        </w:rPr>
        <w:t xml:space="preserve">Didáctica magna</w:t>
      </w:r>
      <w:r>
        <w:t xml:space="preserve">, caps. XIII y XIV.</w:t>
      </w:r>
    </w:p>
    <w:p>
      <w:pPr>
        <w:pStyle w:val="BodyText"/>
      </w:pPr>
      <w:bookmarkStart w:id="187" w:name="nota-06-5"/>
      <w:hyperlink w:anchor="ref-06-5">
        <w:r>
          <w:rPr>
            <w:rStyle w:val="Hyperlink"/>
          </w:rPr>
          <w:t xml:space="preserve">5</w:t>
        </w:r>
      </w:hyperlink>
      <w:bookmarkEnd w:id="187"/>
      <w:r>
        <w:t xml:space="preserve">. Gilbert Simondon,</w:t>
      </w:r>
      <w:r>
        <w:t xml:space="preserve"> </w:t>
      </w:r>
      <w:r>
        <w:rPr>
          <w:iCs/>
          <w:i/>
        </w:rPr>
        <w:t xml:space="preserve">El modo de existencia de los objetos técnicos</w:t>
      </w:r>
      <w:r>
        <w:t xml:space="preserve">, Buenos Aires, Prometeo, 2007, introducción.</w:t>
      </w:r>
    </w:p>
    <w:p>
      <w:pPr>
        <w:pStyle w:val="BodyText"/>
      </w:pPr>
      <w:bookmarkStart w:id="188" w:name="nota-06-6"/>
      <w:hyperlink w:anchor="ref-06-6">
        <w:r>
          <w:rPr>
            <w:rStyle w:val="Hyperlink"/>
          </w:rPr>
          <w:t xml:space="preserve">6</w:t>
        </w:r>
      </w:hyperlink>
      <w:bookmarkEnd w:id="188"/>
      <w:r>
        <w:t xml:space="preserve">. Martin Heidegger, «La pregunta por la técnica», en</w:t>
      </w:r>
      <w:r>
        <w:t xml:space="preserve"> </w:t>
      </w:r>
      <w:r>
        <w:rPr>
          <w:iCs/>
          <w:i/>
        </w:rPr>
        <w:t xml:space="preserve">Conferencias y artículos</w:t>
      </w:r>
      <w:r>
        <w:t xml:space="preserve">, Barcelona, Ediciones del Serbal, 1994, y</w:t>
      </w:r>
      <w:r>
        <w:t xml:space="preserve"> </w:t>
      </w:r>
      <w:r>
        <w:rPr>
          <w:iCs/>
          <w:i/>
        </w:rPr>
        <w:t xml:space="preserve">Serenidad</w:t>
      </w:r>
      <w:r>
        <w:t xml:space="preserve">, Barcelona, Ediciones del Serbal.</w:t>
      </w:r>
    </w:p>
    <w:p>
      <w:pPr>
        <w:pStyle w:val="BodyText"/>
      </w:pPr>
      <w:bookmarkStart w:id="189" w:name="nota-06-7"/>
      <w:hyperlink w:anchor="ref-06-7">
        <w:r>
          <w:rPr>
            <w:rStyle w:val="Hyperlink"/>
          </w:rPr>
          <w:t xml:space="preserve">7</w:t>
        </w:r>
      </w:hyperlink>
      <w:bookmarkEnd w:id="189"/>
      <w:r>
        <w:t xml:space="preserve">. OCDE,</w:t>
      </w:r>
      <w:r>
        <w:t xml:space="preserve"> </w:t>
      </w:r>
      <w:r>
        <w:rPr>
          <w:iCs/>
          <w:i/>
        </w:rPr>
        <w:t xml:space="preserve">Students, Computers and Learning: Making the Connection</w:t>
      </w:r>
      <w:r>
        <w:t xml:space="preserve">, París, OECD Publishing, 2015.</w:t>
      </w:r>
    </w:p>
    <w:p>
      <w:pPr>
        <w:pStyle w:val="BodyText"/>
      </w:pPr>
      <w:bookmarkStart w:id="190" w:name="nota-06-8"/>
      <w:hyperlink w:anchor="ref-06-8">
        <w:r>
          <w:rPr>
            <w:rStyle w:val="Hyperlink"/>
          </w:rPr>
          <w:t xml:space="preserve">8</w:t>
        </w:r>
      </w:hyperlink>
      <w:bookmarkEnd w:id="190"/>
      <w:r>
        <w:t xml:space="preserve">. OCDE,</w:t>
      </w:r>
      <w:r>
        <w:t xml:space="preserve"> </w:t>
      </w:r>
      <w:r>
        <w:rPr>
          <w:iCs/>
          <w:i/>
        </w:rPr>
        <w:t xml:space="preserve">PISA 2022 Results (Volume II): Learning During – and From – Disruption</w:t>
      </w:r>
      <w:r>
        <w:t xml:space="preserve">, París, OECD Publishing, 2023.</w:t>
      </w:r>
    </w:p>
    <w:p>
      <w:pPr>
        <w:pStyle w:val="BodyText"/>
      </w:pPr>
      <w:bookmarkStart w:id="191" w:name="nota-06-9"/>
      <w:hyperlink w:anchor="ref-06-9">
        <w:r>
          <w:rPr>
            <w:rStyle w:val="Hyperlink"/>
          </w:rPr>
          <w:t xml:space="preserve">9</w:t>
        </w:r>
      </w:hyperlink>
      <w:bookmarkEnd w:id="191"/>
      <w:r>
        <w:t xml:space="preserve">. UNESCO,</w:t>
      </w:r>
      <w:r>
        <w:t xml:space="preserve"> </w:t>
      </w:r>
      <w:r>
        <w:rPr>
          <w:iCs/>
          <w:i/>
        </w:rPr>
        <w:t xml:space="preserve">Informe de seguimiento de la educación en el mundo 2023. La tecnología en la educación: ¿una herramienta en los términos de quién?</w:t>
      </w:r>
      <w:r>
        <w:t xml:space="preserve">, París, UNESCO, 2023.</w:t>
      </w:r>
    </w:p>
    <w:p>
      <w:pPr>
        <w:pStyle w:val="BodyText"/>
      </w:pPr>
      <w:bookmarkStart w:id="192" w:name="nota-06-10"/>
      <w:hyperlink w:anchor="ref-06-10">
        <w:r>
          <w:rPr>
            <w:rStyle w:val="Hyperlink"/>
          </w:rPr>
          <w:t xml:space="preserve">10</w:t>
        </w:r>
      </w:hyperlink>
      <w:bookmarkEnd w:id="192"/>
      <w:r>
        <w:t xml:space="preserve">. UNESCO, datos de seguimiento de los cierres escolares por la COVID-19, 2020; UNICEF,</w:t>
      </w:r>
      <w:r>
        <w:t xml:space="preserve"> </w:t>
      </w:r>
      <w:r>
        <w:rPr>
          <w:iCs/>
          <w:i/>
        </w:rPr>
        <w:t xml:space="preserve">Remote Learning Reachability</w:t>
      </w:r>
      <w:r>
        <w:t xml:space="preserve"> </w:t>
      </w:r>
      <w:r>
        <w:t xml:space="preserve">(ficha informativa), Nueva York, agosto de 2020, con datos de cien países.</w:t>
      </w:r>
    </w:p>
    <w:p>
      <w:pPr>
        <w:pStyle w:val="BodyText"/>
      </w:pPr>
      <w:bookmarkStart w:id="193" w:name="nota-06-11"/>
      <w:hyperlink w:anchor="ref-06-11">
        <w:r>
          <w:rPr>
            <w:rStyle w:val="Hyperlink"/>
          </w:rPr>
          <w:t xml:space="preserve">11</w:t>
        </w:r>
      </w:hyperlink>
      <w:bookmarkEnd w:id="193"/>
      <w:r>
        <w:t xml:space="preserve">. Weixin Liang et al., «GPT detectors are biased against non-native English writers»,</w:t>
      </w:r>
      <w:r>
        <w:t xml:space="preserve"> </w:t>
      </w:r>
      <w:r>
        <w:rPr>
          <w:iCs/>
          <w:i/>
        </w:rPr>
        <w:t xml:space="preserve">Patterns</w:t>
      </w:r>
      <w:r>
        <w:t xml:space="preserve">, 4 (7), 2023.</w:t>
      </w:r>
    </w:p>
    <w:p>
      <w:pPr>
        <w:pStyle w:val="BodyText"/>
      </w:pPr>
      <w:bookmarkStart w:id="194" w:name="nota-06-12"/>
      <w:hyperlink w:anchor="ref-06-12">
        <w:r>
          <w:rPr>
            <w:rStyle w:val="Hyperlink"/>
          </w:rPr>
          <w:t xml:space="preserve">12</w:t>
        </w:r>
      </w:hyperlink>
      <w:bookmarkEnd w:id="194"/>
      <w:r>
        <w:t xml:space="preserve">. Vanderbilt University, «Guidance on AI Detection and Why We’re Disabling Turnitin’s AI Detector», 16 de agosto de 2023.</w:t>
      </w:r>
    </w:p>
    <w:p>
      <w:pPr>
        <w:pStyle w:val="BodyText"/>
      </w:pPr>
      <w:bookmarkStart w:id="195" w:name="nota-06-13"/>
      <w:hyperlink w:anchor="ref-06-13">
        <w:r>
          <w:rPr>
            <w:rStyle w:val="Hyperlink"/>
          </w:rPr>
          <w:t xml:space="preserve">13</w:t>
        </w:r>
      </w:hyperlink>
      <w:bookmarkEnd w:id="195"/>
      <w:r>
        <w:t xml:space="preserve">. Hamsa Bastani et al., «Generative AI without guardrails can harm learning: Evidence from high school mathematics»,</w:t>
      </w:r>
      <w:r>
        <w:t xml:space="preserve"> </w:t>
      </w:r>
      <w:r>
        <w:rPr>
          <w:iCs/>
          <w:i/>
        </w:rPr>
        <w:t xml:space="preserve">Proceedings of the National Academy of Sciences</w:t>
      </w:r>
      <w:r>
        <w:t xml:space="preserve">, 122 (26), 2025.</w:t>
      </w:r>
    </w:p>
    <w:p>
      <w:pPr>
        <w:pStyle w:val="BodyText"/>
      </w:pPr>
      <w:bookmarkStart w:id="196" w:name="nota-06-14"/>
      <w:hyperlink w:anchor="ref-06-14">
        <w:r>
          <w:rPr>
            <w:rStyle w:val="Hyperlink"/>
          </w:rPr>
          <w:t xml:space="preserve">14</w:t>
        </w:r>
      </w:hyperlink>
      <w:bookmarkEnd w:id="196"/>
      <w:r>
        <w:t xml:space="preserve">. UNESCO,</w:t>
      </w:r>
      <w:r>
        <w:t xml:space="preserve"> </w:t>
      </w:r>
      <w:r>
        <w:rPr>
          <w:iCs/>
          <w:i/>
        </w:rPr>
        <w:t xml:space="preserve">Guidance for Generative AI in Education and Research</w:t>
      </w:r>
      <w:r>
        <w:t xml:space="preserve">, París, UNESCO, 2023.</w:t>
      </w:r>
    </w:p>
    <w:p>
      <w:pPr>
        <w:pStyle w:val="BodyText"/>
      </w:pPr>
      <w:bookmarkStart w:id="197" w:name="nota-06-15"/>
      <w:hyperlink w:anchor="ref-06-15">
        <w:r>
          <w:rPr>
            <w:rStyle w:val="Hyperlink"/>
          </w:rPr>
          <w:t xml:space="preserve">15</w:t>
        </w:r>
      </w:hyperlink>
      <w:bookmarkEnd w:id="197"/>
      <w:r>
        <w:t xml:space="preserve">. Kate Crawford,</w:t>
      </w:r>
      <w:r>
        <w:t xml:space="preserve"> </w:t>
      </w:r>
      <w:r>
        <w:rPr>
          <w:iCs/>
          <w:i/>
        </w:rPr>
        <w:t xml:space="preserve">Atlas de inteligencia artificial</w:t>
      </w:r>
      <w:r>
        <w:t xml:space="preserve">, Buenos Aires, Fondo de Cultura Económica, 2022.</w:t>
      </w:r>
    </w:p>
    <w:bookmarkEnd w:id="198"/>
    <w:bookmarkStart w:id="216" w:name="lo-que-no-tiene-precio-1"/>
    <w:p>
      <w:pPr>
        <w:pStyle w:val="Heading2"/>
      </w:pPr>
      <w:r>
        <w:t xml:space="preserve">7. Lo que no tiene precio</w:t>
      </w:r>
    </w:p>
    <w:p>
      <w:pPr>
        <w:pStyle w:val="FirstParagraph"/>
      </w:pPr>
      <w:bookmarkStart w:id="199" w:name="nota-07-1"/>
      <w:hyperlink w:anchor="ref-07-1">
        <w:r>
          <w:rPr>
            <w:rStyle w:val="Hyperlink"/>
          </w:rPr>
          <w:t xml:space="preserve">1</w:t>
        </w:r>
      </w:hyperlink>
      <w:bookmarkEnd w:id="199"/>
      <w:r>
        <w:t xml:space="preserve">. Cicerón,</w:t>
      </w:r>
      <w:r>
        <w:t xml:space="preserve"> </w:t>
      </w:r>
      <w:r>
        <w:rPr>
          <w:iCs/>
          <w:i/>
        </w:rPr>
        <w:t xml:space="preserve">Sobre los deberes</w:t>
      </w:r>
      <w:r>
        <w:t xml:space="preserve">, I, 150-151.</w:t>
      </w:r>
    </w:p>
    <w:p>
      <w:pPr>
        <w:pStyle w:val="BodyText"/>
      </w:pPr>
      <w:bookmarkStart w:id="200" w:name="nota-07-2"/>
      <w:hyperlink w:anchor="ref-07-2">
        <w:r>
          <w:rPr>
            <w:rStyle w:val="Hyperlink"/>
          </w:rPr>
          <w:t xml:space="preserve">2</w:t>
        </w:r>
      </w:hyperlink>
      <w:bookmarkEnd w:id="200"/>
      <w:r>
        <w:t xml:space="preserve">. 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p>
      <w:pPr>
        <w:pStyle w:val="BodyText"/>
      </w:pPr>
      <w:bookmarkStart w:id="201" w:name="nota-07-3"/>
      <w:hyperlink w:anchor="ref-07-3">
        <w:r>
          <w:rPr>
            <w:rStyle w:val="Hyperlink"/>
          </w:rPr>
          <w:t xml:space="preserve">3</w:t>
        </w:r>
      </w:hyperlink>
      <w:bookmarkEnd w:id="201"/>
      <w:r>
        <w:t xml:space="preserve">. Paulo Freire,</w:t>
      </w:r>
      <w:r>
        <w:t xml:space="preserve"> </w:t>
      </w:r>
      <w:r>
        <w:rPr>
          <w:iCs/>
          <w:i/>
        </w:rPr>
        <w:t xml:space="preserve">Pedagogía del oprimido</w:t>
      </w:r>
      <w:r>
        <w:t xml:space="preserve">, cap. 2.</w:t>
      </w:r>
    </w:p>
    <w:p>
      <w:pPr>
        <w:pStyle w:val="BodyText"/>
      </w:pPr>
      <w:bookmarkStart w:id="202" w:name="nota-07-4"/>
      <w:hyperlink w:anchor="ref-07-4">
        <w:r>
          <w:rPr>
            <w:rStyle w:val="Hyperlink"/>
          </w:rPr>
          <w:t xml:space="preserve">4</w:t>
        </w:r>
      </w:hyperlink>
      <w:bookmarkEnd w:id="202"/>
      <w:r>
        <w:t xml:space="preserve">. Juan Pablo Valenzuela, Cristián Bellei y Danae de los Ríos, «Socioeconomic school segregation in a market-oriented educational system. The case of Chile»,</w:t>
      </w:r>
      <w:r>
        <w:t xml:space="preserve"> </w:t>
      </w:r>
      <w:r>
        <w:rPr>
          <w:iCs/>
          <w:i/>
        </w:rPr>
        <w:t xml:space="preserve">Journal of Education Policy</w:t>
      </w:r>
      <w:r>
        <w:t xml:space="preserve">, 29 (2), 2014.</w:t>
      </w:r>
    </w:p>
    <w:p>
      <w:pPr>
        <w:pStyle w:val="BodyText"/>
      </w:pPr>
      <w:bookmarkStart w:id="203" w:name="nota-07-5"/>
      <w:hyperlink w:anchor="ref-07-5">
        <w:r>
          <w:rPr>
            <w:rStyle w:val="Hyperlink"/>
          </w:rPr>
          <w:t xml:space="preserve">5</w:t>
        </w:r>
      </w:hyperlink>
      <w:bookmarkEnd w:id="203"/>
      <w:r>
        <w:t xml:space="preserve">. Ley 21.728, promulgada el 31 de enero de 2025. Las cifras de beneficiarios y de docentes fallecidos proceden de la información oficial y de prensa de ese año.</w:t>
      </w:r>
    </w:p>
    <w:p>
      <w:pPr>
        <w:pStyle w:val="BodyText"/>
      </w:pPr>
      <w:bookmarkStart w:id="204" w:name="nota-07-6"/>
      <w:hyperlink w:anchor="ref-07-6">
        <w:r>
          <w:rPr>
            <w:rStyle w:val="Hyperlink"/>
          </w:rPr>
          <w:t xml:space="preserve">6</w:t>
        </w:r>
      </w:hyperlink>
      <w:bookmarkEnd w:id="204"/>
      <w:r>
        <w:t xml:space="preserve">. Ley 20.845 de Inclusión Escolar (2015), Ley 20.903 que crea el Sistema de Desarrollo Profesional Docente (2016) y Ley 21.040 que crea el Sistema de Educación Pública (2017).</w:t>
      </w:r>
    </w:p>
    <w:p>
      <w:pPr>
        <w:pStyle w:val="BodyText"/>
      </w:pPr>
      <w:bookmarkStart w:id="205" w:name="nota-07-7"/>
      <w:hyperlink w:anchor="ref-07-7">
        <w:r>
          <w:rPr>
            <w:rStyle w:val="Hyperlink"/>
          </w:rPr>
          <w:t xml:space="preserve">7</w:t>
        </w:r>
      </w:hyperlink>
      <w:bookmarkEnd w:id="205"/>
      <w:r>
        <w:t xml:space="preserve">. Centro de Investigación Avanzada en Educación (CIAE), Universidad de Chile, estudio sobre segregación escolar 2015-2024, julio de 2026. Para una lectura crítica del efecto del Sistema de Admisión Escolar, véanse los análisis de Libertad y Desarrollo (2025).</w:t>
      </w:r>
    </w:p>
    <w:p>
      <w:pPr>
        <w:pStyle w:val="BodyText"/>
      </w:pPr>
      <w:bookmarkStart w:id="206" w:name="nota-07-8"/>
      <w:hyperlink w:anchor="ref-07-8">
        <w:r>
          <w:rPr>
            <w:rStyle w:val="Hyperlink"/>
          </w:rPr>
          <w:t xml:space="preserve">8</w:t>
        </w:r>
      </w:hyperlink>
      <w:bookmarkEnd w:id="206"/>
      <w:r>
        <w:t xml:space="preserve">. Sobre el estado de los servicios locales de educación pública y del proyecto de ley que crea el Financiamiento para la Educación Superior (FES), aprobado por la Cámara de Diputados en agosto de 2025, uso información oficial y de prensa actualizada a octubre de 2026. Son cifras que cambian deprisa y conviene revisarlas.</w:t>
      </w:r>
    </w:p>
    <w:p>
      <w:pPr>
        <w:pStyle w:val="BodyText"/>
      </w:pPr>
      <w:bookmarkStart w:id="207" w:name="nota-07-9"/>
      <w:hyperlink w:anchor="ref-07-9">
        <w:r>
          <w:rPr>
            <w:rStyle w:val="Hyperlink"/>
          </w:rPr>
          <w:t xml:space="preserve">9</w:t>
        </w:r>
      </w:hyperlink>
      <w:bookmarkEnd w:id="207"/>
      <w:r>
        <w:t xml:space="preserve">. Michael J. Sandel,</w:t>
      </w:r>
      <w:r>
        <w:t xml:space="preserve"> </w:t>
      </w:r>
      <w:r>
        <w:rPr>
          <w:iCs/>
          <w:i/>
        </w:rPr>
        <w:t xml:space="preserve">Lo que el dinero no puede comprar</w:t>
      </w:r>
      <w:r>
        <w:t xml:space="preserve">, Barcelona, Debate, 2013, cap. 2.</w:t>
      </w:r>
    </w:p>
    <w:p>
      <w:pPr>
        <w:pStyle w:val="BodyText"/>
      </w:pPr>
      <w:bookmarkStart w:id="208" w:name="nota-07-10"/>
      <w:hyperlink w:anchor="ref-07-10">
        <w:r>
          <w:rPr>
            <w:rStyle w:val="Hyperlink"/>
          </w:rPr>
          <w:t xml:space="preserve">10</w:t>
        </w:r>
      </w:hyperlink>
      <w:bookmarkEnd w:id="208"/>
      <w:r>
        <w:t xml:space="preserve">. Google,</w:t>
      </w:r>
      <w:r>
        <w:t xml:space="preserve"> </w:t>
      </w:r>
      <w:r>
        <w:rPr>
          <w:iCs/>
          <w:i/>
        </w:rPr>
        <w:t xml:space="preserve">Google Workspace for Education Terms of Service</w:t>
      </w:r>
      <w:r>
        <w:t xml:space="preserve"> </w:t>
      </w:r>
      <w:r>
        <w:t xml:space="preserve">y</w:t>
      </w:r>
      <w:r>
        <w:t xml:space="preserve"> </w:t>
      </w:r>
      <w:r>
        <w:rPr>
          <w:iCs/>
          <w:i/>
        </w:rPr>
        <w:t xml:space="preserve">Google Workspace for Education Privacy Notice</w:t>
      </w:r>
      <w:r>
        <w:t xml:space="preserve">, versiones vigentes en 2026.</w:t>
      </w:r>
    </w:p>
    <w:p>
      <w:pPr>
        <w:pStyle w:val="BodyText"/>
      </w:pPr>
      <w:bookmarkStart w:id="209" w:name="nota-07-11"/>
      <w:hyperlink w:anchor="ref-07-11">
        <w:r>
          <w:rPr>
            <w:rStyle w:val="Hyperlink"/>
          </w:rPr>
          <w:t xml:space="preserve">11</w:t>
        </w:r>
      </w:hyperlink>
      <w:bookmarkEnd w:id="209"/>
      <w:r>
        <w:t xml:space="preserve">. Respuesta del Ministerio de Educación Nacional a la pregunta escrita n.º 971 del diputado Philippe Latombe,</w:t>
      </w:r>
      <w:r>
        <w:t xml:space="preserve"> </w:t>
      </w:r>
      <w:r>
        <w:rPr>
          <w:iCs/>
          <w:i/>
        </w:rPr>
        <w:t xml:space="preserve">Journal officiel</w:t>
      </w:r>
      <w:r>
        <w:t xml:space="preserve">, 15 de noviembre de 2022.</w:t>
      </w:r>
    </w:p>
    <w:p>
      <w:pPr>
        <w:pStyle w:val="BodyText"/>
      </w:pPr>
      <w:bookmarkStart w:id="210" w:name="nota-07-12"/>
      <w:hyperlink w:anchor="ref-07-12">
        <w:r>
          <w:rPr>
            <w:rStyle w:val="Hyperlink"/>
          </w:rPr>
          <w:t xml:space="preserve">12</w:t>
        </w:r>
      </w:hyperlink>
      <w:bookmarkEnd w:id="210"/>
      <w:r>
        <w:t xml:space="preserve">. Ayuntamiento de Barcelona, «Suite educativa DD: Digitalización Democrática», web de Innovación Democrática, y materiales de Xnet sobre el proyecto (2020-2023).</w:t>
      </w:r>
    </w:p>
    <w:p>
      <w:pPr>
        <w:pStyle w:val="BodyText"/>
      </w:pPr>
      <w:bookmarkStart w:id="211" w:name="nota-07-13"/>
      <w:hyperlink w:anchor="ref-07-13">
        <w:r>
          <w:rPr>
            <w:rStyle w:val="Hyperlink"/>
          </w:rPr>
          <w:t xml:space="preserve">13</w:t>
        </w:r>
      </w:hyperlink>
      <w:bookmarkEnd w:id="211"/>
      <w:r>
        <w:t xml:space="preserve">. Richard M. Stallman,</w:t>
      </w:r>
      <w:r>
        <w:t xml:space="preserve"> </w:t>
      </w:r>
      <w:r>
        <w:rPr>
          <w:iCs/>
          <w:i/>
        </w:rPr>
        <w:t xml:space="preserve">Software libre para una sociedad libre</w:t>
      </w:r>
      <w:r>
        <w:t xml:space="preserve">, Madrid, Traficantes de Sueños, 2004.</w:t>
      </w:r>
    </w:p>
    <w:p>
      <w:pPr>
        <w:pStyle w:val="BodyText"/>
      </w:pPr>
      <w:bookmarkStart w:id="212" w:name="nota-07-14"/>
      <w:hyperlink w:anchor="ref-07-14">
        <w:r>
          <w:rPr>
            <w:rStyle w:val="Hyperlink"/>
          </w:rPr>
          <w:t xml:space="preserve">14</w:t>
        </w:r>
      </w:hyperlink>
      <w:bookmarkEnd w:id="212"/>
      <w:r>
        <w:t xml:space="preserve">. Jan van Dijk,</w:t>
      </w:r>
      <w:r>
        <w:t xml:space="preserve"> </w:t>
      </w:r>
      <w:r>
        <w:rPr>
          <w:iCs/>
          <w:i/>
        </w:rPr>
        <w:t xml:space="preserve">The Digital Divide</w:t>
      </w:r>
      <w:r>
        <w:t xml:space="preserve">, Cambridge, Polity, 2020.</w:t>
      </w:r>
    </w:p>
    <w:p>
      <w:pPr>
        <w:pStyle w:val="BodyText"/>
      </w:pPr>
      <w:bookmarkStart w:id="213" w:name="nota-07-15"/>
      <w:hyperlink w:anchor="ref-07-15">
        <w:r>
          <w:rPr>
            <w:rStyle w:val="Hyperlink"/>
          </w:rPr>
          <w:t xml:space="preserve">15</w:t>
        </w:r>
      </w:hyperlink>
      <w:bookmarkEnd w:id="213"/>
      <w:r>
        <w:t xml:space="preserve">. Ruha Benjamin,</w:t>
      </w:r>
      <w:r>
        <w:t xml:space="preserve"> </w:t>
      </w:r>
      <w:r>
        <w:rPr>
          <w:iCs/>
          <w:i/>
        </w:rPr>
        <w:t xml:space="preserve">Race After Technology</w:t>
      </w:r>
      <w:r>
        <w:t xml:space="preserve">, Cambridge, Polity, 2019.</w:t>
      </w:r>
    </w:p>
    <w:p>
      <w:pPr>
        <w:pStyle w:val="BodyText"/>
      </w:pPr>
      <w:bookmarkStart w:id="214" w:name="nota-07-16"/>
      <w:hyperlink w:anchor="ref-07-16">
        <w:r>
          <w:rPr>
            <w:rStyle w:val="Hyperlink"/>
          </w:rPr>
          <w:t xml:space="preserve">16</w:t>
        </w:r>
      </w:hyperlink>
      <w:bookmarkEnd w:id="214"/>
      <w:r>
        <w:t xml:space="preserve">. Natasha Dow Schüll,</w:t>
      </w:r>
      <w:r>
        <w:t xml:space="preserve"> </w:t>
      </w:r>
      <w:r>
        <w:rPr>
          <w:iCs/>
          <w:i/>
        </w:rPr>
        <w:t xml:space="preserve">Addiction by Design: Machine Gambling in Las Vegas</w:t>
      </w:r>
      <w:r>
        <w:t xml:space="preserve">, Princeton, Princeton University Press, 2012.</w:t>
      </w:r>
    </w:p>
    <w:p>
      <w:pPr>
        <w:pStyle w:val="BodyText"/>
      </w:pPr>
      <w:bookmarkStart w:id="215" w:name="nota-07-17"/>
      <w:hyperlink w:anchor="ref-07-17">
        <w:r>
          <w:rPr>
            <w:rStyle w:val="Hyperlink"/>
          </w:rPr>
          <w:t xml:space="preserve">17</w:t>
        </w:r>
      </w:hyperlink>
      <w:bookmarkEnd w:id="215"/>
      <w:r>
        <w:t xml:space="preserve">. Johan Huizinga,</w:t>
      </w:r>
      <w:r>
        <w:t xml:space="preserve"> </w:t>
      </w:r>
      <w:r>
        <w:rPr>
          <w:iCs/>
          <w:i/>
        </w:rPr>
        <w:t xml:space="preserve">Homo ludens</w:t>
      </w:r>
      <w:r>
        <w:t xml:space="preserve">, Madrid, Alianza, cap. 1.</w:t>
      </w:r>
    </w:p>
    <w:bookmarkEnd w:id="216"/>
    <w:bookmarkStart w:id="229" w:name="tiempo-libre-1"/>
    <w:p>
      <w:pPr>
        <w:pStyle w:val="Heading2"/>
      </w:pPr>
      <w:r>
        <w:t xml:space="preserve">8. Tiempo libre</w:t>
      </w:r>
    </w:p>
    <w:p>
      <w:pPr>
        <w:pStyle w:val="FirstParagraph"/>
      </w:pPr>
      <w:bookmarkStart w:id="217" w:name="nota-08-1"/>
      <w:hyperlink w:anchor="ref-08-1">
        <w:r>
          <w:rPr>
            <w:rStyle w:val="Hyperlink"/>
          </w:rPr>
          <w:t xml:space="preserve">1</w:t>
        </w:r>
      </w:hyperlink>
      <w:bookmarkEnd w:id="217"/>
      <w:r>
        <w:t xml:space="preserve">. Jan Masschelein y Maarten Simons,</w:t>
      </w:r>
      <w:r>
        <w:t xml:space="preserve"> </w:t>
      </w:r>
      <w:r>
        <w:rPr>
          <w:iCs/>
          <w:i/>
        </w:rPr>
        <w:t xml:space="preserve">Defensa de la escuela. Una cuestión pública</w:t>
      </w:r>
      <w:r>
        <w:t xml:space="preserve">, Buenos Aires, Miño y Dávila, 2014.</w:t>
      </w:r>
    </w:p>
    <w:p>
      <w:pPr>
        <w:pStyle w:val="BodyText"/>
      </w:pPr>
      <w:bookmarkStart w:id="218" w:name="nota-08-2"/>
      <w:hyperlink w:anchor="ref-08-2">
        <w:r>
          <w:rPr>
            <w:rStyle w:val="Hyperlink"/>
          </w:rPr>
          <w:t xml:space="preserve">2</w:t>
        </w:r>
      </w:hyperlink>
      <w:bookmarkEnd w:id="218"/>
      <w:r>
        <w:t xml:space="preserve">. UNESCO,</w:t>
      </w:r>
      <w:r>
        <w:t xml:space="preserve"> </w:t>
      </w:r>
      <w:r>
        <w:rPr>
          <w:iCs/>
          <w:i/>
        </w:rPr>
        <w:t xml:space="preserve">Informe de seguimiento de la educación en el mundo 2023</w:t>
      </w:r>
      <w:r>
        <w:t xml:space="preserve">, op. cit.; Departament d’Educació de la Generalitat de Catalunya, instrucciones de enero de 2024 y anuncio de junio de 2025 dentro del Pla de Digitalització Responsable.</w:t>
      </w:r>
    </w:p>
    <w:p>
      <w:pPr>
        <w:pStyle w:val="BodyText"/>
      </w:pPr>
      <w:bookmarkStart w:id="219" w:name="nota-08-3"/>
      <w:hyperlink w:anchor="ref-08-3">
        <w:r>
          <w:rPr>
            <w:rStyle w:val="Hyperlink"/>
          </w:rPr>
          <w:t xml:space="preserve">3</w:t>
        </w:r>
      </w:hyperlink>
      <w:bookmarkEnd w:id="219"/>
      <w:r>
        <w:t xml:space="preserve">. Michel Foucault,</w:t>
      </w:r>
      <w:r>
        <w:t xml:space="preserve"> </w:t>
      </w:r>
      <w:r>
        <w:rPr>
          <w:iCs/>
          <w:i/>
        </w:rPr>
        <w:t xml:space="preserve">Historia de la sexualidad, 1. La voluntad de saber</w:t>
      </w:r>
      <w:r>
        <w:t xml:space="preserve">, cap. IV, «Método».</w:t>
      </w:r>
    </w:p>
    <w:p>
      <w:pPr>
        <w:pStyle w:val="BodyText"/>
      </w:pPr>
      <w:bookmarkStart w:id="220" w:name="nota-08-4"/>
      <w:hyperlink w:anchor="ref-08-4">
        <w:r>
          <w:rPr>
            <w:rStyle w:val="Hyperlink"/>
          </w:rPr>
          <w:t xml:space="preserve">4</w:t>
        </w:r>
      </w:hyperlink>
      <w:bookmarkEnd w:id="220"/>
      <w:r>
        <w:t xml:space="preserve">. Michel Foucault, «¿Qué es la crítica?», conferencia ante la Sociedad Francesa de Filosofía, 27 de mayo de 1978.</w:t>
      </w:r>
    </w:p>
    <w:p>
      <w:pPr>
        <w:pStyle w:val="BodyText"/>
      </w:pPr>
      <w:bookmarkStart w:id="221" w:name="nota-08-5"/>
      <w:hyperlink w:anchor="ref-08-5">
        <w:r>
          <w:rPr>
            <w:rStyle w:val="Hyperlink"/>
          </w:rPr>
          <w:t xml:space="preserve">5</w:t>
        </w:r>
      </w:hyperlink>
      <w:bookmarkEnd w:id="221"/>
      <w:r>
        <w:t xml:space="preserve">. Ofqual,</w:t>
      </w:r>
      <w:r>
        <w:t xml:space="preserve"> </w:t>
      </w:r>
      <w:r>
        <w:rPr>
          <w:iCs/>
          <w:i/>
        </w:rPr>
        <w:t xml:space="preserve">Awarding GCSE, AS, A level, advanced extension awards and extended project qualifications in summer 2020: interim report</w:t>
      </w:r>
      <w:r>
        <w:t xml:space="preserve">, agosto de 2020, y la cobertura de</w:t>
      </w:r>
      <w:r>
        <w:t xml:space="preserve"> </w:t>
      </w:r>
      <w:r>
        <w:rPr>
          <w:iCs/>
          <w:i/>
        </w:rPr>
        <w:t xml:space="preserve">The Guardian</w:t>
      </w:r>
      <w:r>
        <w:t xml:space="preserve"> </w:t>
      </w:r>
      <w:r>
        <w:t xml:space="preserve">y la BBC entre el 13 y el 17 de agosto de 2020.</w:t>
      </w:r>
    </w:p>
    <w:p>
      <w:pPr>
        <w:pStyle w:val="BodyText"/>
      </w:pPr>
      <w:bookmarkStart w:id="222" w:name="nota-08-6"/>
      <w:hyperlink w:anchor="ref-08-6">
        <w:r>
          <w:rPr>
            <w:rStyle w:val="Hyperlink"/>
          </w:rPr>
          <w:t xml:space="preserve">6</w:t>
        </w:r>
      </w:hyperlink>
      <w:bookmarkEnd w:id="222"/>
      <w:r>
        <w:t xml:space="preserve">. Michel Foucault,</w:t>
      </w:r>
      <w:r>
        <w:t xml:space="preserve"> </w:t>
      </w:r>
      <w:r>
        <w:rPr>
          <w:iCs/>
          <w:i/>
        </w:rPr>
        <w:t xml:space="preserve">Seguridad, territorio, población</w:t>
      </w:r>
      <w:r>
        <w:t xml:space="preserve">, lección del 1 de marzo de 1978.</w:t>
      </w:r>
    </w:p>
    <w:p>
      <w:pPr>
        <w:pStyle w:val="BodyText"/>
      </w:pPr>
      <w:bookmarkStart w:id="223" w:name="nota-08-7"/>
      <w:hyperlink w:anchor="ref-08-7">
        <w:r>
          <w:rPr>
            <w:rStyle w:val="Hyperlink"/>
          </w:rPr>
          <w:t xml:space="preserve">7</w:t>
        </w:r>
      </w:hyperlink>
      <w:bookmarkEnd w:id="223"/>
      <w:r>
        <w:t xml:space="preserve">. Michel de Certeau,</w:t>
      </w:r>
      <w:r>
        <w:t xml:space="preserve"> </w:t>
      </w:r>
      <w:r>
        <w:rPr>
          <w:iCs/>
          <w:i/>
        </w:rPr>
        <w:t xml:space="preserve">La invención de lo cotidiano. 1. Artes de hacer</w:t>
      </w:r>
      <w:r>
        <w:t xml:space="preserve">, México, Universidad Iberoamericana.</w:t>
      </w:r>
    </w:p>
    <w:p>
      <w:pPr>
        <w:pStyle w:val="BodyText"/>
      </w:pPr>
      <w:bookmarkStart w:id="224" w:name="nota-08-8"/>
      <w:hyperlink w:anchor="ref-08-8">
        <w:r>
          <w:rPr>
            <w:rStyle w:val="Hyperlink"/>
          </w:rPr>
          <w:t xml:space="preserve">8</w:t>
        </w:r>
      </w:hyperlink>
      <w:bookmarkEnd w:id="224"/>
      <w:r>
        <w:t xml:space="preserve">. Nel Noddings,</w:t>
      </w:r>
      <w:r>
        <w:t xml:space="preserve"> </w:t>
      </w:r>
      <w:r>
        <w:rPr>
          <w:iCs/>
          <w:i/>
        </w:rPr>
        <w:t xml:space="preserve">The Challenge to Care in Schools</w:t>
      </w:r>
      <w:r>
        <w:t xml:space="preserve">, Nueva York, Teachers College Press, 1992.</w:t>
      </w:r>
    </w:p>
    <w:p>
      <w:pPr>
        <w:pStyle w:val="BodyText"/>
      </w:pPr>
      <w:bookmarkStart w:id="225" w:name="nota-08-9"/>
      <w:hyperlink w:anchor="ref-08-9">
        <w:r>
          <w:rPr>
            <w:rStyle w:val="Hyperlink"/>
          </w:rPr>
          <w:t xml:space="preserve">9</w:t>
        </w:r>
      </w:hyperlink>
      <w:bookmarkEnd w:id="225"/>
      <w:r>
        <w:t xml:space="preserve">. Walter Benjamin, «El narrador», sección 8.</w:t>
      </w:r>
    </w:p>
    <w:p>
      <w:pPr>
        <w:pStyle w:val="BodyText"/>
      </w:pPr>
      <w:bookmarkStart w:id="226" w:name="nota-08-10"/>
      <w:hyperlink w:anchor="ref-08-10">
        <w:r>
          <w:rPr>
            <w:rStyle w:val="Hyperlink"/>
          </w:rPr>
          <w:t xml:space="preserve">10</w:t>
        </w:r>
      </w:hyperlink>
      <w:bookmarkEnd w:id="226"/>
      <w:r>
        <w:t xml:space="preserve">. bell hooks,</w:t>
      </w:r>
      <w:r>
        <w:t xml:space="preserve"> </w:t>
      </w:r>
      <w:r>
        <w:rPr>
          <w:iCs/>
          <w:i/>
        </w:rPr>
        <w:t xml:space="preserve">Enseñar a transgredir. La educación como práctica de la libertad</w:t>
      </w:r>
      <w:r>
        <w:t xml:space="preserve">, Madrid, Capitán Swing, 2021, introducción.</w:t>
      </w:r>
    </w:p>
    <w:p>
      <w:pPr>
        <w:pStyle w:val="BodyText"/>
      </w:pPr>
      <w:bookmarkStart w:id="227" w:name="nota-08-11"/>
      <w:hyperlink w:anchor="ref-08-11">
        <w:r>
          <w:rPr>
            <w:rStyle w:val="Hyperlink"/>
          </w:rPr>
          <w:t xml:space="preserve">11</w:t>
        </w:r>
      </w:hyperlink>
      <w:bookmarkEnd w:id="227"/>
      <w:r>
        <w:t xml:space="preserve">. Marina Garcés,</w:t>
      </w:r>
      <w:r>
        <w:t xml:space="preserve"> </w:t>
      </w:r>
      <w:r>
        <w:rPr>
          <w:iCs/>
          <w:i/>
        </w:rPr>
        <w:t xml:space="preserve">Un mundo común</w:t>
      </w:r>
      <w:r>
        <w:t xml:space="preserve">, Barcelona, Bellaterra, 2013, y</w:t>
      </w:r>
      <w:r>
        <w:t xml:space="preserve"> </w:t>
      </w:r>
      <w:r>
        <w:rPr>
          <w:iCs/>
          <w:i/>
        </w:rPr>
        <w:t xml:space="preserve">Escuela de aprendices</w:t>
      </w:r>
      <w:r>
        <w:t xml:space="preserve">, Barcelona, Galaxia Gutenberg, 2020.</w:t>
      </w:r>
    </w:p>
    <w:p>
      <w:pPr>
        <w:pStyle w:val="BodyText"/>
      </w:pPr>
      <w:bookmarkStart w:id="228" w:name="nota-08-12"/>
      <w:hyperlink w:anchor="ref-08-12">
        <w:r>
          <w:rPr>
            <w:rStyle w:val="Hyperlink"/>
          </w:rPr>
          <w:t xml:space="preserve">12</w:t>
        </w:r>
      </w:hyperlink>
      <w:bookmarkEnd w:id="228"/>
      <w:r>
        <w:t xml:space="preserve">. Reglamento (UE) 2016/679, General de Protección de Datos, art. 22.</w:t>
      </w:r>
    </w:p>
    <w:bookmarkEnd w:id="229"/>
    <w:bookmarkEnd w:id="230"/>
    <w:bookmarkStart w:id="231"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5 y 6). Nombre que doy a la lección que la escuela de las plataformas enseña sin decirlo: que hay que dejar rastro de cada paso (entregar, conectarse, completar) y que lo que no deja rastro no cuenta.</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231"/>
    <w:bookmarkStart w:id="242" w:name="bibliografia"/>
    <w:p>
      <w:pPr>
        <w:pStyle w:val="Heading1"/>
      </w:pPr>
      <w:r>
        <w:t xml:space="preserve">Bibliografía comentada</w:t>
      </w:r>
    </w:p>
    <w:p>
      <w:pPr>
        <w:pStyle w:val="FirstParagraph"/>
      </w:pPr>
      <w:r>
        <w:t xml:space="preserve">Las notas al final del libro dan la referencia exacta de cada cita y de cada dato. Aquí reúno, capítulo por capítulo, las obras que de verdad han dado forma al argumento, con una línea sobre lo que encontré en ellas, y al final los informes, leyes y documentos en los que me apoyo para los datos. Los clásicos griegos se citan por la numeración habitual (Stephanus para Platón, Bekker para Aristóteles), que permite encontrar el pasaje en cualquier edición.</w:t>
      </w:r>
    </w:p>
    <w:bookmarkStart w:id="232" w:name="para-empezar"/>
    <w:p>
      <w:pPr>
        <w:pStyle w:val="Heading2"/>
      </w:pPr>
      <w:r>
        <w:t xml:space="preserve">Para empezar</w:t>
      </w:r>
    </w:p>
    <w:p>
      <w:pPr>
        <w:numPr>
          <w:ilvl w:val="0"/>
          <w:numId w:val="1001"/>
        </w:numPr>
        <w:pStyle w:val="Compact"/>
      </w:pPr>
      <w:r>
        <w:t xml:space="preserve">Selwyn, Neil,</w:t>
      </w:r>
      <w:r>
        <w:t xml:space="preserve"> </w:t>
      </w:r>
      <w:r>
        <w:rPr>
          <w:iCs/>
          <w:i/>
        </w:rPr>
        <w:t xml:space="preserve">Education and Technology: Key Issues and Debates</w:t>
      </w:r>
      <w:r>
        <w:t xml:space="preserve">, 3.ª ed., Londres, Bloomsbury, 2022. El mapa más sobrio de los debates sobre tecnología educativa: escéptico sin ser tecnófobo.</w:t>
      </w:r>
    </w:p>
    <w:p>
      <w:pPr>
        <w:numPr>
          <w:ilvl w:val="0"/>
          <w:numId w:val="1001"/>
        </w:numPr>
        <w:pStyle w:val="Compact"/>
      </w:pPr>
      <w:r>
        <w:t xml:space="preserve">Williamson, Ben,</w:t>
      </w:r>
      <w:r>
        <w:t xml:space="preserve"> </w:t>
      </w:r>
      <w:r>
        <w:rPr>
          <w:iCs/>
          <w:i/>
        </w:rPr>
        <w:t xml:space="preserve">Big Data in Education: The Digital Future of Learning, Policy and Practice</w:t>
      </w:r>
      <w:r>
        <w:t xml:space="preserve">, Londres, SAGE, 2017. Cómo los datos pasaron a gobernar la educación, del aula al ministerio.</w:t>
      </w:r>
    </w:p>
    <w:bookmarkEnd w:id="232"/>
    <w:bookmarkStart w:id="233" w:name="el-sello-en-la-cera-2"/>
    <w:p>
      <w:pPr>
        <w:pStyle w:val="Heading2"/>
      </w:pPr>
      <w:r>
        <w:t xml:space="preserve">1. El sello en la cera</w:t>
      </w:r>
    </w:p>
    <w:p>
      <w:pPr>
        <w:numPr>
          <w:ilvl w:val="0"/>
          <w:numId w:val="1002"/>
        </w:numPr>
        <w:pStyle w:val="Compact"/>
      </w:pPr>
      <w:r>
        <w:t xml:space="preserve">Platón,</w:t>
      </w:r>
      <w:r>
        <w:t xml:space="preserve"> </w:t>
      </w:r>
      <w:r>
        <w:rPr>
          <w:iCs/>
          <w:i/>
        </w:rPr>
        <w:t xml:space="preserve">Teeteto</w:t>
      </w:r>
      <w:r>
        <w:t xml:space="preserve">,</w:t>
      </w:r>
      <w:r>
        <w:t xml:space="preserve"> </w:t>
      </w:r>
      <w:r>
        <w:rPr>
          <w:iCs/>
          <w:i/>
        </w:rPr>
        <w:t xml:space="preserve">Apología de Sócrates</w:t>
      </w:r>
      <w:r>
        <w:t xml:space="preserve">,</w:t>
      </w:r>
      <w:r>
        <w:t xml:space="preserve"> </w:t>
      </w:r>
      <w:r>
        <w:rPr>
          <w:iCs/>
          <w:i/>
        </w:rPr>
        <w:t xml:space="preserve">Banquete</w:t>
      </w:r>
      <w:r>
        <w:t xml:space="preserve"> </w:t>
      </w:r>
      <w:r>
        <w:t xml:space="preserve">y</w:t>
      </w:r>
      <w:r>
        <w:t xml:space="preserve"> </w:t>
      </w:r>
      <w:r>
        <w:rPr>
          <w:iCs/>
          <w:i/>
        </w:rPr>
        <w:t xml:space="preserve">República</w:t>
      </w:r>
      <w:r>
        <w:t xml:space="preserve">. La cera, el examen, el deseo y el sistema: cuatro maneras de pensar qué es formar a alguien.</w:t>
      </w:r>
    </w:p>
    <w:p>
      <w:pPr>
        <w:numPr>
          <w:ilvl w:val="0"/>
          <w:numId w:val="1002"/>
        </w:numPr>
        <w:pStyle w:val="Compact"/>
      </w:pPr>
      <w:r>
        <w:t xml:space="preserve">Aristóteles,</w:t>
      </w:r>
      <w:r>
        <w:t xml:space="preserve"> </w:t>
      </w:r>
      <w:r>
        <w:rPr>
          <w:iCs/>
          <w:i/>
        </w:rPr>
        <w:t xml:space="preserve">Política</w:t>
      </w:r>
      <w:r>
        <w:t xml:space="preserve">, libros I y VIII. La ciudad que existe para vivir bien y la educación como su asunto más serio.</w:t>
      </w:r>
    </w:p>
    <w:p>
      <w:pPr>
        <w:numPr>
          <w:ilvl w:val="0"/>
          <w:numId w:val="1002"/>
        </w:numPr>
        <w:pStyle w:val="Compact"/>
      </w:pPr>
      <w:r>
        <w:t xml:space="preserve">Durkheim, Émile,</w:t>
      </w:r>
      <w:r>
        <w:t xml:space="preserve"> </w:t>
      </w:r>
      <w:r>
        <w:rPr>
          <w:iCs/>
          <w:i/>
        </w:rPr>
        <w:t xml:space="preserve">Educación y sociología</w:t>
      </w:r>
      <w:r>
        <w:t xml:space="preserve">. La definición más franca de la escuela como taller social.</w:t>
      </w:r>
    </w:p>
    <w:p>
      <w:pPr>
        <w:numPr>
          <w:ilvl w:val="0"/>
          <w:numId w:val="1002"/>
        </w:numPr>
        <w:pStyle w:val="Compact"/>
      </w:pPr>
      <w:r>
        <w:t xml:space="preserve">Diógenes Laercio,</w:t>
      </w:r>
      <w:r>
        <w:t xml:space="preserve"> </w:t>
      </w:r>
      <w:r>
        <w:rPr>
          <w:iCs/>
          <w:i/>
        </w:rPr>
        <w:t xml:space="preserve">Vidas de los filósofos ilustres</w:t>
      </w:r>
      <w:r>
        <w:t xml:space="preserve">, libro VI. Donde sobrevive la respuesta de Hiparquia.</w:t>
      </w:r>
    </w:p>
    <w:bookmarkEnd w:id="233"/>
    <w:bookmarkStart w:id="234" w:name="una-red-sin-dueño-2"/>
    <w:p>
      <w:pPr>
        <w:pStyle w:val="Heading2"/>
      </w:pPr>
      <w:r>
        <w:t xml:space="preserve">2. Una red sin dueño</w:t>
      </w:r>
    </w:p>
    <w:p>
      <w:pPr>
        <w:numPr>
          <w:ilvl w:val="0"/>
          <w:numId w:val="1003"/>
        </w:numPr>
        <w:pStyle w:val="Compact"/>
      </w:pPr>
      <w:r>
        <w:t xml:space="preserve">Agamben, Giorgio,</w:t>
      </w:r>
      <w:r>
        <w:t xml:space="preserve"> </w:t>
      </w:r>
      <w:r>
        <w:rPr>
          <w:iCs/>
          <w:i/>
        </w:rPr>
        <w:t xml:space="preserve">¿Qué es un dispositivo?</w:t>
      </w:r>
      <w:r>
        <w:t xml:space="preserve">, Buenos Aires, Adriana Hidalgo, 2014. Incluye la definición de Foucault y la genealogía de la palabra en un texto breve y accesible.</w:t>
      </w:r>
    </w:p>
    <w:p>
      <w:pPr>
        <w:numPr>
          <w:ilvl w:val="0"/>
          <w:numId w:val="1003"/>
        </w:numPr>
        <w:pStyle w:val="Compact"/>
      </w:pPr>
      <w:r>
        <w:t xml:space="preserve">Agamben, Giorgio,</w:t>
      </w:r>
      <w:r>
        <w:t xml:space="preserve"> </w:t>
      </w:r>
      <w:r>
        <w:rPr>
          <w:iCs/>
          <w:i/>
        </w:rPr>
        <w:t xml:space="preserve">El Reino y la Gloria</w:t>
      </w:r>
      <w:r>
        <w:t xml:space="preserve">, Valencia, Pre-Textos, 2008. La</w:t>
      </w:r>
      <w:r>
        <w:t xml:space="preserve"> </w:t>
      </w:r>
      <w:r>
        <w:rPr>
          <w:iCs/>
          <w:i/>
        </w:rPr>
        <w:t xml:space="preserve">oikonomía</w:t>
      </w:r>
      <w:r>
        <w:t xml:space="preserve"> </w:t>
      </w:r>
      <w:r>
        <w:t xml:space="preserve">teológica como origen del gobierno sin fundamento. Exigente, pero decisivo.</w:t>
      </w:r>
    </w:p>
    <w:p>
      <w:pPr>
        <w:numPr>
          <w:ilvl w:val="0"/>
          <w:numId w:val="1003"/>
        </w:numPr>
        <w:pStyle w:val="Compact"/>
      </w:pPr>
      <w:r>
        <w:t xml:space="preserve">Biesta, Gert,</w:t>
      </w:r>
      <w:r>
        <w:t xml:space="preserve"> </w:t>
      </w:r>
      <w:r>
        <w:rPr>
          <w:iCs/>
          <w:i/>
        </w:rPr>
        <w:t xml:space="preserve">Beyond Learning</w:t>
      </w:r>
      <w:r>
        <w:t xml:space="preserve">, Boulder, Paradigm, 2006, y</w:t>
      </w:r>
      <w:r>
        <w:t xml:space="preserve"> </w:t>
      </w:r>
      <w:r>
        <w:rPr>
          <w:iCs/>
          <w:i/>
        </w:rPr>
        <w:t xml:space="preserve">Good Education in an Age of Measurement</w:t>
      </w:r>
      <w:r>
        <w:t xml:space="preserve">, Boulder, Paradigm, 2010. La mejor crítica que conozco del lenguaje del aprendizaje.</w:t>
      </w:r>
    </w:p>
    <w:bookmarkEnd w:id="234"/>
    <w:bookmarkStart w:id="235" w:name="el-alma-prisión-del-cuerpo-2"/>
    <w:p>
      <w:pPr>
        <w:pStyle w:val="Heading2"/>
      </w:pPr>
      <w:r>
        <w:t xml:space="preserve">3. El alma, prisión del cuerpo</w:t>
      </w:r>
    </w:p>
    <w:p>
      <w:pPr>
        <w:numPr>
          <w:ilvl w:val="0"/>
          <w:numId w:val="1004"/>
        </w:numPr>
        <w:pStyle w:val="Compact"/>
      </w:pPr>
      <w:r>
        <w:t xml:space="preserve">Foucault, Michel,</w:t>
      </w:r>
      <w:r>
        <w:t xml:space="preserve"> </w:t>
      </w:r>
      <w:r>
        <w:rPr>
          <w:iCs/>
          <w:i/>
        </w:rPr>
        <w:t xml:space="preserve">Vigilar y castigar</w:t>
      </w:r>
      <w:r>
        <w:t xml:space="preserve">, Buenos Aires, Siglo XXI, 2002. La obra de la que sale casi todo lo que este libro dice sobre disciplina, examen y alma.</w:t>
      </w:r>
    </w:p>
    <w:p>
      <w:pPr>
        <w:numPr>
          <w:ilvl w:val="0"/>
          <w:numId w:val="1004"/>
        </w:numPr>
        <w:pStyle w:val="Compact"/>
      </w:pPr>
      <w:r>
        <w:t xml:space="preserve">Fraser, Nancy, «Foucault on Modern Power: Empirical Insights and Normative Confusions»,</w:t>
      </w:r>
      <w:r>
        <w:t xml:space="preserve"> </w:t>
      </w:r>
      <w:r>
        <w:rPr>
          <w:iCs/>
          <w:i/>
        </w:rPr>
        <w:t xml:space="preserve">Praxis International</w:t>
      </w:r>
      <w:r>
        <w:t xml:space="preserve">, 1 (3), 1981. La objeción más seria a Foucault, y la que obliga a decir desde dónde se critica.</w:t>
      </w:r>
    </w:p>
    <w:p>
      <w:pPr>
        <w:numPr>
          <w:ilvl w:val="0"/>
          <w:numId w:val="1004"/>
        </w:numPr>
        <w:pStyle w:val="Compact"/>
      </w:pPr>
      <w:r>
        <w:t xml:space="preserve">Pasolini, Pier Paolo,</w:t>
      </w:r>
      <w:r>
        <w:t xml:space="preserve"> </w:t>
      </w:r>
      <w:r>
        <w:rPr>
          <w:iCs/>
          <w:i/>
        </w:rPr>
        <w:t xml:space="preserve">Cartas luteranas</w:t>
      </w:r>
      <w:r>
        <w:t xml:space="preserve">, Madrid, Trotta. La educación que dan las cosas, escrita para un muchacho inventado.</w:t>
      </w:r>
    </w:p>
    <w:p>
      <w:pPr>
        <w:numPr>
          <w:ilvl w:val="0"/>
          <w:numId w:val="1004"/>
        </w:numPr>
        <w:pStyle w:val="Compact"/>
      </w:pPr>
      <w:r>
        <w:t xml:space="preserve">La Boétie, Étienne de,</w:t>
      </w:r>
      <w:r>
        <w:t xml:space="preserve"> </w:t>
      </w:r>
      <w:r>
        <w:rPr>
          <w:iCs/>
          <w:i/>
        </w:rPr>
        <w:t xml:space="preserve">Discurso de la servidumbre voluntaria</w:t>
      </w:r>
      <w:r>
        <w:t xml:space="preserve">. Breve, del siglo XVI y todavía incómodo.</w:t>
      </w:r>
    </w:p>
    <w:bookmarkEnd w:id="235"/>
    <w:bookmarkStart w:id="236" w:name="escultores-de-sí-mismos-2"/>
    <w:p>
      <w:pPr>
        <w:pStyle w:val="Heading2"/>
      </w:pPr>
      <w:r>
        <w:t xml:space="preserve">4. Escultores de sí mismos</w:t>
      </w:r>
    </w:p>
    <w:p>
      <w:pPr>
        <w:numPr>
          <w:ilvl w:val="0"/>
          <w:numId w:val="1005"/>
        </w:numPr>
        <w:pStyle w:val="Compact"/>
      </w:pPr>
      <w:r>
        <w:t xml:space="preserve">Foucault, Michel,</w:t>
      </w:r>
      <w:r>
        <w:t xml:space="preserve"> </w:t>
      </w:r>
      <w:r>
        <w:rPr>
          <w:iCs/>
          <w:i/>
        </w:rPr>
        <w:t xml:space="preserve">Nacimiento de la biopolítica</w:t>
      </w:r>
      <w:r>
        <w:t xml:space="preserve">, Buenos Aires, Fondo de Cultura Económica. El curso donde aparece el empresario de sí mismo.</w:t>
      </w:r>
    </w:p>
    <w:p>
      <w:pPr>
        <w:numPr>
          <w:ilvl w:val="0"/>
          <w:numId w:val="1005"/>
        </w:numPr>
        <w:pStyle w:val="Compact"/>
      </w:pPr>
      <w:r>
        <w:t xml:space="preserve">Wollstonecraft, Mary,</w:t>
      </w:r>
      <w:r>
        <w:t xml:space="preserve"> </w:t>
      </w:r>
      <w:r>
        <w:rPr>
          <w:iCs/>
          <w:i/>
        </w:rPr>
        <w:t xml:space="preserve">Vindicación de los derechos de la mujer</w:t>
      </w:r>
      <w:r>
        <w:t xml:space="preserve">, ed. de Isabel Burdiel, Madrid, Cátedra, 2018. La respuesta a Rousseau y la defensa de una misma escuela para todos.</w:t>
      </w:r>
    </w:p>
    <w:p>
      <w:pPr>
        <w:numPr>
          <w:ilvl w:val="0"/>
          <w:numId w:val="1005"/>
        </w:numPr>
        <w:pStyle w:val="Compact"/>
      </w:pPr>
      <w:r>
        <w:t xml:space="preserve">Han, Byung-Chul,</w:t>
      </w:r>
      <w:r>
        <w:t xml:space="preserve"> </w:t>
      </w:r>
      <w:r>
        <w:rPr>
          <w:iCs/>
          <w:i/>
        </w:rPr>
        <w:t xml:space="preserve">La sociedad del cansancio</w:t>
      </w:r>
      <w:r>
        <w:t xml:space="preserve">, Barcelona, Herder, 2012. Un diagnóstico brillante que conviene leer con cautela.</w:t>
      </w:r>
    </w:p>
    <w:p>
      <w:pPr>
        <w:numPr>
          <w:ilvl w:val="0"/>
          <w:numId w:val="1005"/>
        </w:numPr>
        <w:pStyle w:val="Compact"/>
      </w:pPr>
      <w:r>
        <w:t xml:space="preserve">Ball, Stephen J., «The teacher’s soul and the terrors of performativity»,</w:t>
      </w:r>
      <w:r>
        <w:t xml:space="preserve"> </w:t>
      </w:r>
      <w:r>
        <w:rPr>
          <w:iCs/>
          <w:i/>
        </w:rPr>
        <w:t xml:space="preserve">Journal of Education Policy</w:t>
      </w:r>
      <w:r>
        <w:t xml:space="preserve">, 18 (2), 2003, pp. 215-228. Lo que la cultura del rendimiento hace con quien enseña.</w:t>
      </w:r>
    </w:p>
    <w:bookmarkEnd w:id="236"/>
    <w:bookmarkStart w:id="237" w:name="ser-visto-2"/>
    <w:p>
      <w:pPr>
        <w:pStyle w:val="Heading2"/>
      </w:pPr>
      <w:r>
        <w:t xml:space="preserve">5. Ser visto</w:t>
      </w:r>
    </w:p>
    <w:p>
      <w:pPr>
        <w:numPr>
          <w:ilvl w:val="0"/>
          <w:numId w:val="1006"/>
        </w:numPr>
        <w:pStyle w:val="Compact"/>
      </w:pPr>
      <w:r>
        <w:t xml:space="preserve">Foucault, Michel,</w:t>
      </w:r>
      <w:r>
        <w:t xml:space="preserve"> </w:t>
      </w:r>
      <w:r>
        <w:rPr>
          <w:iCs/>
          <w:i/>
        </w:rPr>
        <w:t xml:space="preserve">Seguridad, territorio, población</w:t>
      </w:r>
      <w:r>
        <w:t xml:space="preserve">, México, Fondo de Cultura Económica, 2006. El poder pastoral y las contraconductas.</w:t>
      </w:r>
    </w:p>
    <w:p>
      <w:pPr>
        <w:numPr>
          <w:ilvl w:val="0"/>
          <w:numId w:val="1006"/>
        </w:numPr>
        <w:pStyle w:val="Compact"/>
      </w:pPr>
      <w:r>
        <w:t xml:space="preserve">Deleuze, Gilles, «Post-scriptum sobre las sociedades de control», en</w:t>
      </w:r>
      <w:r>
        <w:t xml:space="preserve"> </w:t>
      </w:r>
      <w:r>
        <w:rPr>
          <w:iCs/>
          <w:i/>
        </w:rPr>
        <w:t xml:space="preserve">Conversaciones</w:t>
      </w:r>
      <w:r>
        <w:t xml:space="preserve">, Valencia, Pre-Textos, 1999. Cinco páginas que anticiparon la escuela de las plataformas.</w:t>
      </w:r>
    </w:p>
    <w:p>
      <w:pPr>
        <w:numPr>
          <w:ilvl w:val="0"/>
          <w:numId w:val="1006"/>
        </w:numPr>
        <w:pStyle w:val="Compact"/>
      </w:pPr>
      <w:r>
        <w:t xml:space="preserve">Zuboff, Shoshana,</w:t>
      </w:r>
      <w:r>
        <w:t xml:space="preserve"> </w:t>
      </w:r>
      <w:r>
        <w:rPr>
          <w:iCs/>
          <w:i/>
        </w:rPr>
        <w:t xml:space="preserve">La era del capitalismo de la vigilancia</w:t>
      </w:r>
      <w:r>
        <w:t xml:space="preserve">, Barcelona, Paidós, 2020. El modelo de negocio de la predicción, que conviene no aplicar a ciegas a toda tecnología escolar.</w:t>
      </w:r>
    </w:p>
    <w:p>
      <w:pPr>
        <w:numPr>
          <w:ilvl w:val="0"/>
          <w:numId w:val="1006"/>
        </w:numPr>
        <w:pStyle w:val="Compact"/>
      </w:pPr>
      <w:r>
        <w:t xml:space="preserve">Arendt, Hannah, «La crisis en la educación», en</w:t>
      </w:r>
      <w:r>
        <w:t xml:space="preserve"> </w:t>
      </w:r>
      <w:r>
        <w:rPr>
          <w:iCs/>
          <w:i/>
        </w:rPr>
        <w:t xml:space="preserve">Entre el pasado y el futuro</w:t>
      </w:r>
      <w:r>
        <w:t xml:space="preserve">, Barcelona, Península. Por qué lo que crece necesita un lugar oculto.</w:t>
      </w:r>
    </w:p>
    <w:bookmarkEnd w:id="237"/>
    <w:bookmarkStart w:id="238" w:name="la-memoria-fuera-de-nosotros-2"/>
    <w:p>
      <w:pPr>
        <w:pStyle w:val="Heading2"/>
      </w:pPr>
      <w:r>
        <w:t xml:space="preserve">6. La memoria fuera de nosotros</w:t>
      </w:r>
    </w:p>
    <w:p>
      <w:pPr>
        <w:numPr>
          <w:ilvl w:val="0"/>
          <w:numId w:val="1007"/>
        </w:numPr>
        <w:pStyle w:val="Compact"/>
      </w:pPr>
      <w:r>
        <w:t xml:space="preserve">Derrida, Jacques, «La farmacia de Platón», en</w:t>
      </w:r>
      <w:r>
        <w:t xml:space="preserve"> </w:t>
      </w:r>
      <w:r>
        <w:rPr>
          <w:iCs/>
          <w:i/>
        </w:rPr>
        <w:t xml:space="preserve">La diseminación</w:t>
      </w:r>
      <w:r>
        <w:t xml:space="preserve">, Madrid, Fundamentos, 1975. El</w:t>
      </w:r>
      <w:r>
        <w:t xml:space="preserve"> </w:t>
      </w:r>
      <w:r>
        <w:rPr>
          <w:iCs/>
          <w:i/>
        </w:rPr>
        <w:t xml:space="preserve">pharmakon</w:t>
      </w:r>
      <w:r>
        <w:t xml:space="preserve"> </w:t>
      </w:r>
      <w:r>
        <w:t xml:space="preserve">como clave de lectura de toda técnica.</w:t>
      </w:r>
    </w:p>
    <w:p>
      <w:pPr>
        <w:numPr>
          <w:ilvl w:val="0"/>
          <w:numId w:val="1007"/>
        </w:numPr>
        <w:pStyle w:val="Compact"/>
      </w:pPr>
      <w:r>
        <w:t xml:space="preserve">Stiegler, Bernard,</w:t>
      </w:r>
      <w:r>
        <w:t xml:space="preserve"> </w:t>
      </w:r>
      <w:r>
        <w:rPr>
          <w:iCs/>
          <w:i/>
        </w:rPr>
        <w:t xml:space="preserve">Lo que hace que la vida merezca ser vivida. De la farmacología</w:t>
      </w:r>
      <w:r>
        <w:t xml:space="preserve">, trad. de Nadia Cortés, Avarigani, 2015. La memoria técnica y el riesgo de proletarizar el pensamiento.</w:t>
      </w:r>
    </w:p>
    <w:p>
      <w:pPr>
        <w:numPr>
          <w:ilvl w:val="0"/>
          <w:numId w:val="1007"/>
        </w:numPr>
        <w:pStyle w:val="Compact"/>
      </w:pPr>
      <w:r>
        <w:t xml:space="preserve">Simondon, Gilbert,</w:t>
      </w:r>
      <w:r>
        <w:t xml:space="preserve"> </w:t>
      </w:r>
      <w:r>
        <w:rPr>
          <w:iCs/>
          <w:i/>
        </w:rPr>
        <w:t xml:space="preserve">El modo de existencia de los objetos técnicos</w:t>
      </w:r>
      <w:r>
        <w:t xml:space="preserve">, Buenos Aires, Prometeo, 2007. La propuesta de una cultura técnica que nos permita entender lo que usamos.</w:t>
      </w:r>
    </w:p>
    <w:p>
      <w:pPr>
        <w:numPr>
          <w:ilvl w:val="0"/>
          <w:numId w:val="1007"/>
        </w:numPr>
        <w:pStyle w:val="Compact"/>
      </w:pPr>
      <w:r>
        <w:t xml:space="preserve">Crawford, Kate,</w:t>
      </w:r>
      <w:r>
        <w:t xml:space="preserve"> </w:t>
      </w:r>
      <w:r>
        <w:rPr>
          <w:iCs/>
          <w:i/>
        </w:rPr>
        <w:t xml:space="preserve">Atlas de inteligencia artificial</w:t>
      </w:r>
      <w:r>
        <w:t xml:space="preserve">, Buenos Aires, Fondo de Cultura Económica, 2022. La materialidad de la inteligencia artificial: minerales, energía y trabajo.</w:t>
      </w:r>
    </w:p>
    <w:bookmarkEnd w:id="238"/>
    <w:bookmarkStart w:id="239" w:name="lo-que-no-tiene-precio-2"/>
    <w:p>
      <w:pPr>
        <w:pStyle w:val="Heading2"/>
      </w:pPr>
      <w:r>
        <w:t xml:space="preserve">7. Lo que no tiene precio</w:t>
      </w:r>
    </w:p>
    <w:p>
      <w:pPr>
        <w:numPr>
          <w:ilvl w:val="0"/>
          <w:numId w:val="1008"/>
        </w:numPr>
        <w:pStyle w:val="Compact"/>
      </w:pPr>
      <w:r>
        <w:t xml:space="preserve">Freire, Paulo,</w:t>
      </w:r>
      <w:r>
        <w:t xml:space="preserve"> </w:t>
      </w:r>
      <w:r>
        <w:rPr>
          <w:iCs/>
          <w:i/>
        </w:rPr>
        <w:t xml:space="preserve">Pedagogía del oprimido</w:t>
      </w:r>
      <w:r>
        <w:t xml:space="preserve">. La educación bancaria, una metáfora que resultó profecía.</w:t>
      </w:r>
    </w:p>
    <w:p>
      <w:pPr>
        <w:numPr>
          <w:ilvl w:val="0"/>
          <w:numId w:val="1008"/>
        </w:numPr>
        <w:pStyle w:val="Compact"/>
      </w:pPr>
      <w:r>
        <w:t xml:space="preserve">Sandel, Michael J.,</w:t>
      </w:r>
      <w:r>
        <w:t xml:space="preserve"> </w:t>
      </w:r>
      <w:r>
        <w:rPr>
          <w:iCs/>
          <w:i/>
        </w:rPr>
        <w:t xml:space="preserve">Lo que el dinero no puede comprar</w:t>
      </w:r>
      <w:r>
        <w:t xml:space="preserve">, Barcelona, Debate, 2013. Por qué algunos bienes se estropean al venderse.</w:t>
      </w:r>
    </w:p>
    <w:p>
      <w:pPr>
        <w:numPr>
          <w:ilvl w:val="0"/>
          <w:numId w:val="1008"/>
        </w:numPr>
        <w:pStyle w:val="Compact"/>
      </w:pPr>
      <w:r>
        <w:t xml:space="preserve">Stallman, Richard M.,</w:t>
      </w:r>
      <w:r>
        <w:t xml:space="preserve"> </w:t>
      </w:r>
      <w:r>
        <w:rPr>
          <w:iCs/>
          <w:i/>
        </w:rPr>
        <w:t xml:space="preserve">Software libre para una sociedad libre</w:t>
      </w:r>
      <w:r>
        <w:t xml:space="preserve">, Madrid, Traficantes de Sueños, 2004. El argumento clásico a favor del software libre en la escuela.</w:t>
      </w:r>
    </w:p>
    <w:p>
      <w:pPr>
        <w:numPr>
          <w:ilvl w:val="0"/>
          <w:numId w:val="1008"/>
        </w:numPr>
        <w:pStyle w:val="Compact"/>
      </w:pPr>
      <w:r>
        <w:t xml:space="preserve">van Dijk, Jan,</w:t>
      </w:r>
      <w:r>
        <w:t xml:space="preserve"> </w:t>
      </w:r>
      <w:r>
        <w:rPr>
          <w:iCs/>
          <w:i/>
        </w:rPr>
        <w:t xml:space="preserve">The Digital Divide</w:t>
      </w:r>
      <w:r>
        <w:t xml:space="preserve">, Cambridge, Polity, 2020. Las brechas que quedan cuando todos tienen aparato.</w:t>
      </w:r>
    </w:p>
    <w:p>
      <w:pPr>
        <w:numPr>
          <w:ilvl w:val="0"/>
          <w:numId w:val="1008"/>
        </w:numPr>
        <w:pStyle w:val="Compact"/>
      </w:pPr>
      <w:r>
        <w:t xml:space="preserve">Schüll, Natasha Dow,</w:t>
      </w:r>
      <w:r>
        <w:t xml:space="preserve"> </w:t>
      </w:r>
      <w:r>
        <w:rPr>
          <w:iCs/>
          <w:i/>
        </w:rPr>
        <w:t xml:space="preserve">Addiction by Design</w:t>
      </w:r>
      <w:r>
        <w:t xml:space="preserve">, Princeton, Princeton University Press, 2012. Las tragaperras como laboratorio del diseño que retiene.</w:t>
      </w:r>
    </w:p>
    <w:p>
      <w:pPr>
        <w:numPr>
          <w:ilvl w:val="0"/>
          <w:numId w:val="1008"/>
        </w:numPr>
        <w:pStyle w:val="Compact"/>
      </w:pPr>
      <w:r>
        <w:t xml:space="preserve">Huizinga, Johan,</w:t>
      </w:r>
      <w:r>
        <w:t xml:space="preserve"> </w:t>
      </w:r>
      <w:r>
        <w:rPr>
          <w:iCs/>
          <w:i/>
        </w:rPr>
        <w:t xml:space="preserve">Homo ludens</w:t>
      </w:r>
      <w:r>
        <w:t xml:space="preserve">, Madrid, Alianza. El juego como actividad libre, que no sirve para nada fuera de sí.</w:t>
      </w:r>
    </w:p>
    <w:bookmarkEnd w:id="239"/>
    <w:bookmarkStart w:id="240" w:name="tiempo-libre-2"/>
    <w:p>
      <w:pPr>
        <w:pStyle w:val="Heading2"/>
      </w:pPr>
      <w:r>
        <w:t xml:space="preserve">8. Tiempo libre</w:t>
      </w:r>
    </w:p>
    <w:p>
      <w:pPr>
        <w:numPr>
          <w:ilvl w:val="0"/>
          <w:numId w:val="1009"/>
        </w:numPr>
        <w:pStyle w:val="Compact"/>
      </w:pPr>
      <w:r>
        <w:t xml:space="preserve">Masschelein, Jan, y Maarten Simons,</w:t>
      </w:r>
      <w:r>
        <w:t xml:space="preserve"> </w:t>
      </w:r>
      <w:r>
        <w:rPr>
          <w:iCs/>
          <w:i/>
        </w:rPr>
        <w:t xml:space="preserve">Defensa de la escuela. Una cuestión pública</w:t>
      </w:r>
      <w:r>
        <w:t xml:space="preserve">, Buenos Aires, Miño y Dávila, 2014. La escuela como tiempo suspendido.</w:t>
      </w:r>
    </w:p>
    <w:p>
      <w:pPr>
        <w:numPr>
          <w:ilvl w:val="0"/>
          <w:numId w:val="1009"/>
        </w:numPr>
        <w:pStyle w:val="Compact"/>
      </w:pPr>
      <w:r>
        <w:t xml:space="preserve">Foucault, Michel, «¿Qué es la crítica?» (1978). El arte de no ser gobernado de tal modo.</w:t>
      </w:r>
    </w:p>
    <w:p>
      <w:pPr>
        <w:numPr>
          <w:ilvl w:val="0"/>
          <w:numId w:val="1009"/>
        </w:numPr>
        <w:pStyle w:val="Compact"/>
      </w:pPr>
      <w:r>
        <w:t xml:space="preserve">hooks, bell,</w:t>
      </w:r>
      <w:r>
        <w:t xml:space="preserve"> </w:t>
      </w:r>
      <w:r>
        <w:rPr>
          <w:iCs/>
          <w:i/>
        </w:rPr>
        <w:t xml:space="preserve">Enseñar a transgredir</w:t>
      </w:r>
      <w:r>
        <w:t xml:space="preserve">, trad. de Marta Malo, Madrid, Capitán Swing, 2021. El aula como lugar de libertad y de cuidado.</w:t>
      </w:r>
    </w:p>
    <w:p>
      <w:pPr>
        <w:numPr>
          <w:ilvl w:val="0"/>
          <w:numId w:val="1009"/>
        </w:numPr>
        <w:pStyle w:val="Compact"/>
      </w:pPr>
      <w:r>
        <w:t xml:space="preserve">Garcés, Marina,</w:t>
      </w:r>
      <w:r>
        <w:t xml:space="preserve"> </w:t>
      </w:r>
      <w:r>
        <w:rPr>
          <w:iCs/>
          <w:i/>
        </w:rPr>
        <w:t xml:space="preserve">Un mundo común</w:t>
      </w:r>
      <w:r>
        <w:t xml:space="preserve">, Barcelona, Bellaterra, 2013, y</w:t>
      </w:r>
      <w:r>
        <w:t xml:space="preserve"> </w:t>
      </w:r>
      <w:r>
        <w:rPr>
          <w:iCs/>
          <w:i/>
        </w:rPr>
        <w:t xml:space="preserve">Escuela de aprendices</w:t>
      </w:r>
      <w:r>
        <w:t xml:space="preserve">, Barcelona, Galaxia Gutenberg, 2020. Pensar desde la coimplicación y defender una escuela de aprendices.</w:t>
      </w:r>
    </w:p>
    <w:p>
      <w:pPr>
        <w:numPr>
          <w:ilvl w:val="0"/>
          <w:numId w:val="1009"/>
        </w:numPr>
        <w:pStyle w:val="Compact"/>
      </w:pPr>
      <w:r>
        <w:t xml:space="preserve">Noddings, Nel,</w:t>
      </w:r>
      <w:r>
        <w:t xml:space="preserve"> </w:t>
      </w:r>
      <w:r>
        <w:rPr>
          <w:iCs/>
          <w:i/>
        </w:rPr>
        <w:t xml:space="preserve">The Challenge to Care in Schools</w:t>
      </w:r>
      <w:r>
        <w:t xml:space="preserve">, Nueva York, Teachers College Press, 1992. Una escuela organizada en torno al cuidado.</w:t>
      </w:r>
    </w:p>
    <w:bookmarkEnd w:id="240"/>
    <w:bookmarkStart w:id="241" w:name="informes-leyes-y-documentos"/>
    <w:p>
      <w:pPr>
        <w:pStyle w:val="Heading2"/>
      </w:pPr>
      <w:r>
        <w:t xml:space="preserve">Informes, leyes y documentos</w:t>
      </w:r>
    </w:p>
    <w:p>
      <w:pPr>
        <w:numPr>
          <w:ilvl w:val="0"/>
          <w:numId w:val="1010"/>
        </w:numPr>
        <w:pStyle w:val="Compact"/>
      </w:pPr>
      <w:r>
        <w:t xml:space="preserve">OCDE,</w:t>
      </w:r>
      <w:r>
        <w:t xml:space="preserve"> </w:t>
      </w:r>
      <w:r>
        <w:rPr>
          <w:iCs/>
          <w:i/>
        </w:rPr>
        <w:t xml:space="preserve">Students, Computers and Learning: Making the Connection</w:t>
      </w:r>
      <w:r>
        <w:t xml:space="preserve">, París, OECD Publishing, 2015.</w:t>
      </w:r>
    </w:p>
    <w:p>
      <w:pPr>
        <w:numPr>
          <w:ilvl w:val="0"/>
          <w:numId w:val="1010"/>
        </w:numPr>
        <w:pStyle w:val="Compact"/>
      </w:pPr>
      <w:r>
        <w:t xml:space="preserve">OCDE,</w:t>
      </w:r>
      <w:r>
        <w:t xml:space="preserve"> </w:t>
      </w:r>
      <w:r>
        <w:rPr>
          <w:iCs/>
          <w:i/>
        </w:rPr>
        <w:t xml:space="preserve">PISA 2022 Results (Volume II): Learning During – and From – Disruption</w:t>
      </w:r>
      <w:r>
        <w:t xml:space="preserve">, París, OECD Publishing, 2023.</w:t>
      </w:r>
    </w:p>
    <w:p>
      <w:pPr>
        <w:numPr>
          <w:ilvl w:val="0"/>
          <w:numId w:val="1010"/>
        </w:numPr>
        <w:pStyle w:val="Compact"/>
      </w:pPr>
      <w:r>
        <w:t xml:space="preserve">UNESCO,</w:t>
      </w:r>
      <w:r>
        <w:t xml:space="preserve"> </w:t>
      </w:r>
      <w:r>
        <w:rPr>
          <w:iCs/>
          <w:i/>
        </w:rPr>
        <w:t xml:space="preserve">Informe de seguimiento de la educación en el mundo 2023. La tecnología en la educación: ¿una herramienta en los términos de quién?</w:t>
      </w:r>
      <w:r>
        <w:t xml:space="preserve">, París, UNESCO, 2023.</w:t>
      </w:r>
    </w:p>
    <w:p>
      <w:pPr>
        <w:numPr>
          <w:ilvl w:val="0"/>
          <w:numId w:val="1010"/>
        </w:numPr>
        <w:pStyle w:val="Compact"/>
      </w:pPr>
      <w:r>
        <w:t xml:space="preserve">UNESCO,</w:t>
      </w:r>
      <w:r>
        <w:t xml:space="preserve"> </w:t>
      </w:r>
      <w:r>
        <w:rPr>
          <w:iCs/>
          <w:i/>
        </w:rPr>
        <w:t xml:space="preserve">Guidance for Generative AI in Education and Research</w:t>
      </w:r>
      <w:r>
        <w:t xml:space="preserve">, París, UNESCO, 2023.</w:t>
      </w:r>
    </w:p>
    <w:p>
      <w:pPr>
        <w:numPr>
          <w:ilvl w:val="0"/>
          <w:numId w:val="1010"/>
        </w:numPr>
        <w:pStyle w:val="Compact"/>
      </w:pPr>
      <w:r>
        <w:t xml:space="preserve">UNICEF,</w:t>
      </w:r>
      <w:r>
        <w:t xml:space="preserve"> </w:t>
      </w:r>
      <w:r>
        <w:rPr>
          <w:iCs/>
          <w:i/>
        </w:rPr>
        <w:t xml:space="preserve">Remote Learning Reachability</w:t>
      </w:r>
      <w:r>
        <w:t xml:space="preserve">, Nueva York, agosto de 2020.</w:t>
      </w:r>
    </w:p>
    <w:p>
      <w:pPr>
        <w:numPr>
          <w:ilvl w:val="0"/>
          <w:numId w:val="1010"/>
        </w:numPr>
        <w:pStyle w:val="Compact"/>
      </w:pPr>
      <w:r>
        <w:t xml:space="preserve">Arnold, Kimberly, y Matthew Pistilli, «Course Signals at Purdue: Using Learning Analytics to Increase Student Success»,</w:t>
      </w:r>
      <w:r>
        <w:t xml:space="preserve"> </w:t>
      </w:r>
      <w:r>
        <w:rPr>
          <w:iCs/>
          <w:i/>
        </w:rPr>
        <w:t xml:space="preserve">LAK ’12</w:t>
      </w:r>
      <w:r>
        <w:t xml:space="preserve">, ACM, 2012.</w:t>
      </w:r>
    </w:p>
    <w:p>
      <w:pPr>
        <w:numPr>
          <w:ilvl w:val="0"/>
          <w:numId w:val="1010"/>
        </w:numPr>
        <w:pStyle w:val="Compact"/>
      </w:pPr>
      <w:r>
        <w:t xml:space="preserve">Georgia State University,</w:t>
      </w:r>
      <w:r>
        <w:t xml:space="preserve"> </w:t>
      </w:r>
      <w:r>
        <w:rPr>
          <w:iCs/>
          <w:i/>
        </w:rPr>
        <w:t xml:space="preserve">Complete College Report</w:t>
      </w:r>
      <w:r>
        <w:t xml:space="preserve"> </w:t>
      </w:r>
      <w:r>
        <w:t xml:space="preserve">y materiales de GPS Advising.</w:t>
      </w:r>
    </w:p>
    <w:p>
      <w:pPr>
        <w:numPr>
          <w:ilvl w:val="0"/>
          <w:numId w:val="1010"/>
        </w:numPr>
        <w:pStyle w:val="Compact"/>
      </w:pPr>
      <w:r>
        <w:t xml:space="preserve">Liang, Weixin, et al., «GPT detectors are biased against non-native English writers»,</w:t>
      </w:r>
      <w:r>
        <w:t xml:space="preserve"> </w:t>
      </w:r>
      <w:r>
        <w:rPr>
          <w:iCs/>
          <w:i/>
        </w:rPr>
        <w:t xml:space="preserve">Patterns</w:t>
      </w:r>
      <w:r>
        <w:t xml:space="preserve">, 4 (7), 2023.</w:t>
      </w:r>
    </w:p>
    <w:p>
      <w:pPr>
        <w:numPr>
          <w:ilvl w:val="0"/>
          <w:numId w:val="1010"/>
        </w:numPr>
        <w:pStyle w:val="Compact"/>
      </w:pPr>
      <w:r>
        <w:t xml:space="preserve">Vanderbilt University, «Guidance on AI Detection and Why We’re Disabling Turnitin’s AI Detector», 16 de agosto de 2023.</w:t>
      </w:r>
    </w:p>
    <w:p>
      <w:pPr>
        <w:numPr>
          <w:ilvl w:val="0"/>
          <w:numId w:val="1010"/>
        </w:numPr>
        <w:pStyle w:val="Compact"/>
      </w:pPr>
      <w:r>
        <w:t xml:space="preserve">Bastani, Hamsa, et al., «Generative AI without guardrails can harm learning: Evidence from high school mathematics»,</w:t>
      </w:r>
      <w:r>
        <w:t xml:space="preserve"> </w:t>
      </w:r>
      <w:r>
        <w:rPr>
          <w:iCs/>
          <w:i/>
        </w:rPr>
        <w:t xml:space="preserve">PNAS</w:t>
      </w:r>
      <w:r>
        <w:t xml:space="preserve">, 122 (26), 2025.</w:t>
      </w:r>
    </w:p>
    <w:p>
      <w:pPr>
        <w:numPr>
          <w:ilvl w:val="0"/>
          <w:numId w:val="1010"/>
        </w:numPr>
        <w:pStyle w:val="Compact"/>
      </w:pPr>
      <w:r>
        <w:t xml:space="preserve">Ofqual,</w:t>
      </w:r>
      <w:r>
        <w:t xml:space="preserve"> </w:t>
      </w:r>
      <w:r>
        <w:rPr>
          <w:iCs/>
          <w:i/>
        </w:rPr>
        <w:t xml:space="preserve">Awarding GCSE, AS, A level, advanced extension awards and extended project qualifications in summer 2020: interim report</w:t>
      </w:r>
      <w:r>
        <w:t xml:space="preserve">, agosto de 2020.</w:t>
      </w:r>
    </w:p>
    <w:p>
      <w:pPr>
        <w:numPr>
          <w:ilvl w:val="0"/>
          <w:numId w:val="1010"/>
        </w:numPr>
        <w:pStyle w:val="Compact"/>
      </w:pPr>
      <w:r>
        <w:t xml:space="preserve">Datatilsynet (autoridad danesa de protección de datos), decisiones de 14 de julio de 2022 (Helsingør) y de 30 de enero de 2024 (cincuenta y tres municipios).</w:t>
      </w:r>
    </w:p>
    <w:p>
      <w:pPr>
        <w:numPr>
          <w:ilvl w:val="0"/>
          <w:numId w:val="1010"/>
        </w:numPr>
        <w:pStyle w:val="Compact"/>
      </w:pPr>
      <w:r>
        <w:t xml:space="preserve">Unión Europea: Reglamento (UE) 2016/679, General de Protección de Datos; Reglamento (UE) 2024/1689, de Inteligencia Artificial; Decisión de ejecución (UE) 2023/1795 (Marco de Privacidad de Datos UE-EE. UU.); Tribunal General, asunto T-553/23,</w:t>
      </w:r>
      <w:r>
        <w:t xml:space="preserve"> </w:t>
      </w:r>
      <w:r>
        <w:rPr>
          <w:iCs/>
          <w:i/>
        </w:rPr>
        <w:t xml:space="preserve">Latombe c. Comisión</w:t>
      </w:r>
      <w:r>
        <w:t xml:space="preserve">, 3 de septiembre de 2025.</w:t>
      </w:r>
    </w:p>
    <w:p>
      <w:pPr>
        <w:numPr>
          <w:ilvl w:val="0"/>
          <w:numId w:val="1010"/>
        </w:numPr>
        <w:pStyle w:val="Compact"/>
      </w:pPr>
      <w:r>
        <w:t xml:space="preserve">Francia: respuesta ministerial a la pregunta escrita n.º 971 de Philippe Latombe,</w:t>
      </w:r>
      <w:r>
        <w:t xml:space="preserve"> </w:t>
      </w:r>
      <w:r>
        <w:rPr>
          <w:iCs/>
          <w:i/>
        </w:rPr>
        <w:t xml:space="preserve">Journal officiel</w:t>
      </w:r>
      <w:r>
        <w:t xml:space="preserve">, 15 de noviembre de 2022.</w:t>
      </w:r>
    </w:p>
    <w:p>
      <w:pPr>
        <w:numPr>
          <w:ilvl w:val="0"/>
          <w:numId w:val="1010"/>
        </w:numPr>
        <w:pStyle w:val="Compact"/>
      </w:pPr>
      <w:r>
        <w:t xml:space="preserve">Chile: Ley 20.845 de Inclusión Escolar (2015); Ley 20.903 del Sistema de Desarrollo Profesional Docente (2016); Ley 21.040 del Sistema de Educación Pública (2017); Ley 21.728 sobre la deuda histórica docente (2025).</w:t>
      </w:r>
    </w:p>
    <w:p>
      <w:pPr>
        <w:numPr>
          <w:ilvl w:val="0"/>
          <w:numId w:val="1010"/>
        </w:numPr>
        <w:pStyle w:val="Compact"/>
      </w:pPr>
      <w:r>
        <w:t xml:space="preserve">Valenzuela, Juan Pablo, Cristián Bellei y Danae de los Ríos, «Socioeconomic school segregation in a market-oriented educational system. The case of Chile»,</w:t>
      </w:r>
      <w:r>
        <w:t xml:space="preserve"> </w:t>
      </w:r>
      <w:r>
        <w:rPr>
          <w:iCs/>
          <w:i/>
        </w:rPr>
        <w:t xml:space="preserve">Journal of Education Policy</w:t>
      </w:r>
      <w:r>
        <w:t xml:space="preserve">, 29 (2), 2014.</w:t>
      </w:r>
    </w:p>
    <w:p>
      <w:pPr>
        <w:numPr>
          <w:ilvl w:val="0"/>
          <w:numId w:val="1010"/>
        </w:numPr>
        <w:pStyle w:val="Compact"/>
      </w:pPr>
      <w:r>
        <w:t xml:space="preserve">Generalitat de Catalunya, Departament d’Educació, instrucciones sobre teléfonos móviles (enero de 2024) y Pla de Digitalització Responsable (junio de 2025).</w:t>
      </w:r>
    </w:p>
    <w:p>
      <w:pPr>
        <w:numPr>
          <w:ilvl w:val="0"/>
          <w:numId w:val="1010"/>
        </w:numPr>
        <w:pStyle w:val="Compact"/>
      </w:pPr>
      <w:r>
        <w:t xml:space="preserve">Google,</w:t>
      </w:r>
      <w:r>
        <w:t xml:space="preserve"> </w:t>
      </w:r>
      <w:r>
        <w:rPr>
          <w:iCs/>
          <w:i/>
        </w:rPr>
        <w:t xml:space="preserve">Google Workspace for Education Terms of Service</w:t>
      </w:r>
      <w:r>
        <w:t xml:space="preserve"> </w:t>
      </w:r>
      <w:r>
        <w:t xml:space="preserve">y aviso de privacidad para Education.</w:t>
      </w:r>
    </w:p>
    <w:p>
      <w:pPr>
        <w:numPr>
          <w:ilvl w:val="0"/>
          <w:numId w:val="1010"/>
        </w:numPr>
        <w:pStyle w:val="Compact"/>
      </w:pPr>
      <w:r>
        <w:t xml:space="preserve">Ayuntamiento de Barcelona y Xnet, materiales del proyecto de Digitalización Democrática de la Educación.</w:t>
      </w:r>
    </w:p>
    <w:p>
      <w:r>
        <w:pict>
          <v:rect style="width:0;height:1.5pt" o:hralign="center" o:hrstd="t" o:hr="t"/>
        </w:pict>
      </w:r>
    </w:p>
    <w:p>
      <w:pPr>
        <w:pStyle w:val="FirstParagraph"/>
      </w:pPr>
      <w:r>
        <w:t xml:space="preserve">Algunas de las ideas de este libro las trabajé antes en una investigación doctoral dirigida por Marina Garcés y Raquel Miño, con la tutoría de Josep Maria Esquirol. Les agradezco la lectura atenta y la libertad.</w:t>
      </w:r>
    </w:p>
    <w:bookmarkEnd w:id="241"/>
    <w:bookmarkEnd w:id="2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dc:language>
  <cp:keywords/>
  <dcterms:created xsi:type="dcterms:W3CDTF">2026-10-13T05:18:27Z</dcterms:created>
  <dcterms:modified xsi:type="dcterms:W3CDTF">2026-10-13T05:18:27Z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ies>
</file>