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manual-de-codificación-a-texto-completo"/>
    <w:p>
      <w:pPr>
        <w:pStyle w:val="Heading1"/>
      </w:pPr>
      <w:r>
        <w:t xml:space="preserve">Manual de codificación a texto completo</w:t>
      </w:r>
    </w:p>
    <w:p>
      <w:pPr>
        <w:pStyle w:val="FirstParagraph"/>
      </w:pPr>
      <w:r>
        <w:t xml:space="preserve">Revisión de alcance sobre alfabetización digital crítica (ADC) en la educación formal, 2016–2026.</w:t>
      </w:r>
    </w:p>
    <w:bookmarkStart w:id="20" w:name="para-qué-sirve"/>
    <w:p>
      <w:pPr>
        <w:pStyle w:val="Heading2"/>
      </w:pPr>
      <w:r>
        <w:t xml:space="preserve">Para qué sirve</w:t>
      </w:r>
    </w:p>
    <w:p>
      <w:pPr>
        <w:pStyle w:val="FirstParagraph"/>
      </w:pPr>
      <w:r>
        <w:t xml:space="preserve">La revisión codificó los 135 estudios con diccionarios de términos aplicados al título, el resumen y las palabras clave. Esta lectura a texto completo de una muestra de 40 estudios sirve para tres cosas:</w:t>
      </w:r>
    </w:p>
    <w:p>
      <w:pPr>
        <w:numPr>
          <w:ilvl w:val="0"/>
          <w:numId w:val="1001"/>
        </w:numPr>
        <w:pStyle w:val="Compact"/>
      </w:pPr>
      <w:r>
        <w:t xml:space="preserve">comprobar que cada estudio cumple los criterios de inclusión;</w:t>
      </w:r>
    </w:p>
    <w:p>
      <w:pPr>
        <w:numPr>
          <w:ilvl w:val="0"/>
          <w:numId w:val="1001"/>
        </w:numPr>
        <w:pStyle w:val="Compact"/>
      </w:pPr>
      <w:r>
        <w:t xml:space="preserve">medir cuánto aciertan los códigos de los diccionarios (nivel, diseño, tradición teórica y objeto de crítica);</w:t>
      </w:r>
    </w:p>
    <w:p>
      <w:pPr>
        <w:numPr>
          <w:ilvl w:val="0"/>
          <w:numId w:val="1001"/>
        </w:numPr>
        <w:pStyle w:val="Compact"/>
      </w:pPr>
      <w:r>
        <w:t xml:space="preserve">codificar las tres dimensiones de la definición de trabajo (textual, infraestructural y transformadora) y si el estudio evalúa resultados, algo que los diccionarios no pueden captar.</w:t>
      </w:r>
    </w:p>
    <w:p>
      <w:pPr>
        <w:pStyle w:val="FirstParagraph"/>
      </w:pPr>
      <w:r>
        <w:t xml:space="preserve">La muestra se sorteó entre los 77 estudios en acceso abierto, en proporción a los tres periodos del corpus. Hay más estudios abiertos de reserva.</w:t>
      </w:r>
    </w:p>
    <w:bookmarkEnd w:id="20"/>
    <w:bookmarkStart w:id="21" w:name="cómo-se-trabaja"/>
    <w:p>
      <w:pPr>
        <w:pStyle w:val="Heading2"/>
      </w:pPr>
      <w:r>
        <w:t xml:space="preserve">Cómo se trabaja</w:t>
      </w:r>
    </w:p>
    <w:p>
      <w:pPr>
        <w:numPr>
          <w:ilvl w:val="0"/>
          <w:numId w:val="1002"/>
        </w:numPr>
        <w:pStyle w:val="Compact"/>
      </w:pPr>
      <w:r>
        <w:t xml:space="preserve">Dos personas codifican</w:t>
      </w:r>
      <w:r>
        <w:t xml:space="preserve"> </w:t>
      </w:r>
      <w:r>
        <w:rPr>
          <w:bCs/>
          <w:b/>
        </w:rPr>
        <w:t xml:space="preserve">por separado</w:t>
      </w:r>
      <w:r>
        <w:t xml:space="preserve">, cada una en su planilla (A o B). No se consultan entre sí hasta terminar, y ninguna mira los códigos del artículo ni los de los diccionarios.</w:t>
      </w:r>
    </w:p>
    <w:p>
      <w:pPr>
        <w:numPr>
          <w:ilvl w:val="0"/>
          <w:numId w:val="1002"/>
        </w:numPr>
        <w:pStyle w:val="Compact"/>
      </w:pPr>
      <w:r>
        <w:t xml:space="preserve">Se lee el texto completo. Se puede leer en diagonal lo que no hace falta (por ejemplo, tablas de datos extensas), pero el marco teórico, el método y los resultados se leen enteros.</w:t>
      </w:r>
    </w:p>
    <w:p>
      <w:pPr>
        <w:numPr>
          <w:ilvl w:val="0"/>
          <w:numId w:val="1002"/>
        </w:numPr>
        <w:pStyle w:val="Compact"/>
      </w:pPr>
      <w:r>
        <w:t xml:space="preserve">Se codifica</w:t>
      </w:r>
      <w:r>
        <w:t xml:space="preserve"> </w:t>
      </w:r>
      <w:r>
        <w:rPr>
          <w:bCs/>
          <w:b/>
        </w:rPr>
        <w:t xml:space="preserve">lo que el estudio hace, no las palabras que usa</w:t>
      </w:r>
      <w:r>
        <w:t xml:space="preserve">. Esta es la regla principal: la lectura existe precisamente para corregir los errores de los diccionarios, que sí cuentan palabras.</w:t>
      </w:r>
    </w:p>
    <w:p>
      <w:pPr>
        <w:numPr>
          <w:ilvl w:val="0"/>
          <w:numId w:val="1002"/>
        </w:numPr>
        <w:pStyle w:val="Compact"/>
      </w:pPr>
      <w:r>
        <w:t xml:space="preserve">En caso de duda se marca «No» y se explica en «Notas». Las dudas se resuelven después, en la reunión de consenso.</w:t>
      </w:r>
    </w:p>
    <w:p>
      <w:pPr>
        <w:numPr>
          <w:ilvl w:val="0"/>
          <w:numId w:val="1002"/>
        </w:numPr>
        <w:pStyle w:val="Compact"/>
      </w:pPr>
      <w:r>
        <w:t xml:space="preserve">Cada estudio lleva unos 20 o 30 minutos. Conviene hacerlo en varias sesiones, en el orden de la planilla.</w:t>
      </w:r>
    </w:p>
    <w:p>
      <w:pPr>
        <w:numPr>
          <w:ilvl w:val="0"/>
          <w:numId w:val="1002"/>
        </w:numPr>
        <w:pStyle w:val="Compact"/>
      </w:pPr>
      <w:r>
        <w:t xml:space="preserve">Si un texto no se puede abrir o no es un artículo de investigación completo, se marca «Texto completo leído: No» y se codifica, en una fila nueva, la primera reserva del mismo periodo (hoja «Reservas»).</w:t>
      </w:r>
    </w:p>
    <w:bookmarkEnd w:id="21"/>
    <w:bookmarkStart w:id="29" w:name="variables"/>
    <w:p>
      <w:pPr>
        <w:pStyle w:val="Heading2"/>
      </w:pPr>
      <w:r>
        <w:t xml:space="preserve">Variables</w:t>
      </w:r>
    </w:p>
    <w:p>
      <w:pPr>
        <w:pStyle w:val="FirstParagraph"/>
      </w:pPr>
      <w:r>
        <w:t xml:space="preserve">En todas las variables de Sí/No, un estudio puede tener varias categorías marcadas o ninguna.</w:t>
      </w:r>
    </w:p>
    <w:bookmarkStart w:id="22" w:name="elegibilidad"/>
    <w:p>
      <w:pPr>
        <w:pStyle w:val="Heading3"/>
      </w:pPr>
      <w:r>
        <w:t xml:space="preserve">1. Elegibilidad</w:t>
      </w:r>
    </w:p>
    <w:p>
      <w:pPr>
        <w:pStyle w:val="FirstParagraph"/>
      </w:pPr>
      <w:r>
        <w:t xml:space="preserve">Se aplican los criterios de la tabla 1 del artículo.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Elegible: Sí</w:t>
      </w:r>
      <w:r>
        <w:t xml:space="preserve"> </w:t>
      </w:r>
      <w:r>
        <w:t xml:space="preserve">cuando la ADC, tal como la define la revisión, es un foco central del estudio, el contexto es la educación formal (infantil, primaria, secundaria, universidad o formación docente inicial o continua) y el documento es un artículo de investigación, una revisión o un ensayo teórico revisado por pares.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Elegible: No</w:t>
      </w:r>
      <w:r>
        <w:t xml:space="preserve"> </w:t>
      </w:r>
      <w:r>
        <w:t xml:space="preserve">cuando la ADC solo se menciona de pasada, cuando «crítico» significa únicamente comprobar la fiabilidad de una fuente o pensamiento crítico en general, cuando el contexto no tiene relación con una institución educativa (familias, bibliotecas, organizaciones) o cuando se trata de una reseña o un editorial. En ese caso se elige el motivo y no se codifica nada más.</w:t>
      </w:r>
    </w:p>
    <w:p>
      <w:pPr>
        <w:pStyle w:val="FirstParagraph"/>
      </w:pPr>
      <w:r>
        <w:t xml:space="preserve">La definición de trabajo: la ADC es el conocimiento y la práctica que permiten (a) analizar cómo los textos y artefactos digitales construyen representaciones y relaciones de poder; (b) comprender las infraestructuras que hay detrás (plataformas, datos, algoritmos, sistemas de IA) y los intereses económicos y políticos a los que sirven; y (c) intervenir en esas infraestructuras mediante la producción y la acción colectiva. Un estudio es elegible si trata al menos la dimensión textual en términos de poder, o la dimensión infraestructural.</w:t>
      </w:r>
    </w:p>
    <w:bookmarkEnd w:id="22"/>
    <w:bookmarkStart w:id="23" w:name="nivel-educativo"/>
    <w:p>
      <w:pPr>
        <w:pStyle w:val="Heading3"/>
      </w:pPr>
      <w:r>
        <w:t xml:space="preserve">2. Nivel educativo</w:t>
      </w:r>
    </w:p>
    <w:p>
      <w:pPr>
        <w:pStyle w:val="FirstParagraph"/>
      </w:pPr>
      <w:r>
        <w:t xml:space="preserve">El nivel en el que se sitúa el estudio: el de sus participantes o, en un estudio teórico, el que declara como destinatario.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Infantil y primaria</w:t>
      </w:r>
      <w:r>
        <w:t xml:space="preserve">: alumnado de hasta unos 12 años.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Secundaria</w:t>
      </w:r>
      <w:r>
        <w:t xml:space="preserve">: alumnado de secundaria o bachillerato.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Universidad</w:t>
      </w:r>
      <w:r>
        <w:t xml:space="preserve">: estudiantes universitarios que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forman como docentes.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Formación docente</w:t>
      </w:r>
      <w:r>
        <w:t xml:space="preserve">: futuros docentes o docentes en ejercicio, incluidos los formadores de docentes.</w:t>
      </w:r>
    </w:p>
    <w:p>
      <w:pPr>
        <w:pStyle w:val="FirstParagraph"/>
      </w:pPr>
      <w:r>
        <w:t xml:space="preserve">Un estudio con estudiantes de magisterio va en «Formación docente», no en «Universidad». Si el estudio no se refiere a ningún nivel concreto, se dejan todas en «No».</w:t>
      </w:r>
    </w:p>
    <w:bookmarkEnd w:id="23"/>
    <w:bookmarkStart w:id="24" w:name="diseño"/>
    <w:p>
      <w:pPr>
        <w:pStyle w:val="Heading3"/>
      </w:pPr>
      <w:r>
        <w:t xml:space="preserve">3. Diseño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Revisión de literatura</w:t>
      </w:r>
      <w:r>
        <w:t xml:space="preserve">: el estudio sintetiza estudios previos con un método explícito o como revisión narrativa.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Teórico o conceptual</w:t>
      </w:r>
      <w:r>
        <w:t xml:space="preserve">: propone o discute conceptos sin datos empíricos propios.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Cualitativo</w:t>
      </w:r>
      <w:r>
        <w:t xml:space="preserve">: analiza datos empíricos con métodos cualitativos (entrevistas, observación, análisis de producciones o discursos).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Cuantitativo</w:t>
      </w:r>
      <w:r>
        <w:t xml:space="preserve">: analiza datos empíricos con medidas numéricas (cuestionarios con escalas, pruebas, estadística). Un cuestionario descrito solo con frecuencias también cuenta. Que el texto mencione una «encuesta» o una «escala» de otros autores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basta.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Diseño o intervención</w:t>
      </w:r>
      <w:r>
        <w:t xml:space="preserve">: describe una intervención, un módulo o una secuencia didáctica que</w:t>
      </w:r>
      <w:r>
        <w:t xml:space="preserve"> </w:t>
      </w:r>
      <w:r>
        <w:rPr>
          <w:bCs/>
          <w:b/>
        </w:rPr>
        <w:t xml:space="preserve">se llevó a cabo</w:t>
      </w:r>
      <w:r>
        <w:t xml:space="preserve"> </w:t>
      </w:r>
      <w:r>
        <w:t xml:space="preserve">con estudiantes o docentes. Una propuesta que no se aplicó no cuenta. Que el texto hable de «clases» o de «actividades» en general tampoco.</w:t>
      </w:r>
    </w:p>
    <w:p>
      <w:pPr>
        <w:pStyle w:val="FirstParagraph"/>
      </w:pPr>
      <w:r>
        <w:t xml:space="preserve">Un estudio mixto lleva «Cualitativo» y «Cuantitativo». Una intervención estudiada con entrevistas lleva «Diseño o intervención» y «Cualitativo».</w:t>
      </w:r>
    </w:p>
    <w:bookmarkEnd w:id="24"/>
    <w:bookmarkStart w:id="25" w:name="evaluación-de-resultados"/>
    <w:p>
      <w:pPr>
        <w:pStyle w:val="Heading3"/>
      </w:pPr>
      <w:r>
        <w:t xml:space="preserve">4. Evaluación de resultados</w:t>
      </w:r>
    </w:p>
    <w:p>
      <w:pPr>
        <w:pStyle w:val="FirstParagraph"/>
      </w:pPr>
      <w:r>
        <w:t xml:space="preserve">Una sola opción: la más alta que corresponda al estudio.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0 Ninguna</w:t>
      </w:r>
      <w:r>
        <w:t xml:space="preserve">: el estudio no examina qué aprendieron o cómo cambiaron los participantes (por ejemplo, estudios teóricos, revisiones o descripciones de percepciones sin intervención).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1 Evidencia cualitativa</w:t>
      </w:r>
      <w:r>
        <w:t xml:space="preserve">: examina con datos cualitativos qué aprendieron los participantes, cómo cambiaron sus prácticas o cómo ejercieron su agencia tras una intervención.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2 Medida cuantitativa sin comparación</w:t>
      </w:r>
      <w:r>
        <w:t xml:space="preserve">: mide resultados con instrumentos cuantitativos, pero sin grupo de comparación (por ejemplo, un pretest y un postest con el mismo grupo).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3 Diseño comparativo</w:t>
      </w:r>
      <w:r>
        <w:t xml:space="preserve">: compara con un grupo de control o de comparación, o usa otro diseño que permita atribuir el cambio a la intervención.</w:t>
      </w:r>
    </w:p>
    <w:p>
      <w:pPr>
        <w:pStyle w:val="FirstParagraph"/>
      </w:pPr>
      <w:r>
        <w:t xml:space="preserve">Las tres primeras opciones no se ordenan por calidad: una evaluación cualitativa bien hecha es evidencia de aprendizaje. La escala solo distingue el tipo de evidencia.</w:t>
      </w:r>
    </w:p>
    <w:bookmarkEnd w:id="25"/>
    <w:bookmarkStart w:id="26" w:name="tradición-teórica"/>
    <w:p>
      <w:pPr>
        <w:pStyle w:val="Heading3"/>
      </w:pPr>
      <w:r>
        <w:t xml:space="preserve">5. Tradición teórica</w:t>
      </w:r>
    </w:p>
    <w:p>
      <w:pPr>
        <w:pStyle w:val="FirstParagraph"/>
      </w:pPr>
      <w:r>
        <w:t xml:space="preserve">Se marca una tradición solo si el estudio</w:t>
      </w:r>
      <w:r>
        <w:t xml:space="preserve"> </w:t>
      </w:r>
      <w:r>
        <w:rPr>
          <w:bCs/>
          <w:b/>
        </w:rPr>
        <w:t xml:space="preserve">la adopta como marco</w:t>
      </w:r>
      <w:r>
        <w:t xml:space="preserve">, es decir, si la presenta en su marco teórico o la usa para analizar sus datos o su propuesta. No basta con citarla de pasada ni con usar alguna de sus palabras.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Pedagogía crítica (Freire)</w:t>
      </w:r>
      <w:r>
        <w:t xml:space="preserve">: se apoya en Freire o en la pedagogía crítica (concientización, diálogo, opresión, praxis). La palabra «emancipación» sola no basta.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Multiliteracidades y nuevos estudios de literacidad</w:t>
      </w:r>
      <w:r>
        <w:t xml:space="preserve">: se apoya en el New London Group, Kalantzis y Cope, Street, Gee, Lankshear y Knobel u otros autores de esas corrientes. La palabra «multimodal» sola no basta.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Alfabetización mediática</w:t>
      </w:r>
      <w:r>
        <w:t xml:space="preserve">: se apoya en la alfabetización mediática o la alfabetización mediática crítica (Kellner y Share, Buckingham, Hobbs u otros).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Ciudadanía digital</w:t>
      </w:r>
      <w:r>
        <w:t xml:space="preserve">: se apoya en marcos de ciudadanía digital o de educación para la ciudadanía en entornos digitales.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Perspectivas críticas de raza, género y decolonialidad</w:t>
      </w:r>
      <w:r>
        <w:t xml:space="preserve">: se apoya en la teoría crítica de la raza, en teorías feministas o de género, o en perspectivas decoloniales o poscoloniales. Que el estudio trate el género o la raza como variables, o que mencione el sesgo de género,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basta.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Otra tradición</w:t>
      </w:r>
      <w:r>
        <w:t xml:space="preserve">: si el marco central es otro (por ejemplo, economía política de los medios, estudios de plataformas o posdigital), se escribe cuál.</w:t>
      </w:r>
    </w:p>
    <w:bookmarkEnd w:id="26"/>
    <w:bookmarkStart w:id="27" w:name="objeto-de-crítica-y-temas"/>
    <w:p>
      <w:pPr>
        <w:pStyle w:val="Heading3"/>
      </w:pPr>
      <w:r>
        <w:t xml:space="preserve">6. Objeto de crítica y temas</w:t>
      </w:r>
    </w:p>
    <w:p>
      <w:pPr>
        <w:pStyle w:val="FirstParagraph"/>
      </w:pPr>
      <w:r>
        <w:t xml:space="preserve">Lo que el estudio somete a crítica o trabaja como tema central, no lo que menciona como contexto.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Inteligencia artificial</w:t>
      </w:r>
      <w:r>
        <w:t xml:space="preserve">: sistemas de IA, IA generativa, chatbots, modelos de lenguaje.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Desinformación y posverdad</w:t>
      </w:r>
      <w:r>
        <w:t xml:space="preserve">: noticias falsas, desinformación, teorías conspirativas.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Redes sociales</w:t>
      </w:r>
      <w:r>
        <w:t xml:space="preserve">: plataformas sociales concretas o las redes sociales en general.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Algoritmos, datos y plataformas</w:t>
      </w:r>
      <w:r>
        <w:t xml:space="preserve">: algoritmos, datificación, modelos de negocio, plataformas educativas o comerciales como infraestructura.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Privacidad y vigilancia</w:t>
      </w:r>
      <w:r>
        <w:t xml:space="preserve">: datos personales, privacidad, vigilancia.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Discurso de odio y radicalización</w:t>
      </w:r>
      <w:r>
        <w:t xml:space="preserve">: discurso de odio, extremismo, ciberacoso de carácter discriminatorio.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Lenguas extranjeras</w:t>
      </w:r>
      <w:r>
        <w:t xml:space="preserve">: el estudio se sitúa en la enseñanza de lenguas extranjeras o segundas lenguas.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Producción digital del alumnado</w:t>
      </w:r>
      <w:r>
        <w:t xml:space="preserve">: el alumnado produce contenidos digitales (vídeos, relatos, carteles, textos multimodales) como parte de la práctica estudiada.</w:t>
      </w:r>
    </w:p>
    <w:bookmarkEnd w:id="27"/>
    <w:bookmarkStart w:id="28" w:name="las-tres-dimensiones"/>
    <w:p>
      <w:pPr>
        <w:pStyle w:val="Heading3"/>
      </w:pPr>
      <w:r>
        <w:t xml:space="preserve">7. Las tres dimensiones</w:t>
      </w:r>
    </w:p>
    <w:p>
      <w:pPr>
        <w:pStyle w:val="FirstParagraph"/>
      </w:pPr>
      <w:r>
        <w:t xml:space="preserve">Para cada dimensión se marca Sí o No y, si es Sí, se copia una frase breve del texto que lo muestre, con la página.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Textual</w:t>
      </w:r>
      <w:r>
        <w:t xml:space="preserve">: el estudio analiza o enseña a analizar cómo los textos y artefactos digitales construyen representaciones, discursos, ideologías o sesgos, en relación con el poder. Ejemplo: analizar memes políticos, la representación de grupos en imágenes generadas por IA o el sesgo ideológico de las respuestas de un chatbot.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Infraestructural</w:t>
      </w:r>
      <w:r>
        <w:t xml:space="preserve">: el estudio examina o enseña a examinar quién posee y gobierna las tecnologías, cómo funcionan sus algoritmos, qué datos extraen, qué modelos de negocio las sostienen o a qué intereses sirven. Ejemplo: analizar cómo una plataforma escolar recoge datos del alumnado o cómo un algoritmo de recomendación decide lo que se ve. Hablar de «la tecnología» en general no basta.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Transformadora</w:t>
      </w:r>
      <w:r>
        <w:t xml:space="preserve">: el estudio documenta o propone que los participantes produzcan alternativas, participen o emprendan acciones colectivas para cambiar prácticas, discursos o tecnologías. Ejemplo: alumnado que produce contrarrelatos, campañas o acciones de activismo. Producir contenidos sin intención de cambiar nada no basta.</w:t>
      </w:r>
    </w:p>
    <w:bookmarkEnd w:id="28"/>
    <w:bookmarkEnd w:id="29"/>
    <w:bookmarkStart w:id="30" w:name="después-de-codificar"/>
    <w:p>
      <w:pPr>
        <w:pStyle w:val="Heading2"/>
      </w:pPr>
      <w:r>
        <w:t xml:space="preserve">Después de codificar</w:t>
      </w:r>
    </w:p>
    <w:p>
      <w:pPr>
        <w:numPr>
          <w:ilvl w:val="0"/>
          <w:numId w:val="1010"/>
        </w:numPr>
        <w:pStyle w:val="Compact"/>
      </w:pPr>
      <w:r>
        <w:t xml:space="preserve">Cada codificador envía su planilla.</w:t>
      </w:r>
    </w:p>
    <w:p>
      <w:pPr>
        <w:numPr>
          <w:ilvl w:val="0"/>
          <w:numId w:val="1010"/>
        </w:numPr>
        <w:pStyle w:val="Compact"/>
      </w:pPr>
      <w:r>
        <w:t xml:space="preserve">El script</w:t>
      </w:r>
      <w:r>
        <w:t xml:space="preserve"> </w:t>
      </w:r>
      <w:r>
        <w:rPr>
          <w:rStyle w:val="VerbatimChar"/>
        </w:rPr>
        <w:t xml:space="preserve">validacion.py</w:t>
      </w:r>
      <w:r>
        <w:t xml:space="preserve"> </w:t>
      </w:r>
      <w:r>
        <w:t xml:space="preserve">calcula el acuerdo entre las dos planillas (kappa de Cohen por variable) y genera una planilla de consenso con los desacuerdos marcados.</w:t>
      </w:r>
    </w:p>
    <w:p>
      <w:pPr>
        <w:numPr>
          <w:ilvl w:val="0"/>
          <w:numId w:val="1010"/>
        </w:numPr>
        <w:pStyle w:val="Compact"/>
      </w:pPr>
      <w:r>
        <w:t xml:space="preserve">Los dos codificadores resuelven juntos los desacuerdos en esa planilla.</w:t>
      </w:r>
    </w:p>
    <w:p>
      <w:pPr>
        <w:numPr>
          <w:ilvl w:val="0"/>
          <w:numId w:val="1010"/>
        </w:numPr>
        <w:pStyle w:val="Compact"/>
      </w:pPr>
      <w:r>
        <w:t xml:space="preserve">El script compara el consenso con los códigos de los diccionarios y calcula la precisión y la sensibilidad de cada uno. Esos resultados se incorporan al artículo.</w:t>
      </w:r>
    </w:p>
    <w:bookmarkEnd w:id="30"/>
    <w:bookmarkEnd w:id="31"/>
    <w:sectPr>
      <w:footerReference w:type="default" r:id="rId9"/>
      <w:pgSz w:w="11906" w:h="16838"/>
      <w:pgMar w:left="1440" w:right="1440" w:top="1440" w:bottom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480" w:lineRule="auto" w:after="120"/>
    </w:pPr>
  </w:style>
  <w:style w:styleId="BodyText" w:type="paragraph">
    <w:name w:val="Body Text"/>
    <w:basedOn w:val="Normal"/>
    <w:link w:val="BodyTextChar"/>
    <w:pPr>
      <w:spacing w:after="120" w:before="180" w:line="480" w:lineRule="auto"/>
    </w:pPr>
    <w:qFormat/>
  </w:style>
  <w:style w:customStyle="1" w:styleId="FirstParagraph" w:type="paragraph">
    <w:name w:val="First Paragraph"/>
    <w:basedOn w:val="BodyText"/>
    <w:next w:val="BodyText"/>
    <w:qFormat/>
    <w:pPr>
      <w:spacing w:line="480" w:lineRule="auto" w:after="120"/>
    </w:pPr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120" w:before="480" w:line="480" w:lineRule="auto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120" w:before="200" w:line="480" w:lineRule="auto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120" w:before="200" w:line="480" w:lineRule="auto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codificación a texto completo</dc:title>
  <dc:creator/>
  <cp:keywords/>
  <dcterms:created xsi:type="dcterms:W3CDTF">2026-10-27T16:23:38Z</dcterms:created>
  <dcterms:modified xsi:type="dcterms:W3CDTF">2026-10-27T16:23:38Z</dcterms:modified>
  <cp:lastModifiedBy/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