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Critical digital literacy in formal education, 2016–2026: A scoping review of research growth, objects of critique and the rise of generative artificial intelligence</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Reported according to PRISMA-ScR, it screened 469 Scopus records in two independent passes, on titles and on abstracts and keywords, and resolved disagreements with an explicit rule; a second reviewer verified 169 decisions. The 135 included studies were charted with term dictionaries, which were then checked against the full texts of 38 open-access studies. Output grew by an estimated 21% a year between 2016 and 2025, and 52 studies appeared in 2026 alone. Artificial intelligence, absent before 2020, appears in 43% of the studies of 2024–2026, and algorithms, data and platforms rose from 6% to 32%. Research concentrates on higher education and teacher education; early childhood and primary education account for 7%. The full texts qualify this picture. Only 25 of the 38 studies made CDL a central concern, including 5 of the 11 coded for AI, and the dictionaries were accurate for AI but missed most work on disinformation and privacy. Of the 25, 16 did not evaluate outcomes, none used a comparison group, and 14 examined the infrastructures behind digital texts. The field responds quickly to each new technology, but part of its growth is nominal, and it has yet to reach young children or show what learners gain.</w:t>
      </w:r>
    </w:p>
    <w:p>
      <w:pPr/>
      <w:r>
        <w:rPr>
          <w:b/>
        </w:rPr>
        <w:t xml:space="preserve">Keywords:</w:t>
      </w:r>
      <w:r>
        <w:t xml:space="preserve"> critical digital literacy; generative artificial intelligence; scoping review; teacher education</w:t>
      </w:r>
    </w:p>
    <w:p>
      <w:pPr>
        <w:pStyle w:val="Heading2"/>
      </w:pPr>
      <w:r>
        <w:t xml:space="preserve">Context and implications</w:t>
      </w:r>
    </w:p>
    <w:p>
      <w:pPr/>
      <w:r>
        <w:rPr>
          <w:b/>
        </w:rPr>
        <w:t xml:space="preserve">Rationale for this study.</w:t>
      </w:r>
      <w:r>
        <w:t xml:space="preserve"> Schools teach through platforms and AI systems they do not control. Earlier reviews covered one level or country and mostly predate generative AI.</w:t>
      </w:r>
    </w:p>
    <w:p>
      <w:pPr/>
      <w:r>
        <w:rPr>
          <w:b/>
        </w:rPr>
        <w:t xml:space="preserve">Why the new findings matter.</w:t>
      </w:r>
      <w:r>
        <w:t xml:space="preserve"> The field grows fast and follows each new technology, but a third of the studies sampled treat CDL only in passing, and few test what learners gain.</w:t>
      </w:r>
    </w:p>
    <w:p>
      <w:pPr/>
      <w:r>
        <w:rPr>
          <w:b/>
        </w:rPr>
        <w:t xml:space="preserve">Implications for researchers, practitioners and policy makers.</w:t>
      </w:r>
      <w:r>
        <w:t xml:space="preserve"> Researchers need intervention studies in primary schools, shared instruments and screening on full texts, because titles and abstracts overstate the field. Teacher educators can build on practices that recur across the corpus, such as virtual exchange and student media production. Digital competence frameworks such as DigComp and DigCompEdu could move questions of platform ownership, data and interests from illustrative examples into the competences themselves.</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include critical elements: the critical evaluation of information and sources, citizenship through digital technologies and the protection of personal data. DigComp 2.2 also added examples on datafication and on citizens' interaction with AI systems, including the controversy over who owns the data those systems collect. These elements appear mostly as illustrative examples of knowledge and attitudes, however, while the competences and their proficiency levels remain framed around what an individual can do. A growing body of work argues that this keeps at the margins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cover more of this ground than is often acknowledged, but they place it differently. In DigComp 2.2 the competence that names critique, evaluating data, information and digital content, concerns the credibility and reliability of sources (Vuorikari et al., 2022). Ownership, business models and collective action do appear, as examples in the annex on citizens interacting with AI systems: citizens should be aware that the ownership of personal data in AI systems is contested and that the business models of many AI companies depend on collating that data (example AI 54), and willing to join citizen-led collective action to change AI services and their business models (example AI 69). DigCompEdu, the framework for educators, does not take up these questions (Redecker, 2017). CDL differs less in the topics it names than in where it puts them. It treats the way the information environment is built and governed as the core of the literacy, not as an example attached to individual competences.</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The review departs from JBI guidance in one respect. JBI recommends assessing the full texts of potentially eligible studies (Peters et al., 2024), but the access available returned neither the text of abstracts nor the full texts of subscription articles. Eligibility was therefore assessed on titles and on searches inside abstracts and keywords, verified by a second reviewer, and both eligibility and coding were checked against the full texts of a random sample of open-access studies, 38 of which could be read. No protocol was registered in advance. To compensate, every decision in the review was made reproducible: the search string, the 469 records, both screening passes, the adjudication rule, the coding dictionaries and the code that applies them are archived as an open data set (Author, 2026).</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spacing w:line="240" w:lineRule="auto" w:after="40"/>
            </w:pPr>
            <w:r>
              <w:t xml:space="preserve">Criterion</w:t>
            </w:r>
          </w:p>
        </w:tc>
        <w:tc>
          <w:tcPr>
            <w:tcW w:w="3249" w:type="dxa"/>
            <w:shd w:val="clear" w:color="auto" w:fill="F2F2F2"/>
          </w:tcPr>
          <w:p>
            <w:pPr>
              <w:spacing w:line="240" w:lineRule="auto" w:after="40"/>
            </w:pPr>
            <w:r>
              <w:t xml:space="preserve">Included</w:t>
            </w:r>
          </w:p>
        </w:tc>
        <w:tc>
          <w:tcPr>
            <w:tcW w:w="3777" w:type="dxa"/>
            <w:shd w:val="clear" w:color="auto" w:fill="F2F2F2"/>
          </w:tcPr>
          <w:p>
            <w:pPr>
              <w:spacing w:line="240" w:lineRule="auto" w:after="40"/>
            </w:pPr>
            <w:r>
              <w:t xml:space="preserve">Excluded</w:t>
            </w:r>
          </w:p>
        </w:tc>
      </w:tr>
      <w:tr>
        <w:tc>
          <w:tcPr>
            <w:tcW w:w="2334" w:type="dxa"/>
          </w:tcPr>
          <w:p>
            <w:pPr>
              <w:spacing w:line="240" w:lineRule="auto" w:after="40"/>
            </w:pPr>
            <w:r>
              <w:t xml:space="preserve">Concept</w:t>
            </w:r>
          </w:p>
        </w:tc>
        <w:tc>
          <w:tcPr>
            <w:tcW w:w="3249" w:type="dxa"/>
          </w:tcPr>
          <w:p>
            <w:pPr>
              <w:spacing w:line="240" w:lineRule="auto" w:after="40"/>
            </w:pPr>
            <w:r>
              <w:t xml:space="preserve">CDL as defined in this review is a central focus of the study</w:t>
            </w:r>
          </w:p>
        </w:tc>
        <w:tc>
          <w:tcPr>
            <w:tcW w:w="3777" w:type="dxa"/>
          </w:tcPr>
          <w:p>
            <w:pPr>
              <w:spacing w:line="240" w:lineRule="auto" w:after="40"/>
            </w:pPr>
            <w:r>
              <w:t xml:space="preserve">CDL is mentioned in passing; "critical" means only checking sources or generic critical thinking</w:t>
            </w:r>
          </w:p>
        </w:tc>
      </w:tr>
      <w:tr>
        <w:tc>
          <w:tcPr>
            <w:tcW w:w="2334" w:type="dxa"/>
          </w:tcPr>
          <w:p>
            <w:pPr>
              <w:spacing w:line="240" w:lineRule="auto" w:after="40"/>
            </w:pPr>
            <w:r>
              <w:t xml:space="preserve">Context</w:t>
            </w:r>
          </w:p>
        </w:tc>
        <w:tc>
          <w:tcPr>
            <w:tcW w:w="3249" w:type="dxa"/>
          </w:tcPr>
          <w:p>
            <w:pPr>
              <w:spacing w:line="240" w:lineRule="auto" w:after="40"/>
            </w:pPr>
            <w:r>
              <w:t xml:space="preserve">Formal education: early childhood, primary, secondary, higher education, initial and in-service teacher education</w:t>
            </w:r>
          </w:p>
        </w:tc>
        <w:tc>
          <w:tcPr>
            <w:tcW w:w="3777" w:type="dxa"/>
          </w:tcPr>
          <w:p>
            <w:pPr>
              <w:spacing w:line="240" w:lineRule="auto" w:after="40"/>
            </w:pPr>
            <w:r>
              <w:t xml:space="preserve">Families, public libraries, communities or organisations with no link to an educational institution; informal learning</w:t>
            </w:r>
          </w:p>
        </w:tc>
      </w:tr>
      <w:tr>
        <w:tc>
          <w:tcPr>
            <w:tcW w:w="2334" w:type="dxa"/>
          </w:tcPr>
          <w:p>
            <w:pPr>
              <w:spacing w:line="240" w:lineRule="auto" w:after="40"/>
            </w:pPr>
            <w:r>
              <w:t xml:space="preserve">Source</w:t>
            </w:r>
          </w:p>
        </w:tc>
        <w:tc>
          <w:tcPr>
            <w:tcW w:w="3249" w:type="dxa"/>
          </w:tcPr>
          <w:p>
            <w:pPr>
              <w:spacing w:line="240" w:lineRule="auto" w:after="40"/>
            </w:pPr>
            <w:r>
              <w:t xml:space="preserve">Peer-reviewed journal articles and reviews</w:t>
            </w:r>
          </w:p>
        </w:tc>
        <w:tc>
          <w:tcPr>
            <w:tcW w:w="3777" w:type="dxa"/>
          </w:tcPr>
          <w:p>
            <w:pPr>
              <w:spacing w:line="240" w:lineRule="auto" w:after="40"/>
            </w:pPr>
            <w:r>
              <w:t xml:space="preserve">Book reviews, editorials, conference proceedings</w:t>
            </w:r>
          </w:p>
        </w:tc>
      </w:tr>
      <w:tr>
        <w:tc>
          <w:tcPr>
            <w:tcW w:w="2334" w:type="dxa"/>
          </w:tcPr>
          <w:p>
            <w:pPr>
              <w:spacing w:line="240" w:lineRule="auto" w:after="40"/>
            </w:pPr>
            <w:r>
              <w:t xml:space="preserve">Period and language</w:t>
            </w:r>
          </w:p>
        </w:tc>
        <w:tc>
          <w:tcPr>
            <w:tcW w:w="3249" w:type="dxa"/>
          </w:tcPr>
          <w:p>
            <w:pPr>
              <w:spacing w:line="240" w:lineRule="auto" w:after="40"/>
            </w:pPr>
            <w:r>
              <w:t xml:space="preserve">2016–2026; English or Spanish</w:t>
            </w:r>
          </w:p>
        </w:tc>
        <w:tc>
          <w:tcPr>
            <w:tcW w:w="3777" w:type="dxa"/>
          </w:tcPr>
          <w:p>
            <w:pPr>
              <w:spacing w:line="240" w:lineRule="auto" w:after="40"/>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(Claude, Anthropic; see the AI use declaration),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spacing w:line="240" w:lineRule="auto" w:after="40"/>
            </w:pPr>
          </w:p>
        </w:tc>
        <w:tc>
          <w:tcPr>
            <w:tcW w:w="2698" w:type="dxa"/>
            <w:shd w:val="clear" w:color="auto" w:fill="F2F2F2"/>
          </w:tcPr>
          <w:p>
            <w:pPr>
              <w:spacing w:line="240" w:lineRule="auto" w:after="40"/>
            </w:pPr>
            <w:r>
              <w:t xml:space="preserve">Pass 2: include</w:t>
            </w:r>
          </w:p>
        </w:tc>
        <w:tc>
          <w:tcPr>
            <w:tcW w:w="2757" w:type="dxa"/>
            <w:shd w:val="clear" w:color="auto" w:fill="F2F2F2"/>
          </w:tcPr>
          <w:p>
            <w:pPr>
              <w:spacing w:line="240" w:lineRule="auto" w:after="40"/>
            </w:pPr>
            <w:r>
              <w:t xml:space="preserve">Pass 2: exclude</w:t>
            </w:r>
          </w:p>
        </w:tc>
        <w:tc>
          <w:tcPr>
            <w:tcW w:w="1146" w:type="dxa"/>
            <w:shd w:val="clear" w:color="auto" w:fill="F2F2F2"/>
          </w:tcPr>
          <w:p>
            <w:pPr>
              <w:spacing w:line="240" w:lineRule="auto" w:after="40"/>
            </w:pPr>
            <w:r>
              <w:t xml:space="preserve">Total</w:t>
            </w:r>
          </w:p>
        </w:tc>
      </w:tr>
      <w:tr>
        <w:tc>
          <w:tcPr>
            <w:tcW w:w="2757" w:type="dxa"/>
          </w:tcPr>
          <w:p>
            <w:pPr>
              <w:spacing w:line="240" w:lineRule="auto" w:after="40"/>
            </w:pPr>
            <w:r>
              <w:t xml:space="preserve">Pass 1: include</w:t>
            </w:r>
          </w:p>
        </w:tc>
        <w:tc>
          <w:tcPr>
            <w:tcW w:w="2698" w:type="dxa"/>
          </w:tcPr>
          <w:p>
            <w:pPr>
              <w:spacing w:line="240" w:lineRule="auto" w:after="40"/>
            </w:pPr>
            <w:r>
              <w:t xml:space="preserve">85</w:t>
            </w:r>
          </w:p>
        </w:tc>
        <w:tc>
          <w:tcPr>
            <w:tcW w:w="2757" w:type="dxa"/>
          </w:tcPr>
          <w:p>
            <w:pPr>
              <w:spacing w:line="240" w:lineRule="auto" w:after="40"/>
            </w:pPr>
            <w:r>
              <w:t xml:space="preserve">44</w:t>
            </w:r>
          </w:p>
        </w:tc>
        <w:tc>
          <w:tcPr>
            <w:tcW w:w="1146" w:type="dxa"/>
          </w:tcPr>
          <w:p>
            <w:pPr>
              <w:spacing w:line="240" w:lineRule="auto" w:after="40"/>
            </w:pPr>
            <w:r>
              <w:t xml:space="preserve">129</w:t>
            </w:r>
          </w:p>
        </w:tc>
      </w:tr>
      <w:tr>
        <w:tc>
          <w:tcPr>
            <w:tcW w:w="2757" w:type="dxa"/>
          </w:tcPr>
          <w:p>
            <w:pPr>
              <w:spacing w:line="240" w:lineRule="auto" w:after="40"/>
            </w:pPr>
            <w:r>
              <w:t xml:space="preserve">Pass 1: exclude</w:t>
            </w:r>
          </w:p>
        </w:tc>
        <w:tc>
          <w:tcPr>
            <w:tcW w:w="2698" w:type="dxa"/>
          </w:tcPr>
          <w:p>
            <w:pPr>
              <w:spacing w:line="240" w:lineRule="auto" w:after="40"/>
            </w:pPr>
            <w:r>
              <w:t xml:space="preserve">50</w:t>
            </w:r>
          </w:p>
        </w:tc>
        <w:tc>
          <w:tcPr>
            <w:tcW w:w="2757" w:type="dxa"/>
          </w:tcPr>
          <w:p>
            <w:pPr>
              <w:spacing w:line="240" w:lineRule="auto" w:after="40"/>
            </w:pPr>
            <w:r>
              <w:t xml:space="preserve">290</w:t>
            </w:r>
          </w:p>
        </w:tc>
        <w:tc>
          <w:tcPr>
            <w:tcW w:w="1146" w:type="dxa"/>
          </w:tcPr>
          <w:p>
            <w:pPr>
              <w:spacing w:line="240" w:lineRule="auto" w:after="40"/>
            </w:pPr>
            <w:r>
              <w:t xml:space="preserve">340</w:t>
            </w:r>
          </w:p>
        </w:tc>
      </w:tr>
      <w:tr>
        <w:tc>
          <w:tcPr>
            <w:tcW w:w="2757" w:type="dxa"/>
          </w:tcPr>
          <w:p>
            <w:pPr>
              <w:spacing w:line="240" w:lineRule="auto" w:after="40"/>
            </w:pPr>
            <w:r>
              <w:t xml:space="preserve">Total</w:t>
            </w:r>
          </w:p>
        </w:tc>
        <w:tc>
          <w:tcPr>
            <w:tcW w:w="2698" w:type="dxa"/>
          </w:tcPr>
          <w:p>
            <w:pPr>
              <w:spacing w:line="240" w:lineRule="auto" w:after="40"/>
            </w:pPr>
            <w:r>
              <w:t xml:space="preserve">135</w:t>
            </w:r>
          </w:p>
        </w:tc>
        <w:tc>
          <w:tcPr>
            <w:tcW w:w="2757" w:type="dxa"/>
          </w:tcPr>
          <w:p>
            <w:pPr>
              <w:spacing w:line="240" w:lineRule="auto" w:after="40"/>
            </w:pPr>
            <w:r>
              <w:t xml:space="preserve">334</w:t>
            </w:r>
          </w:p>
        </w:tc>
        <w:tc>
          <w:tcPr>
            <w:tcW w:w="1146" w:type="dxa"/>
          </w:tcPr>
          <w:p>
            <w:pPr>
              <w:spacing w:line="240" w:lineRule="auto" w:after="40"/>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spacing w:line="240" w:lineRule="auto" w:after="40"/>
            </w:pPr>
            <w:r>
              <w:t xml:space="preserve">Outcome</w:t>
            </w:r>
          </w:p>
        </w:tc>
        <w:tc>
          <w:tcPr>
            <w:tcW w:w="1292" w:type="dxa"/>
            <w:shd w:val="clear" w:color="auto" w:fill="F2F2F2"/>
          </w:tcPr>
          <w:p>
            <w:pPr>
              <w:spacing w:line="240" w:lineRule="auto" w:after="40"/>
            </w:pPr>
            <w:r>
              <w:t xml:space="preserve">Records</w:t>
            </w:r>
          </w:p>
        </w:tc>
        <w:tc>
          <w:tcPr>
            <w:tcW w:w="2107" w:type="dxa"/>
            <w:shd w:val="clear" w:color="auto" w:fill="F2F2F2"/>
          </w:tcPr>
          <w:p>
            <w:pPr>
              <w:spacing w:line="240" w:lineRule="auto" w:after="40"/>
            </w:pPr>
            <w:r>
              <w:t xml:space="preserve">Final decision</w:t>
            </w:r>
          </w:p>
        </w:tc>
      </w:tr>
      <w:tr>
        <w:tc>
          <w:tcPr>
            <w:tcW w:w="5959" w:type="dxa"/>
          </w:tcPr>
          <w:p>
            <w:pPr>
              <w:spacing w:line="240" w:lineRule="auto" w:after="40"/>
            </w:pPr>
            <w:r>
              <w:t xml:space="preserve">Both passes include</w:t>
            </w:r>
          </w:p>
        </w:tc>
        <w:tc>
          <w:tcPr>
            <w:tcW w:w="1292" w:type="dxa"/>
          </w:tcPr>
          <w:p>
            <w:pPr>
              <w:spacing w:line="240" w:lineRule="auto" w:after="40"/>
            </w:pPr>
            <w:r>
              <w:t xml:space="preserve">85</w:t>
            </w:r>
          </w:p>
        </w:tc>
        <w:tc>
          <w:tcPr>
            <w:tcW w:w="2107" w:type="dxa"/>
          </w:tcPr>
          <w:p>
            <w:pPr>
              <w:spacing w:line="240" w:lineRule="auto" w:after="40"/>
            </w:pPr>
            <w:r>
              <w:t xml:space="preserve">Included</w:t>
            </w:r>
          </w:p>
        </w:tc>
      </w:tr>
      <w:tr>
        <w:tc>
          <w:tcPr>
            <w:tcW w:w="5959" w:type="dxa"/>
          </w:tcPr>
          <w:p>
            <w:pPr>
              <w:spacing w:line="240" w:lineRule="auto" w:after="40"/>
            </w:pPr>
            <w:r>
              <w:t xml:space="preserve">Both passes exclude</w:t>
            </w:r>
          </w:p>
        </w:tc>
        <w:tc>
          <w:tcPr>
            <w:tcW w:w="1292" w:type="dxa"/>
          </w:tcPr>
          <w:p>
            <w:pPr>
              <w:spacing w:line="240" w:lineRule="auto" w:after="40"/>
            </w:pPr>
            <w:r>
              <w:t xml:space="preserve">290</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title names CDL</w:t>
            </w:r>
          </w:p>
        </w:tc>
        <w:tc>
          <w:tcPr>
            <w:tcW w:w="1292" w:type="dxa"/>
          </w:tcPr>
          <w:p>
            <w:pPr>
              <w:spacing w:line="240" w:lineRule="auto" w:after="40"/>
            </w:pPr>
            <w:r>
              <w:t xml:space="preserve">22</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title refers to a digital technology and at least two of K, A, P</w:t>
            </w:r>
          </w:p>
        </w:tc>
        <w:tc>
          <w:tcPr>
            <w:tcW w:w="1292" w:type="dxa"/>
          </w:tcPr>
          <w:p>
            <w:pPr>
              <w:spacing w:line="240" w:lineRule="auto" w:after="40"/>
            </w:pPr>
            <w:r>
              <w:t xml:space="preserve">28</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insufficient evidence</w:t>
            </w:r>
          </w:p>
        </w:tc>
        <w:tc>
          <w:tcPr>
            <w:tcW w:w="1292" w:type="dxa"/>
          </w:tcPr>
          <w:p>
            <w:pPr>
              <w:spacing w:line="240" w:lineRule="auto" w:after="40"/>
            </w:pPr>
            <w:r>
              <w:t xml:space="preserve">38</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excluded in pass 1 for context or document type</w:t>
            </w:r>
          </w:p>
        </w:tc>
        <w:tc>
          <w:tcPr>
            <w:tcW w:w="1292" w:type="dxa"/>
          </w:tcPr>
          <w:p>
            <w:pPr>
              <w:spacing w:line="240" w:lineRule="auto" w:after="40"/>
            </w:pPr>
            <w:r>
              <w:t xml:space="preserve">6</w:t>
            </w:r>
          </w:p>
        </w:tc>
        <w:tc>
          <w:tcPr>
            <w:tcW w:w="2107" w:type="dxa"/>
          </w:tcPr>
          <w:p>
            <w:pPr>
              <w:spacing w:line="240" w:lineRule="auto" w:after="40"/>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Pass 2 and the final selection both contain 135 records, but not the same ones: adjudication excluded 22 records that pass 2 had included and included 22 that it had excluded.</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Validation on full texts</w:t>
      </w:r>
    </w:p>
    <w:p>
      <w:pPr/>
      <w:r>
        <w:t xml:space="preserve">To check whether the selection and the dictionaries identify what they claim to identify, the full texts of a random sample of included studies were read and coded with a codebook (Supplementary file S4). Because the review had no institutional access to subscription journals, the sample was drawn from the 77 open-access studies. It was stratified by period in proportion to the whole corpus rather than to the open-access subset, which is weighted towards 2024–2026: all 4 open-access studies from 2016–2019, 10 of 14 from 2020–2023 and 26 of 59 from 2024–2026, taken in a random order with a fixed seed. The remaining open-access studies of each period were listed in random order as replacements.</w:t>
      </w:r>
    </w:p>
    <w:p>
      <w:pPr/>
      <w:r>
        <w:t xml:space="preserve">An open-access flag in the bibliographic record did not always lead to a text. Full texts were sought at the open-access locations recorded by OpenAlex and Semantic Scholar and on the publishers' own pages, without bypassing any access control, and were obtained for 22 of the 40 sampled studies. The 16 missing studies from 2020–2023 and 2024–2026 were replaced by the next replacements of the same period with a retrievable text. The 2 missing studies from 2016–2019 could not be replaced, because the sample already contained every open-access study of that period. In all, 38 full texts were read: 2 from 2016–2019, 10 from 2020–2023 and 26 from 2024–2026. For one study a repository served a different article under the right record, and the journal's own text was used instead.</w:t>
      </w:r>
    </w:p>
    <w:p>
      <w:pPr/>
      <w:r>
        <w:t xml:space="preserve">For each study the coder recorded whether it met the eligibility criteria; its level, design, theoretical tradition and objects of critique, coded by what the study does rather than by the words it uses (a tradition, for example, only when the study adopts it as its framework); whether and how it evaluates outcomes, distinguishing qualitative evidence of learning, quantitative measures without a comparison and comparative designs; and whether it addresses each of the three dimensions of the working definition. Each dimension coded as present was recorded with a supporting quotation and its page, and borderline decisions were explained in a note (Supplementary file S5).</w:t>
      </w:r>
    </w:p>
    <w:p>
      <w:pPr/>
      <w:r>
        <w:t xml:space="preserve">The full texts were coded by one coder, a large language model (Claude, Anthropic) applying the codebook, so no agreement between coders can be reported; the quotations allow each code to be checked against its source. For the eligible studies, the full-text codes were compared with the dictionary codes. Precision is the share of a dictionary's codes that the full text confirms, sensitivity is the share of full-text codes that the dictionary finds, and Cohen's κ summarises agreement. Proportions are given with Wilson 95% confidence intervals.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most full texts were not read.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 A reading of full texts for a sample of these studies, reported at the end of this section, suggests that about two thirds of them make CDL a central concern; the figures that follow describe the 135 studies as selected.</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 Growth here means growth in studies indexed under CDL. In the full-text sample, the share that made CDL a central concern was lowest in 2024–2026, so the recent rise of the field is probably overstated.</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If anything, the code overstates them: four of the five sampled studies coded for this level were set at another level.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coded as describing an intervention or a designed sequence of teaching did not increase, although this code found only half of the interventions in the full-text sample.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spacing w:line="240" w:lineRule="auto" w:after="40"/>
            </w:pPr>
            <w:r>
              <w:t xml:space="preserve">Category</w:t>
            </w:r>
          </w:p>
        </w:tc>
        <w:tc>
          <w:tcPr>
            <w:tcW w:w="1196" w:type="dxa"/>
            <w:shd w:val="clear" w:color="auto" w:fill="F2F2F2"/>
          </w:tcPr>
          <w:p>
            <w:pPr>
              <w:spacing w:line="240" w:lineRule="auto" w:after="40"/>
            </w:pPr>
            <w:r>
              <w:t xml:space="preserve">2016–2019 (n = 18)</w:t>
            </w:r>
          </w:p>
        </w:tc>
        <w:tc>
          <w:tcPr>
            <w:tcW w:w="1220" w:type="dxa"/>
            <w:shd w:val="clear" w:color="auto" w:fill="F2F2F2"/>
          </w:tcPr>
          <w:p>
            <w:pPr>
              <w:spacing w:line="240" w:lineRule="auto" w:after="40"/>
            </w:pPr>
            <w:r>
              <w:t xml:space="preserve">2020–2023 (n = 35)</w:t>
            </w:r>
          </w:p>
        </w:tc>
        <w:tc>
          <w:tcPr>
            <w:tcW w:w="1328" w:type="dxa"/>
            <w:shd w:val="clear" w:color="auto" w:fill="F2F2F2"/>
          </w:tcPr>
          <w:p>
            <w:pPr>
              <w:spacing w:line="240" w:lineRule="auto" w:after="40"/>
            </w:pPr>
            <w:r>
              <w:t xml:space="preserve">2024–2026 (n = 82)</w:t>
            </w:r>
          </w:p>
        </w:tc>
        <w:tc>
          <w:tcPr>
            <w:tcW w:w="1288"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2580" w:type="dxa"/>
          </w:tcPr>
          <w:p>
            <w:pPr>
              <w:spacing w:line="240" w:lineRule="auto" w:after="40"/>
            </w:pPr>
            <w:r>
              <w:rPr>
                <w:b/>
              </w:rPr>
              <w:t xml:space="preserve">Educational level</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Early childhood and primary</w:t>
            </w:r>
          </w:p>
        </w:tc>
        <w:tc>
          <w:tcPr>
            <w:tcW w:w="1196" w:type="dxa"/>
          </w:tcPr>
          <w:p>
            <w:pPr>
              <w:spacing w:line="240" w:lineRule="auto" w:after="40"/>
            </w:pPr>
            <w:r>
              <w:t xml:space="preserve">2 (11.1)</w:t>
            </w:r>
          </w:p>
        </w:tc>
        <w:tc>
          <w:tcPr>
            <w:tcW w:w="1220" w:type="dxa"/>
          </w:tcPr>
          <w:p>
            <w:pPr>
              <w:spacing w:line="240" w:lineRule="auto" w:after="40"/>
            </w:pPr>
            <w:r>
              <w:t xml:space="preserve">3 (8.6)</w:t>
            </w:r>
          </w:p>
        </w:tc>
        <w:tc>
          <w:tcPr>
            <w:tcW w:w="1328" w:type="dxa"/>
          </w:tcPr>
          <w:p>
            <w:pPr>
              <w:spacing w:line="240" w:lineRule="auto" w:after="40"/>
            </w:pPr>
            <w:r>
              <w:t xml:space="preserve">5 (6.1)</w:t>
            </w:r>
          </w:p>
        </w:tc>
        <w:tc>
          <w:tcPr>
            <w:tcW w:w="1288" w:type="dxa"/>
          </w:tcPr>
          <w:p>
            <w:pPr>
              <w:spacing w:line="240" w:lineRule="auto" w:after="40"/>
            </w:pPr>
            <w:r>
              <w:t xml:space="preserve">10 (7.4)</w:t>
            </w:r>
          </w:p>
        </w:tc>
        <w:tc>
          <w:tcPr>
            <w:tcW w:w="1027" w:type="dxa"/>
          </w:tcPr>
          <w:p>
            <w:pPr>
              <w:spacing w:line="240" w:lineRule="auto" w:after="40"/>
            </w:pPr>
            <w:r>
              <w:t xml:space="preserve">−0.80</w:t>
            </w:r>
          </w:p>
        </w:tc>
        <w:tc>
          <w:tcPr>
            <w:tcW w:w="720" w:type="dxa"/>
          </w:tcPr>
          <w:p>
            <w:pPr>
              <w:spacing w:line="240" w:lineRule="auto" w:after="40"/>
            </w:pPr>
            <w:r>
              <w:t xml:space="preserve">.426</w:t>
            </w:r>
          </w:p>
        </w:tc>
      </w:tr>
      <w:tr>
        <w:tc>
          <w:tcPr>
            <w:tcW w:w="2580" w:type="dxa"/>
          </w:tcPr>
          <w:p>
            <w:pPr>
              <w:spacing w:line="240" w:lineRule="auto" w:after="40"/>
            </w:pPr>
            <w:r>
              <w:t xml:space="preserve">Secondary</w:t>
            </w:r>
          </w:p>
        </w:tc>
        <w:tc>
          <w:tcPr>
            <w:tcW w:w="1196" w:type="dxa"/>
          </w:tcPr>
          <w:p>
            <w:pPr>
              <w:spacing w:line="240" w:lineRule="auto" w:after="40"/>
            </w:pPr>
            <w:r>
              <w:t xml:space="preserve">8 (44.4)</w:t>
            </w:r>
          </w:p>
        </w:tc>
        <w:tc>
          <w:tcPr>
            <w:tcW w:w="1220" w:type="dxa"/>
          </w:tcPr>
          <w:p>
            <w:pPr>
              <w:spacing w:line="240" w:lineRule="auto" w:after="40"/>
            </w:pPr>
            <w:r>
              <w:t xml:space="preserve">7 (20.0)</w:t>
            </w:r>
          </w:p>
        </w:tc>
        <w:tc>
          <w:tcPr>
            <w:tcW w:w="1328" w:type="dxa"/>
          </w:tcPr>
          <w:p>
            <w:pPr>
              <w:spacing w:line="240" w:lineRule="auto" w:after="40"/>
            </w:pPr>
            <w:r>
              <w:t xml:space="preserve">14 (17.1)</w:t>
            </w:r>
          </w:p>
        </w:tc>
        <w:tc>
          <w:tcPr>
            <w:tcW w:w="1288" w:type="dxa"/>
          </w:tcPr>
          <w:p>
            <w:pPr>
              <w:spacing w:line="240" w:lineRule="auto" w:after="40"/>
            </w:pPr>
            <w:r>
              <w:t xml:space="preserve">29 (21.5)</w:t>
            </w:r>
          </w:p>
        </w:tc>
        <w:tc>
          <w:tcPr>
            <w:tcW w:w="1027" w:type="dxa"/>
          </w:tcPr>
          <w:p>
            <w:pPr>
              <w:spacing w:line="240" w:lineRule="auto" w:after="40"/>
            </w:pPr>
            <w:r>
              <w:t xml:space="preserve">−2.26</w:t>
            </w:r>
          </w:p>
        </w:tc>
        <w:tc>
          <w:tcPr>
            <w:tcW w:w="720" w:type="dxa"/>
          </w:tcPr>
          <w:p>
            <w:pPr>
              <w:spacing w:line="240" w:lineRule="auto" w:after="40"/>
            </w:pPr>
            <w:r>
              <w:t xml:space="preserve">.024</w:t>
            </w:r>
          </w:p>
        </w:tc>
      </w:tr>
      <w:tr>
        <w:tc>
          <w:tcPr>
            <w:tcW w:w="2580" w:type="dxa"/>
          </w:tcPr>
          <w:p>
            <w:pPr>
              <w:spacing w:line="240" w:lineRule="auto" w:after="40"/>
            </w:pPr>
            <w:r>
              <w:t xml:space="preserve">Higher education</w:t>
            </w:r>
          </w:p>
        </w:tc>
        <w:tc>
          <w:tcPr>
            <w:tcW w:w="1196" w:type="dxa"/>
          </w:tcPr>
          <w:p>
            <w:pPr>
              <w:spacing w:line="240" w:lineRule="auto" w:after="40"/>
            </w:pPr>
            <w:r>
              <w:t xml:space="preserve">6 (33.3)</w:t>
            </w:r>
          </w:p>
        </w:tc>
        <w:tc>
          <w:tcPr>
            <w:tcW w:w="1220" w:type="dxa"/>
          </w:tcPr>
          <w:p>
            <w:pPr>
              <w:spacing w:line="240" w:lineRule="auto" w:after="40"/>
            </w:pPr>
            <w:r>
              <w:t xml:space="preserve">11 (31.4)</w:t>
            </w:r>
          </w:p>
        </w:tc>
        <w:tc>
          <w:tcPr>
            <w:tcW w:w="1328" w:type="dxa"/>
          </w:tcPr>
          <w:p>
            <w:pPr>
              <w:spacing w:line="240" w:lineRule="auto" w:after="40"/>
            </w:pPr>
            <w:r>
              <w:t xml:space="preserve">38 (46.3)</w:t>
            </w:r>
          </w:p>
        </w:tc>
        <w:tc>
          <w:tcPr>
            <w:tcW w:w="1288" w:type="dxa"/>
          </w:tcPr>
          <w:p>
            <w:pPr>
              <w:spacing w:line="240" w:lineRule="auto" w:after="40"/>
            </w:pPr>
            <w:r>
              <w:t xml:space="preserve">55 (40.7)</w:t>
            </w:r>
          </w:p>
        </w:tc>
        <w:tc>
          <w:tcPr>
            <w:tcW w:w="1027" w:type="dxa"/>
          </w:tcPr>
          <w:p>
            <w:pPr>
              <w:spacing w:line="240" w:lineRule="auto" w:after="40"/>
            </w:pPr>
            <w:r>
              <w:t xml:space="preserve">1.45</w:t>
            </w:r>
          </w:p>
        </w:tc>
        <w:tc>
          <w:tcPr>
            <w:tcW w:w="720" w:type="dxa"/>
          </w:tcPr>
          <w:p>
            <w:pPr>
              <w:spacing w:line="240" w:lineRule="auto" w:after="40"/>
            </w:pPr>
            <w:r>
              <w:t xml:space="preserve">.149</w:t>
            </w:r>
          </w:p>
        </w:tc>
      </w:tr>
      <w:tr>
        <w:tc>
          <w:tcPr>
            <w:tcW w:w="2580" w:type="dxa"/>
          </w:tcPr>
          <w:p>
            <w:pPr>
              <w:spacing w:line="240" w:lineRule="auto" w:after="40"/>
            </w:pPr>
            <w:r>
              <w:t xml:space="preserve">Teacher education</w:t>
            </w:r>
          </w:p>
        </w:tc>
        <w:tc>
          <w:tcPr>
            <w:tcW w:w="1196" w:type="dxa"/>
          </w:tcPr>
          <w:p>
            <w:pPr>
              <w:spacing w:line="240" w:lineRule="auto" w:after="40"/>
            </w:pPr>
            <w:r>
              <w:t xml:space="preserve">5 (27.8)</w:t>
            </w:r>
          </w:p>
        </w:tc>
        <w:tc>
          <w:tcPr>
            <w:tcW w:w="1220" w:type="dxa"/>
          </w:tcPr>
          <w:p>
            <w:pPr>
              <w:spacing w:line="240" w:lineRule="auto" w:after="40"/>
            </w:pPr>
            <w:r>
              <w:t xml:space="preserve">14 (40.0)</w:t>
            </w:r>
          </w:p>
        </w:tc>
        <w:tc>
          <w:tcPr>
            <w:tcW w:w="1328" w:type="dxa"/>
          </w:tcPr>
          <w:p>
            <w:pPr>
              <w:spacing w:line="240" w:lineRule="auto" w:after="40"/>
            </w:pPr>
            <w:r>
              <w:t xml:space="preserve">20 (24.4)</w:t>
            </w:r>
          </w:p>
        </w:tc>
        <w:tc>
          <w:tcPr>
            <w:tcW w:w="1288" w:type="dxa"/>
          </w:tcPr>
          <w:p>
            <w:pPr>
              <w:spacing w:line="240" w:lineRule="auto" w:after="40"/>
            </w:pPr>
            <w:r>
              <w:t xml:space="preserve">39 (28.9)</w:t>
            </w:r>
          </w:p>
        </w:tc>
        <w:tc>
          <w:tcPr>
            <w:tcW w:w="1027" w:type="dxa"/>
          </w:tcPr>
          <w:p>
            <w:pPr>
              <w:spacing w:line="240" w:lineRule="auto" w:after="40"/>
            </w:pPr>
            <w:r>
              <w:t xml:space="preserve">−0.92</w:t>
            </w:r>
          </w:p>
        </w:tc>
        <w:tc>
          <w:tcPr>
            <w:tcW w:w="720" w:type="dxa"/>
          </w:tcPr>
          <w:p>
            <w:pPr>
              <w:spacing w:line="240" w:lineRule="auto" w:after="40"/>
            </w:pPr>
            <w:r>
              <w:t xml:space="preserve">.356</w:t>
            </w:r>
          </w:p>
        </w:tc>
      </w:tr>
      <w:tr>
        <w:tc>
          <w:tcPr>
            <w:tcW w:w="2580" w:type="dxa"/>
          </w:tcPr>
          <w:p>
            <w:pPr>
              <w:spacing w:line="240" w:lineRule="auto" w:after="40"/>
            </w:pPr>
            <w:r>
              <w:rPr>
                <w:b/>
              </w:rPr>
              <w:t xml:space="preserve">Design</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Qualitative</w:t>
            </w:r>
          </w:p>
        </w:tc>
        <w:tc>
          <w:tcPr>
            <w:tcW w:w="1196" w:type="dxa"/>
          </w:tcPr>
          <w:p>
            <w:pPr>
              <w:spacing w:line="240" w:lineRule="auto" w:after="40"/>
            </w:pPr>
            <w:r>
              <w:t xml:space="preserve">6 (33.3)</w:t>
            </w:r>
          </w:p>
        </w:tc>
        <w:tc>
          <w:tcPr>
            <w:tcW w:w="1220" w:type="dxa"/>
          </w:tcPr>
          <w:p>
            <w:pPr>
              <w:spacing w:line="240" w:lineRule="auto" w:after="40"/>
            </w:pPr>
            <w:r>
              <w:t xml:space="preserve">9 (25.7)</w:t>
            </w:r>
          </w:p>
        </w:tc>
        <w:tc>
          <w:tcPr>
            <w:tcW w:w="1328" w:type="dxa"/>
          </w:tcPr>
          <w:p>
            <w:pPr>
              <w:spacing w:line="240" w:lineRule="auto" w:after="40"/>
            </w:pPr>
            <w:r>
              <w:t xml:space="preserve">48 (58.5)</w:t>
            </w:r>
          </w:p>
        </w:tc>
        <w:tc>
          <w:tcPr>
            <w:tcW w:w="1288" w:type="dxa"/>
          </w:tcPr>
          <w:p>
            <w:pPr>
              <w:spacing w:line="240" w:lineRule="auto" w:after="40"/>
            </w:pPr>
            <w:r>
              <w:t xml:space="preserve">63 (46.7)</w:t>
            </w:r>
          </w:p>
        </w:tc>
        <w:tc>
          <w:tcPr>
            <w:tcW w:w="1027" w:type="dxa"/>
          </w:tcPr>
          <w:p>
            <w:pPr>
              <w:spacing w:line="240" w:lineRule="auto" w:after="40"/>
            </w:pPr>
            <w:r>
              <w:t xml:space="preserve">2.91</w:t>
            </w:r>
          </w:p>
        </w:tc>
        <w:tc>
          <w:tcPr>
            <w:tcW w:w="720" w:type="dxa"/>
          </w:tcPr>
          <w:p>
            <w:pPr>
              <w:spacing w:line="240" w:lineRule="auto" w:after="40"/>
            </w:pPr>
            <w:r>
              <w:t xml:space="preserve">.004</w:t>
            </w:r>
          </w:p>
        </w:tc>
      </w:tr>
      <w:tr>
        <w:tc>
          <w:tcPr>
            <w:tcW w:w="2580" w:type="dxa"/>
          </w:tcPr>
          <w:p>
            <w:pPr>
              <w:spacing w:line="240" w:lineRule="auto" w:after="40"/>
            </w:pPr>
            <w:r>
              <w:t xml:space="preserve">Quantitative</w:t>
            </w:r>
          </w:p>
        </w:tc>
        <w:tc>
          <w:tcPr>
            <w:tcW w:w="1196" w:type="dxa"/>
          </w:tcPr>
          <w:p>
            <w:pPr>
              <w:spacing w:line="240" w:lineRule="auto" w:after="40"/>
            </w:pPr>
            <w:r>
              <w:t xml:space="preserve">1 (5.6)</w:t>
            </w:r>
          </w:p>
        </w:tc>
        <w:tc>
          <w:tcPr>
            <w:tcW w:w="1220" w:type="dxa"/>
          </w:tcPr>
          <w:p>
            <w:pPr>
              <w:spacing w:line="240" w:lineRule="auto" w:after="40"/>
            </w:pPr>
            <w:r>
              <w:t xml:space="preserve">7 (20.0)</w:t>
            </w:r>
          </w:p>
        </w:tc>
        <w:tc>
          <w:tcPr>
            <w:tcW w:w="1328" w:type="dxa"/>
          </w:tcPr>
          <w:p>
            <w:pPr>
              <w:spacing w:line="240" w:lineRule="auto" w:after="40"/>
            </w:pPr>
            <w:r>
              <w:t xml:space="preserve">23 (28.0)</w:t>
            </w:r>
          </w:p>
        </w:tc>
        <w:tc>
          <w:tcPr>
            <w:tcW w:w="1288" w:type="dxa"/>
          </w:tcPr>
          <w:p>
            <w:pPr>
              <w:spacing w:line="240" w:lineRule="auto" w:after="40"/>
            </w:pPr>
            <w:r>
              <w:t xml:space="preserve">31 (23.0)</w:t>
            </w:r>
          </w:p>
        </w:tc>
        <w:tc>
          <w:tcPr>
            <w:tcW w:w="1027" w:type="dxa"/>
          </w:tcPr>
          <w:p>
            <w:pPr>
              <w:spacing w:line="240" w:lineRule="auto" w:after="40"/>
            </w:pPr>
            <w:r>
              <w:t xml:space="preserve">2.08</w:t>
            </w:r>
          </w:p>
        </w:tc>
        <w:tc>
          <w:tcPr>
            <w:tcW w:w="720" w:type="dxa"/>
          </w:tcPr>
          <w:p>
            <w:pPr>
              <w:spacing w:line="240" w:lineRule="auto" w:after="40"/>
            </w:pPr>
            <w:r>
              <w:t xml:space="preserve">.038</w:t>
            </w:r>
          </w:p>
        </w:tc>
      </w:tr>
      <w:tr>
        <w:tc>
          <w:tcPr>
            <w:tcW w:w="2580" w:type="dxa"/>
          </w:tcPr>
          <w:p>
            <w:pPr>
              <w:spacing w:line="240" w:lineRule="auto" w:after="40"/>
            </w:pPr>
            <w:r>
              <w:t xml:space="preserve">Conceptual or theoretical</w:t>
            </w:r>
          </w:p>
        </w:tc>
        <w:tc>
          <w:tcPr>
            <w:tcW w:w="1196" w:type="dxa"/>
          </w:tcPr>
          <w:p>
            <w:pPr>
              <w:spacing w:line="240" w:lineRule="auto" w:after="40"/>
            </w:pPr>
            <w:r>
              <w:t xml:space="preserve">3 (16.7)</w:t>
            </w:r>
          </w:p>
        </w:tc>
        <w:tc>
          <w:tcPr>
            <w:tcW w:w="1220" w:type="dxa"/>
          </w:tcPr>
          <w:p>
            <w:pPr>
              <w:spacing w:line="240" w:lineRule="auto" w:after="40"/>
            </w:pPr>
            <w:r>
              <w:t xml:space="preserve">6 (17.1)</w:t>
            </w:r>
          </w:p>
        </w:tc>
        <w:tc>
          <w:tcPr>
            <w:tcW w:w="1328" w:type="dxa"/>
          </w:tcPr>
          <w:p>
            <w:pPr>
              <w:spacing w:line="240" w:lineRule="auto" w:after="40"/>
            </w:pPr>
            <w:r>
              <w:t xml:space="preserve">18 (22.0)</w:t>
            </w:r>
          </w:p>
        </w:tc>
        <w:tc>
          <w:tcPr>
            <w:tcW w:w="1288" w:type="dxa"/>
          </w:tcPr>
          <w:p>
            <w:pPr>
              <w:spacing w:line="240" w:lineRule="auto" w:after="40"/>
            </w:pPr>
            <w:r>
              <w:t xml:space="preserve">27 (20.0)</w:t>
            </w:r>
          </w:p>
        </w:tc>
        <w:tc>
          <w:tcPr>
            <w:tcW w:w="1027" w:type="dxa"/>
          </w:tcPr>
          <w:p>
            <w:pPr>
              <w:spacing w:line="240" w:lineRule="auto" w:after="40"/>
            </w:pPr>
            <w:r>
              <w:t xml:space="preserve">0.66</w:t>
            </w:r>
          </w:p>
        </w:tc>
        <w:tc>
          <w:tcPr>
            <w:tcW w:w="720" w:type="dxa"/>
          </w:tcPr>
          <w:p>
            <w:pPr>
              <w:spacing w:line="240" w:lineRule="auto" w:after="40"/>
            </w:pPr>
            <w:r>
              <w:t xml:space="preserve">.510</w:t>
            </w:r>
          </w:p>
        </w:tc>
      </w:tr>
      <w:tr>
        <w:tc>
          <w:tcPr>
            <w:tcW w:w="2580" w:type="dxa"/>
          </w:tcPr>
          <w:p>
            <w:pPr>
              <w:spacing w:line="240" w:lineRule="auto" w:after="40"/>
            </w:pPr>
            <w:r>
              <w:t xml:space="preserve">Intervention or designed teaching</w:t>
            </w:r>
          </w:p>
        </w:tc>
        <w:tc>
          <w:tcPr>
            <w:tcW w:w="1196" w:type="dxa"/>
          </w:tcPr>
          <w:p>
            <w:pPr>
              <w:spacing w:line="240" w:lineRule="auto" w:after="40"/>
            </w:pPr>
            <w:r>
              <w:t xml:space="preserve">4 (22.2)</w:t>
            </w:r>
          </w:p>
        </w:tc>
        <w:tc>
          <w:tcPr>
            <w:tcW w:w="1220" w:type="dxa"/>
          </w:tcPr>
          <w:p>
            <w:pPr>
              <w:spacing w:line="240" w:lineRule="auto" w:after="40"/>
            </w:pPr>
            <w:r>
              <w:t xml:space="preserve">9 (25.7)</w:t>
            </w:r>
          </w:p>
        </w:tc>
        <w:tc>
          <w:tcPr>
            <w:tcW w:w="1328" w:type="dxa"/>
          </w:tcPr>
          <w:p>
            <w:pPr>
              <w:spacing w:line="240" w:lineRule="auto" w:after="40"/>
            </w:pPr>
            <w:r>
              <w:t xml:space="preserve">13 (15.9)</w:t>
            </w:r>
          </w:p>
        </w:tc>
        <w:tc>
          <w:tcPr>
            <w:tcW w:w="1288" w:type="dxa"/>
          </w:tcPr>
          <w:p>
            <w:pPr>
              <w:spacing w:line="240" w:lineRule="auto" w:after="40"/>
            </w:pPr>
            <w:r>
              <w:t xml:space="preserve">26 (19.3)</w:t>
            </w:r>
          </w:p>
        </w:tc>
        <w:tc>
          <w:tcPr>
            <w:tcW w:w="1027" w:type="dxa"/>
          </w:tcPr>
          <w:p>
            <w:pPr>
              <w:spacing w:line="240" w:lineRule="auto" w:after="40"/>
            </w:pPr>
            <w:r>
              <w:t xml:space="preserve">−1.01</w:t>
            </w:r>
          </w:p>
        </w:tc>
        <w:tc>
          <w:tcPr>
            <w:tcW w:w="720" w:type="dxa"/>
          </w:tcPr>
          <w:p>
            <w:pPr>
              <w:spacing w:line="240" w:lineRule="auto" w:after="40"/>
            </w:pPr>
            <w:r>
              <w:t xml:space="preserve">.312</w:t>
            </w:r>
          </w:p>
        </w:tc>
      </w:tr>
      <w:tr>
        <w:tc>
          <w:tcPr>
            <w:tcW w:w="2580" w:type="dxa"/>
          </w:tcPr>
          <w:p>
            <w:pPr>
              <w:spacing w:line="240" w:lineRule="auto" w:after="40"/>
            </w:pPr>
            <w:r>
              <w:t xml:space="preserve">Literature review</w:t>
            </w:r>
          </w:p>
        </w:tc>
        <w:tc>
          <w:tcPr>
            <w:tcW w:w="1196" w:type="dxa"/>
          </w:tcPr>
          <w:p>
            <w:pPr>
              <w:spacing w:line="240" w:lineRule="auto" w:after="40"/>
            </w:pPr>
            <w:r>
              <w:t xml:space="preserve">0 (0.0)</w:t>
            </w:r>
          </w:p>
        </w:tc>
        <w:tc>
          <w:tcPr>
            <w:tcW w:w="1220" w:type="dxa"/>
          </w:tcPr>
          <w:p>
            <w:pPr>
              <w:spacing w:line="240" w:lineRule="auto" w:after="40"/>
            </w:pPr>
            <w:r>
              <w:t xml:space="preserve">1 (2.9)</w:t>
            </w:r>
          </w:p>
        </w:tc>
        <w:tc>
          <w:tcPr>
            <w:tcW w:w="1328" w:type="dxa"/>
          </w:tcPr>
          <w:p>
            <w:pPr>
              <w:spacing w:line="240" w:lineRule="auto" w:after="40"/>
            </w:pPr>
            <w:r>
              <w:t xml:space="preserve">11 (13.4)</w:t>
            </w:r>
          </w:p>
        </w:tc>
        <w:tc>
          <w:tcPr>
            <w:tcW w:w="1288" w:type="dxa"/>
          </w:tcPr>
          <w:p>
            <w:pPr>
              <w:spacing w:line="240" w:lineRule="auto" w:after="40"/>
            </w:pPr>
            <w:r>
              <w:t xml:space="preserve">12 (8.9)</w:t>
            </w:r>
          </w:p>
        </w:tc>
        <w:tc>
          <w:tcPr>
            <w:tcW w:w="1027" w:type="dxa"/>
          </w:tcPr>
          <w:p>
            <w:pPr>
              <w:spacing w:line="240" w:lineRule="auto" w:after="40"/>
            </w:pPr>
            <w:r>
              <w:t xml:space="preserve">2.24</w:t>
            </w:r>
          </w:p>
        </w:tc>
        <w:tc>
          <w:tcPr>
            <w:tcW w:w="720" w:type="dxa"/>
          </w:tcPr>
          <w:p>
            <w:pPr>
              <w:spacing w:line="240" w:lineRule="auto" w:after="40"/>
            </w:pPr>
            <w:r>
              <w:t xml:space="preserve">.025</w:t>
            </w:r>
          </w:p>
        </w:tc>
      </w:tr>
      <w:tr>
        <w:tc>
          <w:tcPr>
            <w:tcW w:w="2580" w:type="dxa"/>
          </w:tcPr>
          <w:p>
            <w:pPr>
              <w:spacing w:line="240" w:lineRule="auto" w:after="40"/>
            </w:pPr>
            <w:r>
              <w:rPr>
                <w:b/>
              </w:rPr>
              <w:t xml:space="preserve">Language</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Spanish</w:t>
            </w:r>
          </w:p>
        </w:tc>
        <w:tc>
          <w:tcPr>
            <w:tcW w:w="1196" w:type="dxa"/>
          </w:tcPr>
          <w:p>
            <w:pPr>
              <w:spacing w:line="240" w:lineRule="auto" w:after="40"/>
            </w:pPr>
            <w:r>
              <w:t xml:space="preserve">0 (0.0)</w:t>
            </w:r>
          </w:p>
        </w:tc>
        <w:tc>
          <w:tcPr>
            <w:tcW w:w="1220" w:type="dxa"/>
          </w:tcPr>
          <w:p>
            <w:pPr>
              <w:spacing w:line="240" w:lineRule="auto" w:after="40"/>
            </w:pPr>
            <w:r>
              <w:t xml:space="preserve">2 (5.7)</w:t>
            </w:r>
          </w:p>
        </w:tc>
        <w:tc>
          <w:tcPr>
            <w:tcW w:w="1328" w:type="dxa"/>
          </w:tcPr>
          <w:p>
            <w:pPr>
              <w:spacing w:line="240" w:lineRule="auto" w:after="40"/>
            </w:pPr>
            <w:r>
              <w:t xml:space="preserve">17 (20.7)</w:t>
            </w:r>
          </w:p>
        </w:tc>
        <w:tc>
          <w:tcPr>
            <w:tcW w:w="1288" w:type="dxa"/>
          </w:tcPr>
          <w:p>
            <w:pPr>
              <w:spacing w:line="240" w:lineRule="auto" w:after="40"/>
            </w:pPr>
            <w:r>
              <w:t xml:space="preserve">19 (14.1)</w:t>
            </w:r>
          </w:p>
        </w:tc>
        <w:tc>
          <w:tcPr>
            <w:tcW w:w="1027" w:type="dxa"/>
          </w:tcPr>
          <w:p>
            <w:pPr>
              <w:spacing w:line="240" w:lineRule="auto" w:after="40"/>
            </w:pPr>
            <w:r>
              <w:t xml:space="preserve">2.75</w:t>
            </w:r>
          </w:p>
        </w:tc>
        <w:tc>
          <w:tcPr>
            <w:tcW w:w="720" w:type="dxa"/>
          </w:tcPr>
          <w:p>
            <w:pPr>
              <w:spacing w:line="240" w:lineRule="auto" w:after="40"/>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vocabulary of the theoretical traditions changed as the field grew (Table 4). The codes record whether a study uses the terms of a tradition in its title, abstract or keywords, not whether it adopts that tradition: a study that mentions multimodality is not thereby a multiliteracies study, and one that mentions gender or race is not thereby feminist or decolonial. With 54 studies (40.0%) using none of the terms, the trends below are trends in visible vocabulary, which may also reflect changes in how authors describe their work. In 2016–2019, nine of the 18 studies used the vocabulary of media literacy and nine that of multiliteracies or the New Literacy Studies, often in combination. That weight owes much to a single journal: 7 of the 18 studies from the period, including 7 of the 9 coded for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 The full-text check supports reading these codes as vocabulary. In the sample, the dictionaries found 2 of the 6 studies that adopt Freirean critical pedagogy as their framework, and they agreed only in part with the full texts on media literacy and multiliteracies (κ = .46 and .62).</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spacing w:line="240" w:lineRule="auto" w:after="40"/>
            </w:pPr>
            <w:r>
              <w:t xml:space="preserve">Tradition</w:t>
            </w:r>
          </w:p>
        </w:tc>
        <w:tc>
          <w:tcPr>
            <w:tcW w:w="1095" w:type="dxa"/>
            <w:shd w:val="clear" w:color="auto" w:fill="F2F2F2"/>
          </w:tcPr>
          <w:p>
            <w:pPr>
              <w:spacing w:line="240" w:lineRule="auto" w:after="40"/>
            </w:pPr>
            <w:r>
              <w:t xml:space="preserve">2016–2019 (n = 18)</w:t>
            </w:r>
          </w:p>
        </w:tc>
        <w:tc>
          <w:tcPr>
            <w:tcW w:w="1131" w:type="dxa"/>
            <w:shd w:val="clear" w:color="auto" w:fill="F2F2F2"/>
          </w:tcPr>
          <w:p>
            <w:pPr>
              <w:spacing w:line="240" w:lineRule="auto" w:after="40"/>
            </w:pPr>
            <w:r>
              <w:t xml:space="preserve">2020–2023 (n = 35)</w:t>
            </w:r>
          </w:p>
        </w:tc>
        <w:tc>
          <w:tcPr>
            <w:tcW w:w="1185" w:type="dxa"/>
            <w:shd w:val="clear" w:color="auto" w:fill="F2F2F2"/>
          </w:tcPr>
          <w:p>
            <w:pPr>
              <w:spacing w:line="240" w:lineRule="auto" w:after="40"/>
            </w:pPr>
            <w:r>
              <w:t xml:space="preserve">2024–2026 (n = 82)</w:t>
            </w:r>
          </w:p>
        </w:tc>
        <w:tc>
          <w:tcPr>
            <w:tcW w:w="1161"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3040" w:type="dxa"/>
          </w:tcPr>
          <w:p>
            <w:pPr>
              <w:spacing w:line="240" w:lineRule="auto" w:after="40"/>
            </w:pPr>
            <w:r>
              <w:t xml:space="preserve">Media literacy and educommunication</w:t>
            </w:r>
          </w:p>
        </w:tc>
        <w:tc>
          <w:tcPr>
            <w:tcW w:w="1095" w:type="dxa"/>
          </w:tcPr>
          <w:p>
            <w:pPr>
              <w:spacing w:line="240" w:lineRule="auto" w:after="40"/>
            </w:pPr>
            <w:r>
              <w:t xml:space="preserve">9 (50.0)</w:t>
            </w:r>
          </w:p>
        </w:tc>
        <w:tc>
          <w:tcPr>
            <w:tcW w:w="1131" w:type="dxa"/>
          </w:tcPr>
          <w:p>
            <w:pPr>
              <w:spacing w:line="240" w:lineRule="auto" w:after="40"/>
            </w:pPr>
            <w:r>
              <w:t xml:space="preserve">5 (14.3)</w:t>
            </w:r>
          </w:p>
        </w:tc>
        <w:tc>
          <w:tcPr>
            <w:tcW w:w="1185" w:type="dxa"/>
          </w:tcPr>
          <w:p>
            <w:pPr>
              <w:spacing w:line="240" w:lineRule="auto" w:after="40"/>
            </w:pPr>
            <w:r>
              <w:t xml:space="preserve">11 (13.4)</w:t>
            </w:r>
          </w:p>
        </w:tc>
        <w:tc>
          <w:tcPr>
            <w:tcW w:w="1161" w:type="dxa"/>
          </w:tcPr>
          <w:p>
            <w:pPr>
              <w:spacing w:line="240" w:lineRule="auto" w:after="40"/>
            </w:pPr>
            <w:r>
              <w:t xml:space="preserve">25 (18.5)</w:t>
            </w:r>
          </w:p>
        </w:tc>
        <w:tc>
          <w:tcPr>
            <w:tcW w:w="1027" w:type="dxa"/>
          </w:tcPr>
          <w:p>
            <w:pPr>
              <w:spacing w:line="240" w:lineRule="auto" w:after="40"/>
            </w:pPr>
            <w:r>
              <w:t xml:space="preserve">−3.04</w:t>
            </w:r>
          </w:p>
        </w:tc>
        <w:tc>
          <w:tcPr>
            <w:tcW w:w="720" w:type="dxa"/>
          </w:tcPr>
          <w:p>
            <w:pPr>
              <w:spacing w:line="240" w:lineRule="auto" w:after="40"/>
            </w:pPr>
            <w:r>
              <w:t xml:space="preserve">.002</w:t>
            </w:r>
          </w:p>
        </w:tc>
      </w:tr>
      <w:tr>
        <w:tc>
          <w:tcPr>
            <w:tcW w:w="3040" w:type="dxa"/>
          </w:tcPr>
          <w:p>
            <w:pPr>
              <w:spacing w:line="240" w:lineRule="auto" w:after="40"/>
            </w:pPr>
            <w:r>
              <w:t xml:space="preserve">Multiliteracies and New Literacy Studies</w:t>
            </w:r>
          </w:p>
        </w:tc>
        <w:tc>
          <w:tcPr>
            <w:tcW w:w="1095" w:type="dxa"/>
          </w:tcPr>
          <w:p>
            <w:pPr>
              <w:spacing w:line="240" w:lineRule="auto" w:after="40"/>
            </w:pPr>
            <w:r>
              <w:t xml:space="preserve">9 (50.0)</w:t>
            </w:r>
          </w:p>
        </w:tc>
        <w:tc>
          <w:tcPr>
            <w:tcW w:w="1131" w:type="dxa"/>
          </w:tcPr>
          <w:p>
            <w:pPr>
              <w:spacing w:line="240" w:lineRule="auto" w:after="40"/>
            </w:pPr>
            <w:r>
              <w:t xml:space="preserve">6 (17.1)</w:t>
            </w:r>
          </w:p>
        </w:tc>
        <w:tc>
          <w:tcPr>
            <w:tcW w:w="1185" w:type="dxa"/>
          </w:tcPr>
          <w:p>
            <w:pPr>
              <w:spacing w:line="240" w:lineRule="auto" w:after="40"/>
            </w:pPr>
            <w:r>
              <w:t xml:space="preserve">15 (18.3)</w:t>
            </w:r>
          </w:p>
        </w:tc>
        <w:tc>
          <w:tcPr>
            <w:tcW w:w="1161" w:type="dxa"/>
          </w:tcPr>
          <w:p>
            <w:pPr>
              <w:spacing w:line="240" w:lineRule="auto" w:after="40"/>
            </w:pPr>
            <w:r>
              <w:t xml:space="preserve">30 (22.2)</w:t>
            </w:r>
          </w:p>
        </w:tc>
        <w:tc>
          <w:tcPr>
            <w:tcW w:w="1027" w:type="dxa"/>
          </w:tcPr>
          <w:p>
            <w:pPr>
              <w:spacing w:line="240" w:lineRule="auto" w:after="40"/>
            </w:pPr>
            <w:r>
              <w:t xml:space="preserve">−2.37</w:t>
            </w:r>
          </w:p>
        </w:tc>
        <w:tc>
          <w:tcPr>
            <w:tcW w:w="720" w:type="dxa"/>
          </w:tcPr>
          <w:p>
            <w:pPr>
              <w:spacing w:line="240" w:lineRule="auto" w:after="40"/>
            </w:pPr>
            <w:r>
              <w:t xml:space="preserve">.018</w:t>
            </w:r>
          </w:p>
        </w:tc>
      </w:tr>
      <w:tr>
        <w:tc>
          <w:tcPr>
            <w:tcW w:w="3040" w:type="dxa"/>
          </w:tcPr>
          <w:p>
            <w:pPr>
              <w:spacing w:line="240" w:lineRule="auto" w:after="40"/>
            </w:pPr>
            <w:r>
              <w:t xml:space="preserve">Digital citizenship</w:t>
            </w:r>
          </w:p>
        </w:tc>
        <w:tc>
          <w:tcPr>
            <w:tcW w:w="1095" w:type="dxa"/>
          </w:tcPr>
          <w:p>
            <w:pPr>
              <w:spacing w:line="240" w:lineRule="auto" w:after="40"/>
            </w:pPr>
            <w:r>
              <w:t xml:space="preserve">1 (5.6)</w:t>
            </w:r>
          </w:p>
        </w:tc>
        <w:tc>
          <w:tcPr>
            <w:tcW w:w="1131" w:type="dxa"/>
          </w:tcPr>
          <w:p>
            <w:pPr>
              <w:spacing w:line="240" w:lineRule="auto" w:after="40"/>
            </w:pPr>
            <w:r>
              <w:t xml:space="preserve">12 (34.3)</w:t>
            </w:r>
          </w:p>
        </w:tc>
        <w:tc>
          <w:tcPr>
            <w:tcW w:w="1185" w:type="dxa"/>
          </w:tcPr>
          <w:p>
            <w:pPr>
              <w:spacing w:line="240" w:lineRule="auto" w:after="40"/>
            </w:pPr>
            <w:r>
              <w:t xml:space="preserve">8 (9.8)</w:t>
            </w:r>
          </w:p>
        </w:tc>
        <w:tc>
          <w:tcPr>
            <w:tcW w:w="1161" w:type="dxa"/>
          </w:tcPr>
          <w:p>
            <w:pPr>
              <w:spacing w:line="240" w:lineRule="auto" w:after="40"/>
            </w:pPr>
            <w:r>
              <w:t xml:space="preserve">21 (15.6)</w:t>
            </w:r>
          </w:p>
        </w:tc>
        <w:tc>
          <w:tcPr>
            <w:tcW w:w="1027" w:type="dxa"/>
          </w:tcPr>
          <w:p>
            <w:pPr>
              <w:spacing w:line="240" w:lineRule="auto" w:after="40"/>
            </w:pPr>
            <w:r>
              <w:t xml:space="preserve">−0.98</w:t>
            </w:r>
          </w:p>
        </w:tc>
        <w:tc>
          <w:tcPr>
            <w:tcW w:w="720" w:type="dxa"/>
          </w:tcPr>
          <w:p>
            <w:pPr>
              <w:spacing w:line="240" w:lineRule="auto" w:after="40"/>
            </w:pPr>
            <w:r>
              <w:t xml:space="preserve">.329</w:t>
            </w:r>
          </w:p>
        </w:tc>
      </w:tr>
      <w:tr>
        <w:tc>
          <w:tcPr>
            <w:tcW w:w="3040" w:type="dxa"/>
          </w:tcPr>
          <w:p>
            <w:pPr>
              <w:spacing w:line="240" w:lineRule="auto" w:after="40"/>
            </w:pPr>
            <w:r>
              <w:t xml:space="preserve">Race, gender and decolonial perspectives</w:t>
            </w:r>
          </w:p>
        </w:tc>
        <w:tc>
          <w:tcPr>
            <w:tcW w:w="1095" w:type="dxa"/>
          </w:tcPr>
          <w:p>
            <w:pPr>
              <w:spacing w:line="240" w:lineRule="auto" w:after="40"/>
            </w:pPr>
            <w:r>
              <w:t xml:space="preserve">2 (11.1)</w:t>
            </w:r>
          </w:p>
        </w:tc>
        <w:tc>
          <w:tcPr>
            <w:tcW w:w="1131" w:type="dxa"/>
          </w:tcPr>
          <w:p>
            <w:pPr>
              <w:spacing w:line="240" w:lineRule="auto" w:after="40"/>
            </w:pPr>
            <w:r>
              <w:t xml:space="preserve">4 (11.4)</w:t>
            </w:r>
          </w:p>
        </w:tc>
        <w:tc>
          <w:tcPr>
            <w:tcW w:w="1185" w:type="dxa"/>
          </w:tcPr>
          <w:p>
            <w:pPr>
              <w:spacing w:line="240" w:lineRule="auto" w:after="40"/>
            </w:pPr>
            <w:r>
              <w:t xml:space="preserve">14 (17.1)</w:t>
            </w:r>
          </w:p>
        </w:tc>
        <w:tc>
          <w:tcPr>
            <w:tcW w:w="1161" w:type="dxa"/>
          </w:tcPr>
          <w:p>
            <w:pPr>
              <w:spacing w:line="240" w:lineRule="auto" w:after="40"/>
            </w:pPr>
            <w:r>
              <w:t xml:space="preserve">20 (14.8)</w:t>
            </w:r>
          </w:p>
        </w:tc>
        <w:tc>
          <w:tcPr>
            <w:tcW w:w="1027" w:type="dxa"/>
          </w:tcPr>
          <w:p>
            <w:pPr>
              <w:spacing w:line="240" w:lineRule="auto" w:after="40"/>
            </w:pPr>
            <w:r>
              <w:t xml:space="preserve">0.85</w:t>
            </w:r>
          </w:p>
        </w:tc>
        <w:tc>
          <w:tcPr>
            <w:tcW w:w="720" w:type="dxa"/>
          </w:tcPr>
          <w:p>
            <w:pPr>
              <w:spacing w:line="240" w:lineRule="auto" w:after="40"/>
            </w:pPr>
            <w:r>
              <w:t xml:space="preserve">.396</w:t>
            </w:r>
          </w:p>
        </w:tc>
      </w:tr>
      <w:tr>
        <w:tc>
          <w:tcPr>
            <w:tcW w:w="3040" w:type="dxa"/>
          </w:tcPr>
          <w:p>
            <w:pPr>
              <w:spacing w:line="240" w:lineRule="auto" w:after="40"/>
            </w:pPr>
            <w:r>
              <w:t xml:space="preserve">Critical pedagogy (Freirean)</w:t>
            </w:r>
          </w:p>
        </w:tc>
        <w:tc>
          <w:tcPr>
            <w:tcW w:w="1095" w:type="dxa"/>
          </w:tcPr>
          <w:p>
            <w:pPr>
              <w:spacing w:line="240" w:lineRule="auto" w:after="40"/>
            </w:pPr>
            <w:r>
              <w:t xml:space="preserve">1 (5.6)</w:t>
            </w:r>
          </w:p>
        </w:tc>
        <w:tc>
          <w:tcPr>
            <w:tcW w:w="1131" w:type="dxa"/>
          </w:tcPr>
          <w:p>
            <w:pPr>
              <w:spacing w:line="240" w:lineRule="auto" w:after="40"/>
            </w:pPr>
            <w:r>
              <w:t xml:space="preserve">3 (8.6)</w:t>
            </w:r>
          </w:p>
        </w:tc>
        <w:tc>
          <w:tcPr>
            <w:tcW w:w="1185" w:type="dxa"/>
          </w:tcPr>
          <w:p>
            <w:pPr>
              <w:spacing w:line="240" w:lineRule="auto" w:after="40"/>
            </w:pPr>
            <w:r>
              <w:t xml:space="preserve">12 (14.6)</w:t>
            </w:r>
          </w:p>
        </w:tc>
        <w:tc>
          <w:tcPr>
            <w:tcW w:w="1161" w:type="dxa"/>
          </w:tcPr>
          <w:p>
            <w:pPr>
              <w:spacing w:line="240" w:lineRule="auto" w:after="40"/>
            </w:pPr>
            <w:r>
              <w:t xml:space="preserve">16 (11.9)</w:t>
            </w:r>
          </w:p>
        </w:tc>
        <w:tc>
          <w:tcPr>
            <w:tcW w:w="1027" w:type="dxa"/>
          </w:tcPr>
          <w:p>
            <w:pPr>
              <w:spacing w:line="240" w:lineRule="auto" w:after="40"/>
            </w:pPr>
            <w:r>
              <w:t xml:space="preserve">1.27</w:t>
            </w:r>
          </w:p>
        </w:tc>
        <w:tc>
          <w:tcPr>
            <w:tcW w:w="720" w:type="dxa"/>
          </w:tcPr>
          <w:p>
            <w:pPr>
              <w:spacing w:line="240" w:lineRule="auto" w:after="40"/>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a translation workshop on a cyberbullying campaign (Damaskinidis et al., 2026).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 These counts are probably too low: in the full-text sample, the dictionaries found 1 of the 6 studies that critique disinformation and 1 of the 7 on privacy and surveillance.</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Coleman, 2019), use social media as a site for multimodal critical digital literacy in higher education (Talib, 2018), or follow how adolescents negotiate privacy on Instagram (González-Villa &amp; Gewerc, 2026). Work on platforms and data includes critical data literacy for academic development (Atenas et al., 2023), the experiences of primary school pupils in platformised schools (Moreno-González et al., 2026), algorithm-aware writing pedagogies in English for academic purposes (Wang &amp; Xu,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Xu, 2026) and bias in AI-supported lesson planning (Zagami, 2026), or propose frameworks and scales for critical AI literacy (Bozkurt et al., 2026; Stewart &amp; Rodgers,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 The full-text check adds a different caveat. The AI dictionary was the most accurate of all, so the rise of AI as a code is not an artefact of the terms chosen; but only 5 of the 11 sampled studies coded for AI made CDL a central concern.</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spacing w:line="240" w:lineRule="auto" w:after="40"/>
            </w:pPr>
            <w:r>
              <w:t xml:space="preserve">Category</w:t>
            </w:r>
          </w:p>
        </w:tc>
        <w:tc>
          <w:tcPr>
            <w:tcW w:w="1305" w:type="dxa"/>
            <w:shd w:val="clear" w:color="auto" w:fill="F2F2F2"/>
          </w:tcPr>
          <w:p>
            <w:pPr>
              <w:spacing w:line="240" w:lineRule="auto" w:after="40"/>
            </w:pPr>
            <w:r>
              <w:t xml:space="preserve">Dictionary</w:t>
            </w:r>
          </w:p>
        </w:tc>
        <w:tc>
          <w:tcPr>
            <w:tcW w:w="1418" w:type="dxa"/>
            <w:shd w:val="clear" w:color="auto" w:fill="F2F2F2"/>
          </w:tcPr>
          <w:p>
            <w:pPr>
              <w:spacing w:line="240" w:lineRule="auto" w:after="40"/>
            </w:pPr>
            <w:r>
              <w:t xml:space="preserve">2016–2019 (n = 18)</w:t>
            </w:r>
          </w:p>
        </w:tc>
        <w:tc>
          <w:tcPr>
            <w:tcW w:w="1441" w:type="dxa"/>
            <w:shd w:val="clear" w:color="auto" w:fill="F2F2F2"/>
          </w:tcPr>
          <w:p>
            <w:pPr>
              <w:spacing w:line="240" w:lineRule="auto" w:after="40"/>
            </w:pPr>
            <w:r>
              <w:t xml:space="preserve">2020–2023 (n = 35)</w:t>
            </w:r>
          </w:p>
        </w:tc>
        <w:tc>
          <w:tcPr>
            <w:tcW w:w="1578" w:type="dxa"/>
            <w:shd w:val="clear" w:color="auto" w:fill="F2F2F2"/>
          </w:tcPr>
          <w:p>
            <w:pPr>
              <w:spacing w:line="240" w:lineRule="auto" w:after="40"/>
            </w:pPr>
            <w:r>
              <w:t xml:space="preserve">2024–2026 (n = 82)</w:t>
            </w:r>
          </w:p>
        </w:tc>
        <w:tc>
          <w:tcPr>
            <w:tcW w:w="1027" w:type="dxa"/>
            <w:shd w:val="clear" w:color="auto" w:fill="F2F2F2"/>
          </w:tcPr>
          <w:p>
            <w:pPr>
              <w:spacing w:line="240" w:lineRule="auto" w:after="40"/>
            </w:pPr>
            <w:r>
              <w:t xml:space="preserve">Trend </w:t>
            </w:r>
            <w:r>
              <w:rPr>
                <w:i/>
              </w:rPr>
              <w:t xml:space="preserve">z</w:t>
            </w:r>
          </w:p>
        </w:tc>
        <w:tc>
          <w:tcPr>
            <w:tcW w:w="870" w:type="dxa"/>
            <w:shd w:val="clear" w:color="auto" w:fill="F2F2F2"/>
          </w:tcPr>
          <w:p>
            <w:pPr>
              <w:spacing w:line="240" w:lineRule="auto" w:after="40"/>
            </w:pPr>
            <w:r>
              <w:rPr>
                <w:i/>
              </w:rPr>
              <w:t xml:space="preserve">p</w:t>
            </w:r>
          </w:p>
        </w:tc>
      </w:tr>
      <w:tr>
        <w:tc>
          <w:tcPr>
            <w:tcW w:w="1720" w:type="dxa"/>
          </w:tcPr>
          <w:p>
            <w:pPr>
              <w:spacing w:line="240" w:lineRule="auto" w:after="40"/>
            </w:pPr>
            <w:r>
              <w:t xml:space="preserve">Artificial intelligence</w:t>
            </w:r>
          </w:p>
        </w:tc>
        <w:tc>
          <w:tcPr>
            <w:tcW w:w="1305" w:type="dxa"/>
          </w:tcPr>
          <w:p>
            <w:pPr>
              <w:spacing w:line="240" w:lineRule="auto" w:after="40"/>
            </w:pPr>
            <w:r>
              <w:t xml:space="preserve">Broad</w:t>
            </w:r>
          </w:p>
        </w:tc>
        <w:tc>
          <w:tcPr>
            <w:tcW w:w="1418" w:type="dxa"/>
          </w:tcPr>
          <w:p>
            <w:pPr>
              <w:spacing w:line="240" w:lineRule="auto" w:after="40"/>
            </w:pPr>
            <w:r>
              <w:t xml:space="preserve">0 (0.0)</w:t>
            </w:r>
          </w:p>
        </w:tc>
        <w:tc>
          <w:tcPr>
            <w:tcW w:w="1441" w:type="dxa"/>
          </w:tcPr>
          <w:p>
            <w:pPr>
              <w:spacing w:line="240" w:lineRule="auto" w:after="40"/>
            </w:pPr>
            <w:r>
              <w:t xml:space="preserve">2 (5.7)</w:t>
            </w:r>
          </w:p>
        </w:tc>
        <w:tc>
          <w:tcPr>
            <w:tcW w:w="1578" w:type="dxa"/>
          </w:tcPr>
          <w:p>
            <w:pPr>
              <w:spacing w:line="240" w:lineRule="auto" w:after="40"/>
            </w:pPr>
            <w:r>
              <w:t xml:space="preserve">35 (42.7)</w:t>
            </w:r>
          </w:p>
        </w:tc>
        <w:tc>
          <w:tcPr>
            <w:tcW w:w="1027" w:type="dxa"/>
          </w:tcPr>
          <w:p>
            <w:pPr>
              <w:spacing w:line="240" w:lineRule="auto" w:after="40"/>
            </w:pPr>
            <w:r>
              <w:t xml:space="preserve">4.69</w:t>
            </w:r>
          </w:p>
        </w:tc>
        <w:tc>
          <w:tcPr>
            <w:tcW w:w="870" w:type="dxa"/>
          </w:tcPr>
          <w:p>
            <w:pPr>
              <w:spacing w:line="240" w:lineRule="auto" w:after="40"/>
            </w:pPr>
            <w:r>
              <w:t xml:space="preserve">&lt; .001</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0 (0.0)</w:t>
            </w:r>
          </w:p>
        </w:tc>
        <w:tc>
          <w:tcPr>
            <w:tcW w:w="1441" w:type="dxa"/>
          </w:tcPr>
          <w:p>
            <w:pPr>
              <w:spacing w:line="240" w:lineRule="auto" w:after="40"/>
            </w:pPr>
            <w:r>
              <w:t xml:space="preserve">0 (0.0)</w:t>
            </w:r>
          </w:p>
        </w:tc>
        <w:tc>
          <w:tcPr>
            <w:tcW w:w="1578" w:type="dxa"/>
          </w:tcPr>
          <w:p>
            <w:pPr>
              <w:spacing w:line="240" w:lineRule="auto" w:after="40"/>
            </w:pPr>
            <w:r>
              <w:t xml:space="preserve">22 (26.8)</w:t>
            </w:r>
          </w:p>
        </w:tc>
        <w:tc>
          <w:tcPr>
            <w:tcW w:w="1027" w:type="dxa"/>
          </w:tcPr>
          <w:p>
            <w:pPr>
              <w:spacing w:line="240" w:lineRule="auto" w:after="40"/>
            </w:pPr>
            <w:r>
              <w:t xml:space="preserve">3.75</w:t>
            </w:r>
          </w:p>
        </w:tc>
        <w:tc>
          <w:tcPr>
            <w:tcW w:w="870" w:type="dxa"/>
          </w:tcPr>
          <w:p>
            <w:pPr>
              <w:spacing w:line="240" w:lineRule="auto" w:after="40"/>
            </w:pPr>
            <w:r>
              <w:t xml:space="preserve">&lt; .001</w:t>
            </w:r>
          </w:p>
        </w:tc>
      </w:tr>
      <w:tr>
        <w:tc>
          <w:tcPr>
            <w:tcW w:w="1720" w:type="dxa"/>
          </w:tcPr>
          <w:p>
            <w:pPr>
              <w:spacing w:line="240" w:lineRule="auto" w:after="40"/>
            </w:pPr>
            <w:r>
              <w:t xml:space="preserve">Algorithms, data and platforms</w:t>
            </w:r>
          </w:p>
        </w:tc>
        <w:tc>
          <w:tcPr>
            <w:tcW w:w="1305" w:type="dxa"/>
          </w:tcPr>
          <w:p>
            <w:pPr>
              <w:spacing w:line="240" w:lineRule="auto" w:after="40"/>
            </w:pPr>
            <w:r>
              <w:t xml:space="preserve">Broad</w:t>
            </w:r>
          </w:p>
        </w:tc>
        <w:tc>
          <w:tcPr>
            <w:tcW w:w="1418" w:type="dxa"/>
          </w:tcPr>
          <w:p>
            <w:pPr>
              <w:spacing w:line="240" w:lineRule="auto" w:after="40"/>
            </w:pPr>
            <w:r>
              <w:t xml:space="preserve">1 (5.6)</w:t>
            </w:r>
          </w:p>
        </w:tc>
        <w:tc>
          <w:tcPr>
            <w:tcW w:w="1441" w:type="dxa"/>
          </w:tcPr>
          <w:p>
            <w:pPr>
              <w:spacing w:line="240" w:lineRule="auto" w:after="40"/>
            </w:pPr>
            <w:r>
              <w:t xml:space="preserve">6 (17.1)</w:t>
            </w:r>
          </w:p>
        </w:tc>
        <w:tc>
          <w:tcPr>
            <w:tcW w:w="1578" w:type="dxa"/>
          </w:tcPr>
          <w:p>
            <w:pPr>
              <w:spacing w:line="240" w:lineRule="auto" w:after="40"/>
            </w:pPr>
            <w:r>
              <w:t xml:space="preserve">26 (31.7)</w:t>
            </w:r>
          </w:p>
        </w:tc>
        <w:tc>
          <w:tcPr>
            <w:tcW w:w="1027" w:type="dxa"/>
          </w:tcPr>
          <w:p>
            <w:pPr>
              <w:spacing w:line="240" w:lineRule="auto" w:after="40"/>
            </w:pPr>
            <w:r>
              <w:t xml:space="preserve">2.61</w:t>
            </w:r>
          </w:p>
        </w:tc>
        <w:tc>
          <w:tcPr>
            <w:tcW w:w="870" w:type="dxa"/>
          </w:tcPr>
          <w:p>
            <w:pPr>
              <w:spacing w:line="240" w:lineRule="auto" w:after="40"/>
            </w:pPr>
            <w:r>
              <w:t xml:space="preserve">.009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26 (31.7)</w:t>
            </w:r>
          </w:p>
        </w:tc>
        <w:tc>
          <w:tcPr>
            <w:tcW w:w="1027" w:type="dxa"/>
          </w:tcPr>
          <w:p>
            <w:pPr>
              <w:spacing w:line="240" w:lineRule="auto" w:after="40"/>
            </w:pPr>
            <w:r>
              <w:t xml:space="preserve">3.11</w:t>
            </w:r>
          </w:p>
        </w:tc>
        <w:tc>
          <w:tcPr>
            <w:tcW w:w="870" w:type="dxa"/>
          </w:tcPr>
          <w:p>
            <w:pPr>
              <w:spacing w:line="240" w:lineRule="auto" w:after="40"/>
            </w:pPr>
            <w:r>
              <w:t xml:space="preserve">.002</w:t>
            </w:r>
          </w:p>
        </w:tc>
      </w:tr>
      <w:tr>
        <w:tc>
          <w:tcPr>
            <w:tcW w:w="1720" w:type="dxa"/>
          </w:tcPr>
          <w:p>
            <w:pPr>
              <w:spacing w:line="240" w:lineRule="auto" w:after="40"/>
            </w:pPr>
            <w:r>
              <w:t xml:space="preserve">Social media</w:t>
            </w:r>
          </w:p>
        </w:tc>
        <w:tc>
          <w:tcPr>
            <w:tcW w:w="1305" w:type="dxa"/>
          </w:tcPr>
          <w:p>
            <w:pPr>
              <w:spacing w:line="240" w:lineRule="auto" w:after="40"/>
            </w:pPr>
            <w:r>
              <w:t xml:space="preserve">Broad</w:t>
            </w:r>
          </w:p>
        </w:tc>
        <w:tc>
          <w:tcPr>
            <w:tcW w:w="1418" w:type="dxa"/>
          </w:tcPr>
          <w:p>
            <w:pPr>
              <w:spacing w:line="240" w:lineRule="auto" w:after="40"/>
            </w:pPr>
            <w:r>
              <w:t xml:space="preserve">4 (22.2)</w:t>
            </w:r>
          </w:p>
        </w:tc>
        <w:tc>
          <w:tcPr>
            <w:tcW w:w="1441" w:type="dxa"/>
          </w:tcPr>
          <w:p>
            <w:pPr>
              <w:spacing w:line="240" w:lineRule="auto" w:after="40"/>
            </w:pPr>
            <w:r>
              <w:t xml:space="preserve">6 (17.1)</w:t>
            </w:r>
          </w:p>
        </w:tc>
        <w:tc>
          <w:tcPr>
            <w:tcW w:w="1578" w:type="dxa"/>
          </w:tcPr>
          <w:p>
            <w:pPr>
              <w:spacing w:line="240" w:lineRule="auto" w:after="40"/>
            </w:pPr>
            <w:r>
              <w:t xml:space="preserve">17 (20.7)</w:t>
            </w:r>
          </w:p>
        </w:tc>
        <w:tc>
          <w:tcPr>
            <w:tcW w:w="1027" w:type="dxa"/>
          </w:tcPr>
          <w:p>
            <w:pPr>
              <w:spacing w:line="240" w:lineRule="auto" w:after="40"/>
            </w:pPr>
            <w:r>
              <w:t xml:space="preserve">0.06</w:t>
            </w:r>
          </w:p>
        </w:tc>
        <w:tc>
          <w:tcPr>
            <w:tcW w:w="870" w:type="dxa"/>
          </w:tcPr>
          <w:p>
            <w:pPr>
              <w:spacing w:line="240" w:lineRule="auto" w:after="40"/>
            </w:pPr>
            <w:r>
              <w:t xml:space="preserve">.952</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2 (5.7)</w:t>
            </w:r>
          </w:p>
        </w:tc>
        <w:tc>
          <w:tcPr>
            <w:tcW w:w="1578" w:type="dxa"/>
          </w:tcPr>
          <w:p>
            <w:pPr>
              <w:spacing w:line="240" w:lineRule="auto" w:after="40"/>
            </w:pPr>
            <w:r>
              <w:t xml:space="preserve">12 (14.6)</w:t>
            </w:r>
          </w:p>
        </w:tc>
        <w:tc>
          <w:tcPr>
            <w:tcW w:w="1027" w:type="dxa"/>
          </w:tcPr>
          <w:p>
            <w:pPr>
              <w:spacing w:line="240" w:lineRule="auto" w:after="40"/>
            </w:pPr>
            <w:r>
              <w:t xml:space="preserve">−0.19</w:t>
            </w:r>
          </w:p>
        </w:tc>
        <w:tc>
          <w:tcPr>
            <w:tcW w:w="870" w:type="dxa"/>
          </w:tcPr>
          <w:p>
            <w:pPr>
              <w:spacing w:line="240" w:lineRule="auto" w:after="40"/>
            </w:pPr>
            <w:r>
              <w:t xml:space="preserve">.851</w:t>
            </w:r>
          </w:p>
        </w:tc>
      </w:tr>
      <w:tr>
        <w:tc>
          <w:tcPr>
            <w:tcW w:w="1720" w:type="dxa"/>
          </w:tcPr>
          <w:p>
            <w:pPr>
              <w:spacing w:line="240" w:lineRule="auto" w:after="40"/>
            </w:pPr>
            <w:r>
              <w:t xml:space="preserve">Early childhood and primary</w:t>
            </w:r>
          </w:p>
        </w:tc>
        <w:tc>
          <w:tcPr>
            <w:tcW w:w="1305" w:type="dxa"/>
          </w:tcPr>
          <w:p>
            <w:pPr>
              <w:spacing w:line="240" w:lineRule="auto" w:after="40"/>
            </w:pPr>
            <w:r>
              <w:t xml:space="preserve">Broad</w:t>
            </w:r>
          </w:p>
        </w:tc>
        <w:tc>
          <w:tcPr>
            <w:tcW w:w="1418" w:type="dxa"/>
          </w:tcPr>
          <w:p>
            <w:pPr>
              <w:spacing w:line="240" w:lineRule="auto" w:after="40"/>
            </w:pPr>
            <w:r>
              <w:t xml:space="preserve">2 (11.1)</w:t>
            </w:r>
          </w:p>
        </w:tc>
        <w:tc>
          <w:tcPr>
            <w:tcW w:w="1441" w:type="dxa"/>
          </w:tcPr>
          <w:p>
            <w:pPr>
              <w:spacing w:line="240" w:lineRule="auto" w:after="40"/>
            </w:pPr>
            <w:r>
              <w:t xml:space="preserve">3 (8.6)</w:t>
            </w:r>
          </w:p>
        </w:tc>
        <w:tc>
          <w:tcPr>
            <w:tcW w:w="1578" w:type="dxa"/>
          </w:tcPr>
          <w:p>
            <w:pPr>
              <w:spacing w:line="240" w:lineRule="auto" w:after="40"/>
            </w:pPr>
            <w:r>
              <w:t xml:space="preserve">5 (6.1)</w:t>
            </w:r>
          </w:p>
        </w:tc>
        <w:tc>
          <w:tcPr>
            <w:tcW w:w="1027" w:type="dxa"/>
          </w:tcPr>
          <w:p>
            <w:pPr>
              <w:spacing w:line="240" w:lineRule="auto" w:after="40"/>
            </w:pPr>
            <w:r>
              <w:t xml:space="preserve">−0.80</w:t>
            </w:r>
          </w:p>
        </w:tc>
        <w:tc>
          <w:tcPr>
            <w:tcW w:w="870" w:type="dxa"/>
          </w:tcPr>
          <w:p>
            <w:pPr>
              <w:spacing w:line="240" w:lineRule="auto" w:after="40"/>
            </w:pPr>
            <w:r>
              <w:t xml:space="preserve">.426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3 (3.7)</w:t>
            </w:r>
          </w:p>
        </w:tc>
        <w:tc>
          <w:tcPr>
            <w:tcW w:w="1027" w:type="dxa"/>
          </w:tcPr>
          <w:p>
            <w:pPr>
              <w:spacing w:line="240" w:lineRule="auto" w:after="40"/>
            </w:pPr>
            <w:r>
              <w:t xml:space="preserve">−0.71</w:t>
            </w:r>
          </w:p>
        </w:tc>
        <w:tc>
          <w:tcPr>
            <w:tcW w:w="870" w:type="dxa"/>
          </w:tcPr>
          <w:p>
            <w:pPr>
              <w:spacing w:line="240" w:lineRule="auto" w:after="40"/>
            </w:pPr>
            <w:r>
              <w:t xml:space="preserve">.476</w:t>
            </w:r>
          </w:p>
        </w:tc>
      </w:tr>
      <w:tr>
        <w:tc>
          <w:tcPr>
            <w:tcW w:w="1720" w:type="dxa"/>
          </w:tcPr>
          <w:p>
            <w:pPr>
              <w:spacing w:line="240" w:lineRule="auto" w:after="40"/>
            </w:pPr>
            <w:r>
              <w:t xml:space="preserve">Secondary</w:t>
            </w:r>
          </w:p>
        </w:tc>
        <w:tc>
          <w:tcPr>
            <w:tcW w:w="1305" w:type="dxa"/>
          </w:tcPr>
          <w:p>
            <w:pPr>
              <w:spacing w:line="240" w:lineRule="auto" w:after="40"/>
            </w:pPr>
            <w:r>
              <w:t xml:space="preserve">Broad</w:t>
            </w:r>
          </w:p>
        </w:tc>
        <w:tc>
          <w:tcPr>
            <w:tcW w:w="1418" w:type="dxa"/>
          </w:tcPr>
          <w:p>
            <w:pPr>
              <w:spacing w:line="240" w:lineRule="auto" w:after="40"/>
            </w:pPr>
            <w:r>
              <w:t xml:space="preserve">8 (44.4)</w:t>
            </w:r>
          </w:p>
        </w:tc>
        <w:tc>
          <w:tcPr>
            <w:tcW w:w="1441" w:type="dxa"/>
          </w:tcPr>
          <w:p>
            <w:pPr>
              <w:spacing w:line="240" w:lineRule="auto" w:after="40"/>
            </w:pPr>
            <w:r>
              <w:t xml:space="preserve">7 (20.0)</w:t>
            </w:r>
          </w:p>
        </w:tc>
        <w:tc>
          <w:tcPr>
            <w:tcW w:w="1578" w:type="dxa"/>
          </w:tcPr>
          <w:p>
            <w:pPr>
              <w:spacing w:line="240" w:lineRule="auto" w:after="40"/>
            </w:pPr>
            <w:r>
              <w:t xml:space="preserve">14 (17.1)</w:t>
            </w:r>
          </w:p>
        </w:tc>
        <w:tc>
          <w:tcPr>
            <w:tcW w:w="1027" w:type="dxa"/>
          </w:tcPr>
          <w:p>
            <w:pPr>
              <w:spacing w:line="240" w:lineRule="auto" w:after="40"/>
            </w:pPr>
            <w:r>
              <w:t xml:space="preserve">−2.26</w:t>
            </w:r>
          </w:p>
        </w:tc>
        <w:tc>
          <w:tcPr>
            <w:tcW w:w="870" w:type="dxa"/>
          </w:tcPr>
          <w:p>
            <w:pPr>
              <w:spacing w:line="240" w:lineRule="auto" w:after="40"/>
            </w:pPr>
            <w:r>
              <w:t xml:space="preserve">.024</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7 (20.0)</w:t>
            </w:r>
          </w:p>
        </w:tc>
        <w:tc>
          <w:tcPr>
            <w:tcW w:w="1578" w:type="dxa"/>
          </w:tcPr>
          <w:p>
            <w:pPr>
              <w:spacing w:line="240" w:lineRule="auto" w:after="40"/>
            </w:pPr>
            <w:r>
              <w:t xml:space="preserve">8 (9.8)</w:t>
            </w:r>
          </w:p>
        </w:tc>
        <w:tc>
          <w:tcPr>
            <w:tcW w:w="1027" w:type="dxa"/>
          </w:tcPr>
          <w:p>
            <w:pPr>
              <w:spacing w:line="240" w:lineRule="auto" w:after="40"/>
            </w:pPr>
            <w:r>
              <w:t xml:space="preserve">−0.22</w:t>
            </w:r>
          </w:p>
        </w:tc>
        <w:tc>
          <w:tcPr>
            <w:tcW w:w="870" w:type="dxa"/>
          </w:tcPr>
          <w:p>
            <w:pPr>
              <w:spacing w:line="240" w:lineRule="auto" w:after="40"/>
            </w:pPr>
            <w:r>
              <w:t xml:space="preserve">.828</w:t>
            </w:r>
          </w:p>
        </w:tc>
      </w:tr>
      <w:tr>
        <w:tc>
          <w:tcPr>
            <w:tcW w:w="1720" w:type="dxa"/>
          </w:tcPr>
          <w:p>
            <w:pPr>
              <w:spacing w:line="240" w:lineRule="auto" w:after="40"/>
            </w:pPr>
            <w:r>
              <w:t xml:space="preserve">Higher education</w:t>
            </w:r>
          </w:p>
        </w:tc>
        <w:tc>
          <w:tcPr>
            <w:tcW w:w="1305" w:type="dxa"/>
          </w:tcPr>
          <w:p>
            <w:pPr>
              <w:spacing w:line="240" w:lineRule="auto" w:after="40"/>
            </w:pPr>
            <w:r>
              <w:t xml:space="preserve">Broad</w:t>
            </w:r>
          </w:p>
        </w:tc>
        <w:tc>
          <w:tcPr>
            <w:tcW w:w="1418" w:type="dxa"/>
          </w:tcPr>
          <w:p>
            <w:pPr>
              <w:spacing w:line="240" w:lineRule="auto" w:after="40"/>
            </w:pPr>
            <w:r>
              <w:t xml:space="preserve">6 (33.3)</w:t>
            </w:r>
          </w:p>
        </w:tc>
        <w:tc>
          <w:tcPr>
            <w:tcW w:w="1441" w:type="dxa"/>
          </w:tcPr>
          <w:p>
            <w:pPr>
              <w:spacing w:line="240" w:lineRule="auto" w:after="40"/>
            </w:pPr>
            <w:r>
              <w:t xml:space="preserve">11 (31.4)</w:t>
            </w:r>
          </w:p>
        </w:tc>
        <w:tc>
          <w:tcPr>
            <w:tcW w:w="1578" w:type="dxa"/>
          </w:tcPr>
          <w:p>
            <w:pPr>
              <w:spacing w:line="240" w:lineRule="auto" w:after="40"/>
            </w:pPr>
            <w:r>
              <w:t xml:space="preserve">38 (46.3)</w:t>
            </w:r>
          </w:p>
        </w:tc>
        <w:tc>
          <w:tcPr>
            <w:tcW w:w="1027" w:type="dxa"/>
          </w:tcPr>
          <w:p>
            <w:pPr>
              <w:spacing w:line="240" w:lineRule="auto" w:after="40"/>
            </w:pPr>
            <w:r>
              <w:t xml:space="preserve">1.45</w:t>
            </w:r>
          </w:p>
        </w:tc>
        <w:tc>
          <w:tcPr>
            <w:tcW w:w="870" w:type="dxa"/>
          </w:tcPr>
          <w:p>
            <w:pPr>
              <w:spacing w:line="240" w:lineRule="auto" w:after="40"/>
            </w:pPr>
            <w:r>
              <w:t xml:space="preserve">.149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9 (25.7)</w:t>
            </w:r>
          </w:p>
        </w:tc>
        <w:tc>
          <w:tcPr>
            <w:tcW w:w="1578" w:type="dxa"/>
          </w:tcPr>
          <w:p>
            <w:pPr>
              <w:spacing w:line="240" w:lineRule="auto" w:after="40"/>
            </w:pPr>
            <w:r>
              <w:t xml:space="preserve">28 (34.1)</w:t>
            </w:r>
          </w:p>
        </w:tc>
        <w:tc>
          <w:tcPr>
            <w:tcW w:w="1027" w:type="dxa"/>
          </w:tcPr>
          <w:p>
            <w:pPr>
              <w:spacing w:line="240" w:lineRule="auto" w:after="40"/>
            </w:pPr>
            <w:r>
              <w:t xml:space="preserve">1.19</w:t>
            </w:r>
          </w:p>
        </w:tc>
        <w:tc>
          <w:tcPr>
            <w:tcW w:w="870" w:type="dxa"/>
          </w:tcPr>
          <w:p>
            <w:pPr>
              <w:spacing w:line="240" w:lineRule="auto" w:after="40"/>
            </w:pPr>
            <w:r>
              <w:t xml:space="preserve">.235</w:t>
            </w:r>
          </w:p>
        </w:tc>
      </w:tr>
      <w:tr>
        <w:tc>
          <w:tcPr>
            <w:tcW w:w="1720" w:type="dxa"/>
          </w:tcPr>
          <w:p>
            <w:pPr>
              <w:spacing w:line="240" w:lineRule="auto" w:after="40"/>
            </w:pPr>
            <w:r>
              <w:t xml:space="preserve">Teacher education</w:t>
            </w:r>
          </w:p>
        </w:tc>
        <w:tc>
          <w:tcPr>
            <w:tcW w:w="1305" w:type="dxa"/>
          </w:tcPr>
          <w:p>
            <w:pPr>
              <w:spacing w:line="240" w:lineRule="auto" w:after="40"/>
            </w:pPr>
            <w:r>
              <w:t xml:space="preserve">Broad</w:t>
            </w:r>
          </w:p>
        </w:tc>
        <w:tc>
          <w:tcPr>
            <w:tcW w:w="1418" w:type="dxa"/>
          </w:tcPr>
          <w:p>
            <w:pPr>
              <w:spacing w:line="240" w:lineRule="auto" w:after="40"/>
            </w:pPr>
            <w:r>
              <w:t xml:space="preserve">5 (27.8)</w:t>
            </w:r>
          </w:p>
        </w:tc>
        <w:tc>
          <w:tcPr>
            <w:tcW w:w="1441" w:type="dxa"/>
          </w:tcPr>
          <w:p>
            <w:pPr>
              <w:spacing w:line="240" w:lineRule="auto" w:after="40"/>
            </w:pPr>
            <w:r>
              <w:t xml:space="preserve">14 (40.0)</w:t>
            </w:r>
          </w:p>
        </w:tc>
        <w:tc>
          <w:tcPr>
            <w:tcW w:w="1578" w:type="dxa"/>
          </w:tcPr>
          <w:p>
            <w:pPr>
              <w:spacing w:line="240" w:lineRule="auto" w:after="40"/>
            </w:pPr>
            <w:r>
              <w:t xml:space="preserve">20 (24.4)</w:t>
            </w:r>
          </w:p>
        </w:tc>
        <w:tc>
          <w:tcPr>
            <w:tcW w:w="1027" w:type="dxa"/>
          </w:tcPr>
          <w:p>
            <w:pPr>
              <w:spacing w:line="240" w:lineRule="auto" w:after="40"/>
            </w:pPr>
            <w:r>
              <w:t xml:space="preserve">−0.92</w:t>
            </w:r>
          </w:p>
        </w:tc>
        <w:tc>
          <w:tcPr>
            <w:tcW w:w="870" w:type="dxa"/>
          </w:tcPr>
          <w:p>
            <w:pPr>
              <w:spacing w:line="240" w:lineRule="auto" w:after="40"/>
            </w:pPr>
            <w:r>
              <w:t xml:space="preserve">.356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5 (27.8)</w:t>
            </w:r>
          </w:p>
        </w:tc>
        <w:tc>
          <w:tcPr>
            <w:tcW w:w="1441" w:type="dxa"/>
          </w:tcPr>
          <w:p>
            <w:pPr>
              <w:spacing w:line="240" w:lineRule="auto" w:after="40"/>
            </w:pPr>
            <w:r>
              <w:t xml:space="preserve">9 (25.7)</w:t>
            </w:r>
          </w:p>
        </w:tc>
        <w:tc>
          <w:tcPr>
            <w:tcW w:w="1578" w:type="dxa"/>
          </w:tcPr>
          <w:p>
            <w:pPr>
              <w:spacing w:line="240" w:lineRule="auto" w:after="40"/>
            </w:pPr>
            <w:r>
              <w:t xml:space="preserve">13 (15.9)</w:t>
            </w:r>
          </w:p>
        </w:tc>
        <w:tc>
          <w:tcPr>
            <w:tcW w:w="1027" w:type="dxa"/>
          </w:tcPr>
          <w:p>
            <w:pPr>
              <w:spacing w:line="240" w:lineRule="auto" w:after="40"/>
            </w:pPr>
            <w:r>
              <w:t xml:space="preserve">−1.44</w:t>
            </w:r>
          </w:p>
        </w:tc>
        <w:tc>
          <w:tcPr>
            <w:tcW w:w="870" w:type="dxa"/>
          </w:tcPr>
          <w:p>
            <w:pPr>
              <w:spacing w:line="240" w:lineRule="auto" w:after="40"/>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spacing w:line="240" w:lineRule="auto" w:after="40"/>
            </w:pPr>
            <w:r>
              <w:t xml:space="preserve">Practice</w:t>
            </w:r>
          </w:p>
        </w:tc>
        <w:tc>
          <w:tcPr>
            <w:tcW w:w="3002" w:type="dxa"/>
            <w:shd w:val="clear" w:color="auto" w:fill="F2F2F2"/>
          </w:tcPr>
          <w:p>
            <w:pPr>
              <w:spacing w:line="240" w:lineRule="auto" w:after="40"/>
            </w:pPr>
            <w:r>
              <w:t xml:space="preserve">What learners do</w:t>
            </w:r>
          </w:p>
        </w:tc>
        <w:tc>
          <w:tcPr>
            <w:tcW w:w="4920" w:type="dxa"/>
            <w:shd w:val="clear" w:color="auto" w:fill="F2F2F2"/>
          </w:tcPr>
          <w:p>
            <w:pPr>
              <w:spacing w:line="240" w:lineRule="auto" w:after="40"/>
            </w:pPr>
            <w:r>
              <w:t xml:space="preserve">Examples</w:t>
            </w:r>
          </w:p>
        </w:tc>
      </w:tr>
      <w:tr>
        <w:tc>
          <w:tcPr>
            <w:tcW w:w="1438" w:type="dxa"/>
          </w:tcPr>
          <w:p>
            <w:pPr>
              <w:spacing w:line="240" w:lineRule="auto" w:after="40"/>
            </w:pPr>
            <w:r>
              <w:t xml:space="preserve">Critical analysis of digital texts</w:t>
            </w:r>
          </w:p>
        </w:tc>
        <w:tc>
          <w:tcPr>
            <w:tcW w:w="3002" w:type="dxa"/>
          </w:tcPr>
          <w:p>
            <w:pPr>
              <w:spacing w:line="240" w:lineRule="auto" w:after="40"/>
            </w:pPr>
            <w:r>
              <w:t xml:space="preserve">Read memes, videos, teaching materials or AI outputs for representation, bias and ideology</w:t>
            </w:r>
          </w:p>
        </w:tc>
        <w:tc>
          <w:tcPr>
            <w:tcW w:w="4920" w:type="dxa"/>
          </w:tcPr>
          <w:p>
            <w:pPr>
              <w:spacing w:line="240" w:lineRule="auto" w:after="40"/>
            </w:pPr>
            <w:r>
              <w:t xml:space="preserve">Political memes in middle school (Elmore &amp; Coleman, 2019); diversity in airline safety videos (Ho &amp; Hafner, 2025); ideological bias in chatbot answers (Van Poucke, 2024); visual bias in AI images (Weninger &amp; Xu, 2026)</w:t>
            </w:r>
          </w:p>
        </w:tc>
      </w:tr>
      <w:tr>
        <w:tc>
          <w:tcPr>
            <w:tcW w:w="1438" w:type="dxa"/>
          </w:tcPr>
          <w:p>
            <w:pPr>
              <w:spacing w:line="240" w:lineRule="auto" w:after="40"/>
            </w:pPr>
            <w:r>
              <w:t xml:space="preserve">Media production and multimodal composing</w:t>
            </w:r>
          </w:p>
        </w:tc>
        <w:tc>
          <w:tcPr>
            <w:tcW w:w="3002" w:type="dxa"/>
          </w:tcPr>
          <w:p>
            <w:pPr>
              <w:spacing w:line="240" w:lineRule="auto" w:after="40"/>
            </w:pPr>
            <w:r>
              <w:t xml:space="preserve">Produce video, stories, posters or multimodal texts that answer dominant narratives</w:t>
            </w:r>
          </w:p>
        </w:tc>
        <w:tc>
          <w:tcPr>
            <w:tcW w:w="4920" w:type="dxa"/>
          </w:tcPr>
          <w:p>
            <w:pPr>
              <w:spacing w:line="240" w:lineRule="auto" w:after="40"/>
            </w:pPr>
            <w:r>
              <w:t xml:space="preserve">Video production in elementary teacher education (Watt, 2019); digital storytelling on District Six (Noble &amp; Gachago, 2022); bilingual Vine making (de los Ríos, 2018); translating a poster campaign on cyberbullying (Damaskinidis et al., 2026)</w:t>
            </w:r>
          </w:p>
        </w:tc>
      </w:tr>
      <w:tr>
        <w:tc>
          <w:tcPr>
            <w:tcW w:w="1438" w:type="dxa"/>
          </w:tcPr>
          <w:p>
            <w:pPr>
              <w:spacing w:line="240" w:lineRule="auto" w:after="40"/>
            </w:pPr>
            <w:r>
              <w:t xml:space="preserve">Virtual exchange</w:t>
            </w:r>
          </w:p>
        </w:tc>
        <w:tc>
          <w:tcPr>
            <w:tcW w:w="3002" w:type="dxa"/>
          </w:tcPr>
          <w:p>
            <w:pPr>
              <w:spacing w:line="240" w:lineRule="auto" w:after="40"/>
            </w:pPr>
            <w:r>
              <w:t xml:space="preserve">Work with peers in other countries and examine how platforms shape the exchange</w:t>
            </w:r>
          </w:p>
        </w:tc>
        <w:tc>
          <w:tcPr>
            <w:tcW w:w="4920" w:type="dxa"/>
          </w:tcPr>
          <w:p>
            <w:pPr>
              <w:spacing w:line="240" w:lineRule="auto" w:after="40"/>
            </w:pPr>
            <w:r>
              <w:t xml:space="preserve">Hauck (2019); ELT teacher education (Bilki et al., 2023); multimodal representation (Satar et al., 2023); a COIL project with pre-service teachers (Ketzer-Nöltge &amp; Markovic, 2022)</w:t>
            </w:r>
          </w:p>
        </w:tc>
      </w:tr>
      <w:tr>
        <w:tc>
          <w:tcPr>
            <w:tcW w:w="1438" w:type="dxa"/>
          </w:tcPr>
          <w:p>
            <w:pPr>
              <w:spacing w:line="240" w:lineRule="auto" w:after="40"/>
            </w:pPr>
            <w:r>
              <w:t xml:space="preserve">Designed modules and inquiry</w:t>
            </w:r>
          </w:p>
        </w:tc>
        <w:tc>
          <w:tcPr>
            <w:tcW w:w="3002" w:type="dxa"/>
          </w:tcPr>
          <w:p>
            <w:pPr>
              <w:spacing w:line="240" w:lineRule="auto" w:after="40"/>
            </w:pPr>
            <w:r>
              <w:t xml:space="preserve">Follow a sequence built around a game, a controversy or a writing task</w:t>
            </w:r>
          </w:p>
        </w:tc>
        <w:tc>
          <w:tcPr>
            <w:tcW w:w="4920" w:type="dxa"/>
          </w:tcPr>
          <w:p>
            <w:pPr>
              <w:spacing w:line="240" w:lineRule="auto" w:after="40"/>
            </w:pPr>
            <w:r>
              <w:t xml:space="preserve">Co-designing a module with indie video games (Jiménez Torras et al., 2026); conspiracy theories in English classes (Gerlach et al., 2025); reflection notebooks on misinformation (Spracklin &amp; Espina, 2025); rating classroom tools for privacy with future primary teachers (Castañeda &amp; Villar-Onrubia, 2023)</w:t>
            </w:r>
          </w:p>
        </w:tc>
      </w:tr>
      <w:tr>
        <w:tc>
          <w:tcPr>
            <w:tcW w:w="1438" w:type="dxa"/>
          </w:tcPr>
          <w:p>
            <w:pPr>
              <w:spacing w:line="240" w:lineRule="auto" w:after="40"/>
            </w:pPr>
            <w:r>
              <w:t xml:space="preserve">Civic action</w:t>
            </w:r>
          </w:p>
        </w:tc>
        <w:tc>
          <w:tcPr>
            <w:tcW w:w="3002" w:type="dxa"/>
          </w:tcPr>
          <w:p>
            <w:pPr>
              <w:spacing w:line="240" w:lineRule="auto" w:after="40"/>
            </w:pPr>
            <w:r>
              <w:t xml:space="preserve">Use digital tools to investigate and act on local or political issues</w:t>
            </w:r>
          </w:p>
        </w:tc>
        <w:tc>
          <w:tcPr>
            <w:tcW w:w="4920" w:type="dxa"/>
          </w:tcPr>
          <w:p>
            <w:pPr>
              <w:spacing w:line="240" w:lineRule="auto" w:after="40"/>
            </w:pPr>
            <w:r>
              <w:t xml:space="preserve">Civic interrogation in a ninth-grade ethnic studies course (Kwon &amp; de los Ríos, 2019); student activism after the Parkland shooting (Abowitz &amp; Mamlok, 2020); university digital activism in Peru (Fernández, 2026); Black students resisting AI-mediated racism (Tanksley, 2024)</w:t>
            </w:r>
          </w:p>
        </w:tc>
      </w:tr>
    </w:tbl>
    <w:p>
      <w:pPr/>
      <w:r>
        <w:t xml:space="preserve">Studies that describe an intervention or a designed teaching sequence are a minority: 26 of the 135, and 8 of them also mention quantitative measures. Outcome evaluation, quantitative measurement and causal inference should not be confused. Qualitative studies of an intervention can document learning, changes in practice or agency, and a quantitative measure does not by itself show that a practice caused a change. The dictionaries show which studies describe an intervention and which mention quantitative measures, but not which evaluate outcomes; the full-text sample, reported below, answers that question for 25 studies.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Villar-Onrubia, 2023) or examine the tensions of teaching digital citizenship in initial teacher education (Salazar-Jiménez et al., 2026), and some propose frameworks of their own, for instance for second-language teacher education in the Global South (Mahapatra &amp; Koltovskaia,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39"/>
        <w:gridCol w:w="1644"/>
        <w:gridCol w:w="1186"/>
        <w:gridCol w:w="1107"/>
        <w:gridCol w:w="3884"/>
      </w:tblGrid>
      <w:tr>
        <w:trPr>
          <w:tblHeader/>
        </w:trPr>
        <w:tc>
          <w:tcPr>
            <w:tcW w:w="1539" w:type="dxa"/>
            <w:shd w:val="clear" w:color="auto" w:fill="F2F2F2"/>
          </w:tcPr>
          <w:p>
            <w:pPr>
              <w:spacing w:line="240" w:lineRule="auto" w:after="40"/>
            </w:pPr>
            <w:r>
              <w:t xml:space="preserve">Study</w:t>
            </w:r>
          </w:p>
        </w:tc>
        <w:tc>
          <w:tcPr>
            <w:tcW w:w="1644" w:type="dxa"/>
            <w:shd w:val="clear" w:color="auto" w:fill="F2F2F2"/>
          </w:tcPr>
          <w:p>
            <w:pPr>
              <w:spacing w:line="240" w:lineRule="auto" w:after="40"/>
            </w:pPr>
            <w:r>
              <w:t xml:space="preserve">Journal</w:t>
            </w:r>
          </w:p>
        </w:tc>
        <w:tc>
          <w:tcPr>
            <w:tcW w:w="1186" w:type="dxa"/>
            <w:shd w:val="clear" w:color="auto" w:fill="F2F2F2"/>
          </w:tcPr>
          <w:p>
            <w:pPr>
              <w:spacing w:line="240" w:lineRule="auto" w:after="40"/>
            </w:pPr>
            <w:r>
              <w:t xml:space="preserve">Citations</w:t>
            </w:r>
          </w:p>
        </w:tc>
        <w:tc>
          <w:tcPr>
            <w:tcW w:w="1107" w:type="dxa"/>
            <w:shd w:val="clear" w:color="auto" w:fill="F2F2F2"/>
          </w:tcPr>
          <w:p>
            <w:pPr>
              <w:spacing w:line="240" w:lineRule="auto" w:after="40"/>
            </w:pPr>
            <w:r>
              <w:t xml:space="preserve">Per year</w:t>
            </w:r>
          </w:p>
        </w:tc>
        <w:tc>
          <w:tcPr>
            <w:tcW w:w="3884" w:type="dxa"/>
            <w:shd w:val="clear" w:color="auto" w:fill="F2F2F2"/>
          </w:tcPr>
          <w:p>
            <w:pPr>
              <w:spacing w:line="240" w:lineRule="auto" w:after="40"/>
            </w:pPr>
            <w:r>
              <w:t xml:space="preserve">Focus</w:t>
            </w:r>
          </w:p>
        </w:tc>
      </w:tr>
      <w:tr>
        <w:tc>
          <w:tcPr>
            <w:tcW w:w="1539" w:type="dxa"/>
          </w:tcPr>
          <w:p>
            <w:pPr>
              <w:spacing w:line="240" w:lineRule="auto" w:after="40"/>
            </w:pPr>
            <w:r>
              <w:t xml:space="preserve">Darvin (2025)</w:t>
            </w:r>
          </w:p>
        </w:tc>
        <w:tc>
          <w:tcPr>
            <w:tcW w:w="1644" w:type="dxa"/>
          </w:tcPr>
          <w:p>
            <w:pPr>
              <w:spacing w:line="240" w:lineRule="auto" w:after="40"/>
            </w:pPr>
            <w:r>
              <w:rPr>
                <w:i/>
              </w:rPr>
              <w:t xml:space="preserve">Journal of Second Language Writing</w:t>
            </w:r>
          </w:p>
        </w:tc>
        <w:tc>
          <w:tcPr>
            <w:tcW w:w="1186" w:type="dxa"/>
          </w:tcPr>
          <w:p>
            <w:pPr>
              <w:spacing w:line="240" w:lineRule="auto" w:after="40"/>
            </w:pPr>
            <w:r>
              <w:t xml:space="preserve">98</w:t>
            </w:r>
          </w:p>
        </w:tc>
        <w:tc>
          <w:tcPr>
            <w:tcW w:w="1107" w:type="dxa"/>
          </w:tcPr>
          <w:p>
            <w:pPr>
              <w:spacing w:line="240" w:lineRule="auto" w:after="40"/>
            </w:pPr>
            <w:r>
              <w:t xml:space="preserve">49.0</w:t>
            </w:r>
          </w:p>
        </w:tc>
        <w:tc>
          <w:tcPr>
            <w:tcW w:w="3884" w:type="dxa"/>
          </w:tcPr>
          <w:p>
            <w:pPr>
              <w:spacing w:line="240" w:lineRule="auto" w:after="40"/>
            </w:pPr>
            <w:r>
              <w:t xml:space="preserve">CDL for second language writing mediated by generative AI</w:t>
            </w:r>
          </w:p>
        </w:tc>
      </w:tr>
      <w:tr>
        <w:tc>
          <w:tcPr>
            <w:tcW w:w="1539" w:type="dxa"/>
          </w:tcPr>
          <w:p>
            <w:pPr>
              <w:spacing w:line="240" w:lineRule="auto" w:after="40"/>
            </w:pPr>
            <w:r>
              <w:t xml:space="preserve">Ilomäki et al. (2023)</w:t>
            </w:r>
          </w:p>
        </w:tc>
        <w:tc>
          <w:tcPr>
            <w:tcW w:w="1644" w:type="dxa"/>
          </w:tcPr>
          <w:p>
            <w:pPr>
              <w:spacing w:line="240" w:lineRule="auto" w:after="40"/>
            </w:pPr>
            <w:r>
              <w:rPr>
                <w:i/>
              </w:rPr>
              <w:t xml:space="preserve">Review of Education</w:t>
            </w:r>
          </w:p>
        </w:tc>
        <w:tc>
          <w:tcPr>
            <w:tcW w:w="1186" w:type="dxa"/>
          </w:tcPr>
          <w:p>
            <w:pPr>
              <w:spacing w:line="240" w:lineRule="auto" w:after="40"/>
            </w:pPr>
            <w:r>
              <w:t xml:space="preserve">74</w:t>
            </w:r>
          </w:p>
        </w:tc>
        <w:tc>
          <w:tcPr>
            <w:tcW w:w="1107" w:type="dxa"/>
          </w:tcPr>
          <w:p>
            <w:pPr>
              <w:spacing w:line="240" w:lineRule="auto" w:after="40"/>
            </w:pPr>
            <w:r>
              <w:t xml:space="preserve">18.5</w:t>
            </w:r>
          </w:p>
        </w:tc>
        <w:tc>
          <w:tcPr>
            <w:tcW w:w="3884" w:type="dxa"/>
          </w:tcPr>
          <w:p>
            <w:pPr>
              <w:spacing w:line="240" w:lineRule="auto" w:after="40"/>
            </w:pPr>
            <w:r>
              <w:t xml:space="preserve">Systematic review of CDL at school level</w:t>
            </w:r>
          </w:p>
        </w:tc>
      </w:tr>
      <w:tr>
        <w:tc>
          <w:tcPr>
            <w:tcW w:w="1539" w:type="dxa"/>
          </w:tcPr>
          <w:p>
            <w:pPr>
              <w:spacing w:line="240" w:lineRule="auto" w:after="40"/>
            </w:pPr>
            <w:r>
              <w:t xml:space="preserve">Pötzsch (2019)</w:t>
            </w:r>
          </w:p>
        </w:tc>
        <w:tc>
          <w:tcPr>
            <w:tcW w:w="1644" w:type="dxa"/>
          </w:tcPr>
          <w:p>
            <w:pPr>
              <w:spacing w:line="240" w:lineRule="auto" w:after="40"/>
            </w:pPr>
            <w:r>
              <w:rPr>
                <w:i/>
              </w:rPr>
              <w:t xml:space="preserve">tripleC</w:t>
            </w:r>
          </w:p>
        </w:tc>
        <w:tc>
          <w:tcPr>
            <w:tcW w:w="1186" w:type="dxa"/>
          </w:tcPr>
          <w:p>
            <w:pPr>
              <w:spacing w:line="240" w:lineRule="auto" w:after="40"/>
            </w:pPr>
            <w:r>
              <w:t xml:space="preserve">71</w:t>
            </w:r>
          </w:p>
        </w:tc>
        <w:tc>
          <w:tcPr>
            <w:tcW w:w="1107" w:type="dxa"/>
          </w:tcPr>
          <w:p>
            <w:pPr>
              <w:spacing w:line="240" w:lineRule="auto" w:after="40"/>
            </w:pPr>
            <w:r>
              <w:t xml:space="preserve">8.9</w:t>
            </w:r>
          </w:p>
        </w:tc>
        <w:tc>
          <w:tcPr>
            <w:tcW w:w="3884" w:type="dxa"/>
          </w:tcPr>
          <w:p>
            <w:pPr>
              <w:spacing w:line="240" w:lineRule="auto" w:after="40"/>
            </w:pPr>
            <w:r>
              <w:t xml:space="preserve">CDL beyond user competence and labour-market qualifications</w:t>
            </w:r>
          </w:p>
        </w:tc>
      </w:tr>
      <w:tr>
        <w:tc>
          <w:tcPr>
            <w:tcW w:w="1539" w:type="dxa"/>
          </w:tcPr>
          <w:p>
            <w:pPr>
              <w:spacing w:line="240" w:lineRule="auto" w:after="40"/>
            </w:pPr>
            <w:r>
              <w:t xml:space="preserve">Hauck (2019)</w:t>
            </w:r>
          </w:p>
        </w:tc>
        <w:tc>
          <w:tcPr>
            <w:tcW w:w="1644" w:type="dxa"/>
          </w:tcPr>
          <w:p>
            <w:pPr>
              <w:spacing w:line="240" w:lineRule="auto" w:after="40"/>
            </w:pPr>
            <w:r>
              <w:rPr>
                <w:i/>
              </w:rPr>
              <w:t xml:space="preserve">European Journal of Language Policy</w:t>
            </w:r>
          </w:p>
        </w:tc>
        <w:tc>
          <w:tcPr>
            <w:tcW w:w="1186" w:type="dxa"/>
          </w:tcPr>
          <w:p>
            <w:pPr>
              <w:spacing w:line="240" w:lineRule="auto" w:after="40"/>
            </w:pPr>
            <w:r>
              <w:t xml:space="preserve">68</w:t>
            </w:r>
          </w:p>
        </w:tc>
        <w:tc>
          <w:tcPr>
            <w:tcW w:w="1107" w:type="dxa"/>
          </w:tcPr>
          <w:p>
            <w:pPr>
              <w:spacing w:line="240" w:lineRule="auto" w:after="40"/>
            </w:pPr>
            <w:r>
              <w:t xml:space="preserve">8.5</w:t>
            </w:r>
          </w:p>
        </w:tc>
        <w:tc>
          <w:tcPr>
            <w:tcW w:w="3884" w:type="dxa"/>
          </w:tcPr>
          <w:p>
            <w:pPr>
              <w:spacing w:line="240" w:lineRule="auto" w:after="40"/>
            </w:pPr>
            <w:r>
              <w:t xml:space="preserve">Virtual exchange for (critical) digital literacy</w:t>
            </w:r>
          </w:p>
        </w:tc>
      </w:tr>
      <w:tr>
        <w:tc>
          <w:tcPr>
            <w:tcW w:w="1539" w:type="dxa"/>
          </w:tcPr>
          <w:p>
            <w:pPr>
              <w:spacing w:line="240" w:lineRule="auto" w:after="40"/>
            </w:pPr>
            <w:r>
              <w:t xml:space="preserve">Moorhouse et al. (2025)</w:t>
            </w:r>
          </w:p>
        </w:tc>
        <w:tc>
          <w:tcPr>
            <w:tcW w:w="1644" w:type="dxa"/>
          </w:tcPr>
          <w:p>
            <w:pPr>
              <w:spacing w:line="240" w:lineRule="auto" w:after="40"/>
            </w:pPr>
            <w:r>
              <w:rPr>
                <w:i/>
              </w:rPr>
              <w:t xml:space="preserve">System</w:t>
            </w:r>
          </w:p>
        </w:tc>
        <w:tc>
          <w:tcPr>
            <w:tcW w:w="1186" w:type="dxa"/>
          </w:tcPr>
          <w:p>
            <w:pPr>
              <w:spacing w:line="240" w:lineRule="auto" w:after="40"/>
            </w:pPr>
            <w:r>
              <w:t xml:space="preserve">49</w:t>
            </w:r>
          </w:p>
        </w:tc>
        <w:tc>
          <w:tcPr>
            <w:tcW w:w="1107" w:type="dxa"/>
          </w:tcPr>
          <w:p>
            <w:pPr>
              <w:spacing w:line="240" w:lineRule="auto" w:after="40"/>
            </w:pPr>
            <w:r>
              <w:t xml:space="preserve">24.5</w:t>
            </w:r>
          </w:p>
        </w:tc>
        <w:tc>
          <w:tcPr>
            <w:tcW w:w="3884" w:type="dxa"/>
          </w:tcPr>
          <w:p>
            <w:pPr>
              <w:spacing w:line="240" w:lineRule="auto" w:after="40"/>
            </w:pPr>
            <w:r>
              <w:t xml:space="preserve">Generative AI tools and empowerment in L2 academic writing</w:t>
            </w:r>
          </w:p>
        </w:tc>
      </w:tr>
      <w:tr>
        <w:tc>
          <w:tcPr>
            <w:tcW w:w="1539" w:type="dxa"/>
          </w:tcPr>
          <w:p>
            <w:pPr>
              <w:spacing w:line="240" w:lineRule="auto" w:after="40"/>
            </w:pPr>
            <w:r>
              <w:t xml:space="preserve">Castellví et al. (2020)</w:t>
            </w:r>
          </w:p>
        </w:tc>
        <w:tc>
          <w:tcPr>
            <w:tcW w:w="1644" w:type="dxa"/>
          </w:tcPr>
          <w:p>
            <w:pPr>
              <w:spacing w:line="240" w:lineRule="auto" w:after="40"/>
            </w:pPr>
            <w:r>
              <w:rPr>
                <w:i/>
              </w:rPr>
              <w:t xml:space="preserve">Social Sciences</w:t>
            </w:r>
          </w:p>
        </w:tc>
        <w:tc>
          <w:tcPr>
            <w:tcW w:w="1186" w:type="dxa"/>
          </w:tcPr>
          <w:p>
            <w:pPr>
              <w:spacing w:line="240" w:lineRule="auto" w:after="40"/>
            </w:pPr>
            <w:r>
              <w:t xml:space="preserve">49</w:t>
            </w:r>
          </w:p>
        </w:tc>
        <w:tc>
          <w:tcPr>
            <w:tcW w:w="1107" w:type="dxa"/>
          </w:tcPr>
          <w:p>
            <w:pPr>
              <w:spacing w:line="240" w:lineRule="auto" w:after="40"/>
            </w:pPr>
            <w:r>
              <w:t xml:space="preserve">7.0</w:t>
            </w:r>
          </w:p>
        </w:tc>
        <w:tc>
          <w:tcPr>
            <w:tcW w:w="3884" w:type="dxa"/>
          </w:tcPr>
          <w:p>
            <w:pPr>
              <w:spacing w:line="240" w:lineRule="auto" w:after="40"/>
            </w:pPr>
            <w:r>
              <w:t xml:space="preserve">Pre-service teachers' CDL skills and attitudes towards social problems</w:t>
            </w:r>
          </w:p>
        </w:tc>
      </w:tr>
      <w:tr>
        <w:tc>
          <w:tcPr>
            <w:tcW w:w="1539" w:type="dxa"/>
          </w:tcPr>
          <w:p>
            <w:pPr>
              <w:spacing w:line="240" w:lineRule="auto" w:after="40"/>
            </w:pPr>
            <w:r>
              <w:t xml:space="preserve">Talib (2018)</w:t>
            </w:r>
          </w:p>
        </w:tc>
        <w:tc>
          <w:tcPr>
            <w:tcW w:w="1644" w:type="dxa"/>
          </w:tcPr>
          <w:p>
            <w:pPr>
              <w:spacing w:line="240" w:lineRule="auto" w:after="40"/>
            </w:pPr>
            <w:r>
              <w:rPr>
                <w:i/>
              </w:rPr>
              <w:t xml:space="preserve">E-Learning and Digital Media</w:t>
            </w:r>
          </w:p>
        </w:tc>
        <w:tc>
          <w:tcPr>
            <w:tcW w:w="1186" w:type="dxa"/>
          </w:tcPr>
          <w:p>
            <w:pPr>
              <w:spacing w:line="240" w:lineRule="auto" w:after="40"/>
            </w:pPr>
            <w:r>
              <w:t xml:space="preserve">49</w:t>
            </w:r>
          </w:p>
        </w:tc>
        <w:tc>
          <w:tcPr>
            <w:tcW w:w="1107" w:type="dxa"/>
          </w:tcPr>
          <w:p>
            <w:pPr>
              <w:spacing w:line="240" w:lineRule="auto" w:after="40"/>
            </w:pPr>
            <w:r>
              <w:t xml:space="preserve">5.4</w:t>
            </w:r>
          </w:p>
        </w:tc>
        <w:tc>
          <w:tcPr>
            <w:tcW w:w="3884" w:type="dxa"/>
          </w:tcPr>
          <w:p>
            <w:pPr>
              <w:spacing w:line="240" w:lineRule="auto" w:after="40"/>
            </w:pPr>
            <w:r>
              <w:t xml:space="preserve">Social media pedagogy for multimodal CDL</w:t>
            </w:r>
          </w:p>
        </w:tc>
      </w:tr>
      <w:tr>
        <w:tc>
          <w:tcPr>
            <w:tcW w:w="1539" w:type="dxa"/>
          </w:tcPr>
          <w:p>
            <w:pPr>
              <w:spacing w:line="240" w:lineRule="auto" w:after="40"/>
            </w:pPr>
            <w:r>
              <w:t xml:space="preserve">Mesquita-Romero et al. (2022)</w:t>
            </w:r>
          </w:p>
        </w:tc>
        <w:tc>
          <w:tcPr>
            <w:tcW w:w="1644" w:type="dxa"/>
          </w:tcPr>
          <w:p>
            <w:pPr>
              <w:spacing w:line="240" w:lineRule="auto" w:after="40"/>
            </w:pPr>
            <w:r>
              <w:rPr>
                <w:i/>
              </w:rPr>
              <w:t xml:space="preserve">Comunicar</w:t>
            </w:r>
          </w:p>
        </w:tc>
        <w:tc>
          <w:tcPr>
            <w:tcW w:w="1186" w:type="dxa"/>
          </w:tcPr>
          <w:p>
            <w:pPr>
              <w:spacing w:line="240" w:lineRule="auto" w:after="40"/>
            </w:pPr>
            <w:r>
              <w:t xml:space="preserve">46</w:t>
            </w:r>
          </w:p>
        </w:tc>
        <w:tc>
          <w:tcPr>
            <w:tcW w:w="1107" w:type="dxa"/>
          </w:tcPr>
          <w:p>
            <w:pPr>
              <w:spacing w:line="240" w:lineRule="auto" w:after="40"/>
            </w:pPr>
            <w:r>
              <w:t xml:space="preserve">9.2</w:t>
            </w:r>
          </w:p>
        </w:tc>
        <w:tc>
          <w:tcPr>
            <w:tcW w:w="3884" w:type="dxa"/>
          </w:tcPr>
          <w:p>
            <w:pPr>
              <w:spacing w:line="240" w:lineRule="auto" w:after="40"/>
            </w:pPr>
            <w:r>
              <w:t xml:space="preserve">Critical media literacy and students' competences</w:t>
            </w:r>
          </w:p>
        </w:tc>
      </w:tr>
      <w:tr>
        <w:tc>
          <w:tcPr>
            <w:tcW w:w="1539" w:type="dxa"/>
          </w:tcPr>
          <w:p>
            <w:pPr>
              <w:spacing w:line="240" w:lineRule="auto" w:after="40"/>
            </w:pPr>
            <w:r>
              <w:t xml:space="preserve">Gouseti et al. (2024)</w:t>
            </w:r>
          </w:p>
        </w:tc>
        <w:tc>
          <w:tcPr>
            <w:tcW w:w="1644" w:type="dxa"/>
          </w:tcPr>
          <w:p>
            <w:pPr>
              <w:spacing w:line="240" w:lineRule="auto" w:after="40"/>
            </w:pPr>
            <w:r>
              <w:rPr>
                <w:i/>
              </w:rPr>
              <w:t xml:space="preserve">Educational Review</w:t>
            </w:r>
          </w:p>
        </w:tc>
        <w:tc>
          <w:tcPr>
            <w:tcW w:w="1186" w:type="dxa"/>
          </w:tcPr>
          <w:p>
            <w:pPr>
              <w:spacing w:line="240" w:lineRule="auto" w:after="40"/>
            </w:pPr>
            <w:r>
              <w:t xml:space="preserve">45</w:t>
            </w:r>
          </w:p>
        </w:tc>
        <w:tc>
          <w:tcPr>
            <w:tcW w:w="1107" w:type="dxa"/>
          </w:tcPr>
          <w:p>
            <w:pPr>
              <w:spacing w:line="240" w:lineRule="auto" w:after="40"/>
            </w:pPr>
            <w:r>
              <w:t xml:space="preserve">15.0</w:t>
            </w:r>
          </w:p>
        </w:tc>
        <w:tc>
          <w:tcPr>
            <w:tcW w:w="3884" w:type="dxa"/>
          </w:tcPr>
          <w:p>
            <w:pPr>
              <w:spacing w:line="240" w:lineRule="auto" w:after="40"/>
            </w:pPr>
            <w:r>
              <w:t xml:space="preserve">Teachers' perceptions of CDL and their teaching practices</w:t>
            </w:r>
          </w:p>
        </w:tc>
      </w:tr>
      <w:tr>
        <w:tc>
          <w:tcPr>
            <w:tcW w:w="1539" w:type="dxa"/>
          </w:tcPr>
          <w:p>
            <w:pPr>
              <w:spacing w:line="240" w:lineRule="auto" w:after="40"/>
            </w:pPr>
            <w:r>
              <w:t xml:space="preserve">Tagg &amp; Seargeant (2021)</w:t>
            </w:r>
          </w:p>
        </w:tc>
        <w:tc>
          <w:tcPr>
            <w:tcW w:w="1644" w:type="dxa"/>
          </w:tcPr>
          <w:p>
            <w:pPr>
              <w:spacing w:line="240" w:lineRule="auto" w:after="40"/>
            </w:pPr>
            <w:r>
              <w:rPr>
                <w:i/>
              </w:rPr>
              <w:t xml:space="preserve">Linguistics and Education</w:t>
            </w:r>
          </w:p>
        </w:tc>
        <w:tc>
          <w:tcPr>
            <w:tcW w:w="1186" w:type="dxa"/>
          </w:tcPr>
          <w:p>
            <w:pPr>
              <w:spacing w:line="240" w:lineRule="auto" w:after="40"/>
            </w:pPr>
            <w:r>
              <w:t xml:space="preserve">44</w:t>
            </w:r>
          </w:p>
        </w:tc>
        <w:tc>
          <w:tcPr>
            <w:tcW w:w="1107" w:type="dxa"/>
          </w:tcPr>
          <w:p>
            <w:pPr>
              <w:spacing w:line="240" w:lineRule="auto" w:after="40"/>
            </w:pPr>
            <w:r>
              <w:t xml:space="preserve">7.3</w:t>
            </w:r>
          </w:p>
        </w:tc>
        <w:tc>
          <w:tcPr>
            <w:tcW w:w="3884" w:type="dxa"/>
          </w:tcPr>
          <w:p>
            <w:pPr>
              <w:spacing w:line="240" w:lineRule="auto" w:after="40"/>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3"/>
      </w:pPr>
      <w:r>
        <w:t xml:space="preserve">Validation on full texts</w:t>
      </w:r>
    </w:p>
    <w:p>
      <w:pPr/>
      <w:r>
        <w:t xml:space="preserve">Of the 38 studies read in full, 25 (65.8%, 95% CI 50–79%) met the eligibility criteria. All 13 exclusions had the same reason: CDL was not a central focus. In some, CDL appeared only in a closing recommendation, as in a survey of students' views on regulating ChatGPT (López-Fernández et al., 2026). In others, "critical" meant judging the credibility of sources (Ketzer-Nöltge &amp; Markovic, 2022; Lalira &amp; Warouw, 2026) or holding ethical beliefs about AI (Bozkurt et al., 2026). Fifteen decisions were borderline. Excluding all of them would leave 19 eligible studies (50%); including all of them would give 34 (89%).</w:t>
      </w:r>
    </w:p>
    <w:p>
      <w:pPr/>
      <w:r>
        <w:t xml:space="preserve">Eligibility depended on how a study had entered the review. It was confirmed for 20 of the 25 sampled studies on which both screening passes had agreed, but for only 3 of the 10 admitted under the second branch of the adjudication rule, a title referring to a digital technology and two of the three indicators. It was also lower among studies coded for AI (5 of 11) and in the latest period (16 of 26, against 7 of 10 in 2020–2023 and both studies from 2016–2019). The numbers are small, but they point the same way: much of the recent growth of the corpus, and of its work on AI, consists of studies that mention CDL without making it their concern.</w:t>
      </w:r>
    </w:p>
    <w:p>
      <w:pPr/>
      <w:r>
        <w:t xml:space="preserve">Table 8 compares the dictionary codes with the full-text codes of the 25 eligible studies. The AI dictionary matched the full texts exactly (5 of 5, κ = 1.00), and the codes for secondary education, social media and race, gender and decolonial perspectives came close (κ = .80 to .88). The other dictionaries erred in one of two directions. Some assigned codes that the full text did not support: four of the five studies coded for early childhood and primary education were set at another level, and three of the four coded as conceptual were not conceptual studies. Others missed most of what the full texts contained. They found 1 of the 6 studies that critique disinformation, 1 of the 7 on privacy and surveillance, 1 of the 5 in which learners produce digital content, 2 of the 6 that adopt Freirean critical pedagogy and 5 of the 10 that describe an intervention.</w:t>
      </w:r>
    </w:p>
    <w:p>
      <w:pPr/>
      <w:r>
        <w:rPr>
          <w:b/>
        </w:rPr>
        <w:t xml:space="preserve">Table 8.</w:t>
      </w:r>
      <w:r>
        <w:t xml:space="preserve"> Dictionary codes compared with full-text codes in the eligible studies of the validation sample (n = 25)</w:t>
      </w:r>
    </w:p>
    <w:tbl>
      <w:tblPr>
        <w:tblStyle w:val="TableGrid"/>
        <w:tblW w:w="0" w:type="auto"/>
        <w:tblLayout w:type="fixed"/>
        <w:tblLook w:val="04A0" w:firstRow="1" w:lastRow="0" w:firstColumn="0" w:lastColumn="0" w:noHBand="0" w:noVBand="1"/>
      </w:tblPr>
      <w:tblGrid>
        <w:gridCol w:w="2906"/>
        <w:gridCol w:w="1146"/>
        <w:gridCol w:w="1305"/>
        <w:gridCol w:w="720"/>
        <w:gridCol w:w="1225"/>
        <w:gridCol w:w="1337"/>
        <w:gridCol w:w="720"/>
      </w:tblGrid>
      <w:tr>
        <w:trPr>
          <w:tblHeader/>
        </w:trPr>
        <w:tc>
          <w:tcPr>
            <w:tcW w:w="2906" w:type="dxa"/>
            <w:shd w:val="clear" w:color="auto" w:fill="F2F2F2"/>
          </w:tcPr>
          <w:p>
            <w:pPr>
              <w:spacing w:line="240" w:lineRule="auto" w:after="40"/>
            </w:pPr>
            <w:r>
              <w:t xml:space="preserve">Category</w:t>
            </w:r>
          </w:p>
        </w:tc>
        <w:tc>
          <w:tcPr>
            <w:tcW w:w="1146" w:type="dxa"/>
            <w:shd w:val="clear" w:color="auto" w:fill="F2F2F2"/>
          </w:tcPr>
          <w:p>
            <w:pPr>
              <w:spacing w:line="240" w:lineRule="auto" w:after="40"/>
            </w:pPr>
            <w:r>
              <w:t xml:space="preserve">Full text</w:t>
            </w:r>
          </w:p>
        </w:tc>
        <w:tc>
          <w:tcPr>
            <w:tcW w:w="1305" w:type="dxa"/>
            <w:shd w:val="clear" w:color="auto" w:fill="F2F2F2"/>
          </w:tcPr>
          <w:p>
            <w:pPr>
              <w:spacing w:line="240" w:lineRule="auto" w:after="40"/>
            </w:pPr>
            <w:r>
              <w:t xml:space="preserve">Dictionary</w:t>
            </w:r>
          </w:p>
        </w:tc>
        <w:tc>
          <w:tcPr>
            <w:tcW w:w="720" w:type="dxa"/>
            <w:shd w:val="clear" w:color="auto" w:fill="F2F2F2"/>
          </w:tcPr>
          <w:p>
            <w:pPr>
              <w:spacing w:line="240" w:lineRule="auto" w:after="40"/>
            </w:pPr>
            <w:r>
              <w:t xml:space="preserve">Both</w:t>
            </w:r>
          </w:p>
        </w:tc>
        <w:tc>
          <w:tcPr>
            <w:tcW w:w="1225" w:type="dxa"/>
            <w:shd w:val="clear" w:color="auto" w:fill="F2F2F2"/>
          </w:tcPr>
          <w:p>
            <w:pPr>
              <w:spacing w:line="240" w:lineRule="auto" w:after="40"/>
            </w:pPr>
            <w:r>
              <w:t xml:space="preserve">Precision</w:t>
            </w:r>
          </w:p>
        </w:tc>
        <w:tc>
          <w:tcPr>
            <w:tcW w:w="1337" w:type="dxa"/>
            <w:shd w:val="clear" w:color="auto" w:fill="F2F2F2"/>
          </w:tcPr>
          <w:p>
            <w:pPr>
              <w:spacing w:line="240" w:lineRule="auto" w:after="40"/>
            </w:pPr>
            <w:r>
              <w:t xml:space="preserve">Sensitivity</w:t>
            </w:r>
          </w:p>
        </w:tc>
        <w:tc>
          <w:tcPr>
            <w:tcW w:w="720" w:type="dxa"/>
            <w:shd w:val="clear" w:color="auto" w:fill="F2F2F2"/>
          </w:tcPr>
          <w:p>
            <w:pPr>
              <w:spacing w:line="240" w:lineRule="auto" w:after="40"/>
            </w:pPr>
            <w:r>
              <w:t xml:space="preserve">κ</w:t>
            </w:r>
          </w:p>
        </w:tc>
      </w:tr>
      <w:tr>
        <w:tc>
          <w:tcPr>
            <w:tcW w:w="2906" w:type="dxa"/>
          </w:tcPr>
          <w:p>
            <w:pPr>
              <w:spacing w:line="240" w:lineRule="auto" w:after="40"/>
            </w:pPr>
            <w:r>
              <w:rPr>
                <w:b/>
              </w:rPr>
              <w:t xml:space="preserve">Educational level</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Early childhood and primary</w:t>
            </w:r>
          </w:p>
        </w:tc>
        <w:tc>
          <w:tcPr>
            <w:tcW w:w="1146" w:type="dxa"/>
          </w:tcPr>
          <w:p>
            <w:pPr>
              <w:spacing w:line="240" w:lineRule="auto" w:after="40"/>
            </w:pPr>
            <w:r>
              <w:t xml:space="preserve">1</w:t>
            </w:r>
          </w:p>
        </w:tc>
        <w:tc>
          <w:tcPr>
            <w:tcW w:w="1305" w:type="dxa"/>
          </w:tcPr>
          <w:p>
            <w:pPr>
              <w:spacing w:line="240" w:lineRule="auto" w:after="40"/>
            </w:pPr>
            <w:r>
              <w:t xml:space="preserve">5</w:t>
            </w:r>
          </w:p>
        </w:tc>
        <w:tc>
          <w:tcPr>
            <w:tcW w:w="720" w:type="dxa"/>
          </w:tcPr>
          <w:p>
            <w:pPr>
              <w:spacing w:line="240" w:lineRule="auto" w:after="40"/>
            </w:pPr>
            <w:r>
              <w:t xml:space="preserve">1</w:t>
            </w:r>
          </w:p>
        </w:tc>
        <w:tc>
          <w:tcPr>
            <w:tcW w:w="1225" w:type="dxa"/>
          </w:tcPr>
          <w:p>
            <w:pPr>
              <w:spacing w:line="240" w:lineRule="auto" w:after="40"/>
            </w:pPr>
            <w:r>
              <w:t xml:space="preserve">.20</w:t>
            </w:r>
          </w:p>
        </w:tc>
        <w:tc>
          <w:tcPr>
            <w:tcW w:w="1337" w:type="dxa"/>
          </w:tcPr>
          <w:p>
            <w:pPr>
              <w:spacing w:line="240" w:lineRule="auto" w:after="40"/>
            </w:pPr>
            <w:r>
              <w:t xml:space="preserve">1.00</w:t>
            </w:r>
          </w:p>
        </w:tc>
        <w:tc>
          <w:tcPr>
            <w:tcW w:w="720" w:type="dxa"/>
          </w:tcPr>
          <w:p>
            <w:pPr>
              <w:spacing w:line="240" w:lineRule="auto" w:after="40"/>
            </w:pPr>
            <w:r>
              <w:t xml:space="preserve">.29</w:t>
            </w:r>
          </w:p>
        </w:tc>
      </w:tr>
      <w:tr>
        <w:tc>
          <w:tcPr>
            <w:tcW w:w="2906" w:type="dxa"/>
          </w:tcPr>
          <w:p>
            <w:pPr>
              <w:spacing w:line="240" w:lineRule="auto" w:after="40"/>
            </w:pPr>
            <w:r>
              <w:t xml:space="preserve">Secondary</w:t>
            </w:r>
          </w:p>
        </w:tc>
        <w:tc>
          <w:tcPr>
            <w:tcW w:w="1146" w:type="dxa"/>
          </w:tcPr>
          <w:p>
            <w:pPr>
              <w:spacing w:line="240" w:lineRule="auto" w:after="40"/>
            </w:pPr>
            <w:r>
              <w:t xml:space="preserve">5</w:t>
            </w:r>
          </w:p>
        </w:tc>
        <w:tc>
          <w:tcPr>
            <w:tcW w:w="1305" w:type="dxa"/>
          </w:tcPr>
          <w:p>
            <w:pPr>
              <w:spacing w:line="240" w:lineRule="auto" w:after="40"/>
            </w:pPr>
            <w:r>
              <w:t xml:space="preserve">6</w:t>
            </w:r>
          </w:p>
        </w:tc>
        <w:tc>
          <w:tcPr>
            <w:tcW w:w="720" w:type="dxa"/>
          </w:tcPr>
          <w:p>
            <w:pPr>
              <w:spacing w:line="240" w:lineRule="auto" w:after="40"/>
            </w:pPr>
            <w:r>
              <w:t xml:space="preserve">5</w:t>
            </w:r>
          </w:p>
        </w:tc>
        <w:tc>
          <w:tcPr>
            <w:tcW w:w="1225" w:type="dxa"/>
          </w:tcPr>
          <w:p>
            <w:pPr>
              <w:spacing w:line="240" w:lineRule="auto" w:after="40"/>
            </w:pPr>
            <w:r>
              <w:t xml:space="preserve">.83</w:t>
            </w:r>
          </w:p>
        </w:tc>
        <w:tc>
          <w:tcPr>
            <w:tcW w:w="1337" w:type="dxa"/>
          </w:tcPr>
          <w:p>
            <w:pPr>
              <w:spacing w:line="240" w:lineRule="auto" w:after="40"/>
            </w:pPr>
            <w:r>
              <w:t xml:space="preserve">1.00</w:t>
            </w:r>
          </w:p>
        </w:tc>
        <w:tc>
          <w:tcPr>
            <w:tcW w:w="720" w:type="dxa"/>
          </w:tcPr>
          <w:p>
            <w:pPr>
              <w:spacing w:line="240" w:lineRule="auto" w:after="40"/>
            </w:pPr>
            <w:r>
              <w:t xml:space="preserve">.88</w:t>
            </w:r>
          </w:p>
        </w:tc>
      </w:tr>
      <w:tr>
        <w:tc>
          <w:tcPr>
            <w:tcW w:w="2906" w:type="dxa"/>
          </w:tcPr>
          <w:p>
            <w:pPr>
              <w:spacing w:line="240" w:lineRule="auto" w:after="40"/>
            </w:pPr>
            <w:r>
              <w:t xml:space="preserve">Higher education</w:t>
            </w:r>
          </w:p>
        </w:tc>
        <w:tc>
          <w:tcPr>
            <w:tcW w:w="1146" w:type="dxa"/>
          </w:tcPr>
          <w:p>
            <w:pPr>
              <w:spacing w:line="240" w:lineRule="auto" w:after="40"/>
            </w:pPr>
            <w:r>
              <w:t xml:space="preserve">5</w:t>
            </w:r>
          </w:p>
        </w:tc>
        <w:tc>
          <w:tcPr>
            <w:tcW w:w="1305" w:type="dxa"/>
          </w:tcPr>
          <w:p>
            <w:pPr>
              <w:spacing w:line="240" w:lineRule="auto" w:after="40"/>
            </w:pPr>
            <w:r>
              <w:t xml:space="preserve">8</w:t>
            </w:r>
          </w:p>
        </w:tc>
        <w:tc>
          <w:tcPr>
            <w:tcW w:w="720" w:type="dxa"/>
          </w:tcPr>
          <w:p>
            <w:pPr>
              <w:spacing w:line="240" w:lineRule="auto" w:after="40"/>
            </w:pPr>
            <w:r>
              <w:t xml:space="preserve">5</w:t>
            </w:r>
          </w:p>
        </w:tc>
        <w:tc>
          <w:tcPr>
            <w:tcW w:w="1225" w:type="dxa"/>
          </w:tcPr>
          <w:p>
            <w:pPr>
              <w:spacing w:line="240" w:lineRule="auto" w:after="40"/>
            </w:pPr>
            <w:r>
              <w:t xml:space="preserve">.63</w:t>
            </w:r>
          </w:p>
        </w:tc>
        <w:tc>
          <w:tcPr>
            <w:tcW w:w="1337" w:type="dxa"/>
          </w:tcPr>
          <w:p>
            <w:pPr>
              <w:spacing w:line="240" w:lineRule="auto" w:after="40"/>
            </w:pPr>
            <w:r>
              <w:t xml:space="preserve">1.00</w:t>
            </w:r>
          </w:p>
        </w:tc>
        <w:tc>
          <w:tcPr>
            <w:tcW w:w="720" w:type="dxa"/>
          </w:tcPr>
          <w:p>
            <w:pPr>
              <w:spacing w:line="240" w:lineRule="auto" w:after="40"/>
            </w:pPr>
            <w:r>
              <w:t xml:space="preserve">.69</w:t>
            </w:r>
          </w:p>
        </w:tc>
      </w:tr>
      <w:tr>
        <w:tc>
          <w:tcPr>
            <w:tcW w:w="2906" w:type="dxa"/>
          </w:tcPr>
          <w:p>
            <w:pPr>
              <w:spacing w:line="240" w:lineRule="auto" w:after="40"/>
            </w:pPr>
            <w:r>
              <w:t xml:space="preserve">Teacher education</w:t>
            </w:r>
          </w:p>
        </w:tc>
        <w:tc>
          <w:tcPr>
            <w:tcW w:w="1146" w:type="dxa"/>
          </w:tcPr>
          <w:p>
            <w:pPr>
              <w:spacing w:line="240" w:lineRule="auto" w:after="40"/>
            </w:pPr>
            <w:r>
              <w:t xml:space="preserve">10</w:t>
            </w:r>
          </w:p>
        </w:tc>
        <w:tc>
          <w:tcPr>
            <w:tcW w:w="1305" w:type="dxa"/>
          </w:tcPr>
          <w:p>
            <w:pPr>
              <w:spacing w:line="240" w:lineRule="auto" w:after="40"/>
            </w:pPr>
            <w:r>
              <w:t xml:space="preserve">10</w:t>
            </w:r>
          </w:p>
        </w:tc>
        <w:tc>
          <w:tcPr>
            <w:tcW w:w="720" w:type="dxa"/>
          </w:tcPr>
          <w:p>
            <w:pPr>
              <w:spacing w:line="240" w:lineRule="auto" w:after="40"/>
            </w:pPr>
            <w:r>
              <w:t xml:space="preserve">8</w:t>
            </w:r>
          </w:p>
        </w:tc>
        <w:tc>
          <w:tcPr>
            <w:tcW w:w="1225" w:type="dxa"/>
          </w:tcPr>
          <w:p>
            <w:pPr>
              <w:spacing w:line="240" w:lineRule="auto" w:after="40"/>
            </w:pPr>
            <w:r>
              <w:t xml:space="preserve">.80</w:t>
            </w:r>
          </w:p>
        </w:tc>
        <w:tc>
          <w:tcPr>
            <w:tcW w:w="1337" w:type="dxa"/>
          </w:tcPr>
          <w:p>
            <w:pPr>
              <w:spacing w:line="240" w:lineRule="auto" w:after="40"/>
            </w:pPr>
            <w:r>
              <w:t xml:space="preserve">.80</w:t>
            </w:r>
          </w:p>
        </w:tc>
        <w:tc>
          <w:tcPr>
            <w:tcW w:w="720" w:type="dxa"/>
          </w:tcPr>
          <w:p>
            <w:pPr>
              <w:spacing w:line="240" w:lineRule="auto" w:after="40"/>
            </w:pPr>
            <w:r>
              <w:t xml:space="preserve">.67</w:t>
            </w:r>
          </w:p>
        </w:tc>
      </w:tr>
      <w:tr>
        <w:tc>
          <w:tcPr>
            <w:tcW w:w="2906" w:type="dxa"/>
          </w:tcPr>
          <w:p>
            <w:pPr>
              <w:spacing w:line="240" w:lineRule="auto" w:after="40"/>
            </w:pPr>
            <w:r>
              <w:rPr>
                <w:b/>
              </w:rPr>
              <w:t xml:space="preserve">Design</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Literature review</w:t>
            </w:r>
          </w:p>
        </w:tc>
        <w:tc>
          <w:tcPr>
            <w:tcW w:w="1146" w:type="dxa"/>
          </w:tcPr>
          <w:p>
            <w:pPr>
              <w:spacing w:line="240" w:lineRule="auto" w:after="40"/>
            </w:pPr>
            <w:r>
              <w:t xml:space="preserve">2</w:t>
            </w:r>
          </w:p>
        </w:tc>
        <w:tc>
          <w:tcPr>
            <w:tcW w:w="1305" w:type="dxa"/>
          </w:tcPr>
          <w:p>
            <w:pPr>
              <w:spacing w:line="240" w:lineRule="auto" w:after="40"/>
            </w:pPr>
            <w:r>
              <w:t xml:space="preserve">3</w:t>
            </w:r>
          </w:p>
        </w:tc>
        <w:tc>
          <w:tcPr>
            <w:tcW w:w="720" w:type="dxa"/>
          </w:tcPr>
          <w:p>
            <w:pPr>
              <w:spacing w:line="240" w:lineRule="auto" w:after="40"/>
            </w:pPr>
            <w:r>
              <w:t xml:space="preserve">1</w:t>
            </w:r>
          </w:p>
        </w:tc>
        <w:tc>
          <w:tcPr>
            <w:tcW w:w="1225" w:type="dxa"/>
          </w:tcPr>
          <w:p>
            <w:pPr>
              <w:spacing w:line="240" w:lineRule="auto" w:after="40"/>
            </w:pPr>
            <w:r>
              <w:t xml:space="preserve">.33</w:t>
            </w:r>
          </w:p>
        </w:tc>
        <w:tc>
          <w:tcPr>
            <w:tcW w:w="1337" w:type="dxa"/>
          </w:tcPr>
          <w:p>
            <w:pPr>
              <w:spacing w:line="240" w:lineRule="auto" w:after="40"/>
            </w:pPr>
            <w:r>
              <w:t xml:space="preserve">.50</w:t>
            </w:r>
          </w:p>
        </w:tc>
        <w:tc>
          <w:tcPr>
            <w:tcW w:w="720" w:type="dxa"/>
          </w:tcPr>
          <w:p>
            <w:pPr>
              <w:spacing w:line="240" w:lineRule="auto" w:after="40"/>
            </w:pPr>
            <w:r>
              <w:t xml:space="preserve">.34</w:t>
            </w:r>
          </w:p>
        </w:tc>
      </w:tr>
      <w:tr>
        <w:tc>
          <w:tcPr>
            <w:tcW w:w="2906" w:type="dxa"/>
          </w:tcPr>
          <w:p>
            <w:pPr>
              <w:spacing w:line="240" w:lineRule="auto" w:after="40"/>
            </w:pPr>
            <w:r>
              <w:t xml:space="preserve">Conceptual or theoretical</w:t>
            </w:r>
          </w:p>
        </w:tc>
        <w:tc>
          <w:tcPr>
            <w:tcW w:w="1146" w:type="dxa"/>
          </w:tcPr>
          <w:p>
            <w:pPr>
              <w:spacing w:line="240" w:lineRule="auto" w:after="40"/>
            </w:pPr>
            <w:r>
              <w:t xml:space="preserve">2</w:t>
            </w:r>
          </w:p>
        </w:tc>
        <w:tc>
          <w:tcPr>
            <w:tcW w:w="1305" w:type="dxa"/>
          </w:tcPr>
          <w:p>
            <w:pPr>
              <w:spacing w:line="240" w:lineRule="auto" w:after="40"/>
            </w:pPr>
            <w:r>
              <w:t xml:space="preserve">4</w:t>
            </w:r>
          </w:p>
        </w:tc>
        <w:tc>
          <w:tcPr>
            <w:tcW w:w="720" w:type="dxa"/>
          </w:tcPr>
          <w:p>
            <w:pPr>
              <w:spacing w:line="240" w:lineRule="auto" w:after="40"/>
            </w:pPr>
            <w:r>
              <w:t xml:space="preserve">1</w:t>
            </w:r>
          </w:p>
        </w:tc>
        <w:tc>
          <w:tcPr>
            <w:tcW w:w="1225" w:type="dxa"/>
          </w:tcPr>
          <w:p>
            <w:pPr>
              <w:spacing w:line="240" w:lineRule="auto" w:after="40"/>
            </w:pPr>
            <w:r>
              <w:t xml:space="preserve">.25</w:t>
            </w:r>
          </w:p>
        </w:tc>
        <w:tc>
          <w:tcPr>
            <w:tcW w:w="1337" w:type="dxa"/>
          </w:tcPr>
          <w:p>
            <w:pPr>
              <w:spacing w:line="240" w:lineRule="auto" w:after="40"/>
            </w:pPr>
            <w:r>
              <w:t xml:space="preserve">.50</w:t>
            </w:r>
          </w:p>
        </w:tc>
        <w:tc>
          <w:tcPr>
            <w:tcW w:w="720" w:type="dxa"/>
          </w:tcPr>
          <w:p>
            <w:pPr>
              <w:spacing w:line="240" w:lineRule="auto" w:after="40"/>
            </w:pPr>
            <w:r>
              <w:t xml:space="preserve">.25</w:t>
            </w:r>
          </w:p>
        </w:tc>
      </w:tr>
      <w:tr>
        <w:tc>
          <w:tcPr>
            <w:tcW w:w="2906" w:type="dxa"/>
          </w:tcPr>
          <w:p>
            <w:pPr>
              <w:spacing w:line="240" w:lineRule="auto" w:after="40"/>
            </w:pPr>
            <w:r>
              <w:t xml:space="preserve">Qualitative</w:t>
            </w:r>
          </w:p>
        </w:tc>
        <w:tc>
          <w:tcPr>
            <w:tcW w:w="1146" w:type="dxa"/>
          </w:tcPr>
          <w:p>
            <w:pPr>
              <w:spacing w:line="240" w:lineRule="auto" w:after="40"/>
            </w:pPr>
            <w:r>
              <w:t xml:space="preserve">17</w:t>
            </w:r>
          </w:p>
        </w:tc>
        <w:tc>
          <w:tcPr>
            <w:tcW w:w="1305" w:type="dxa"/>
          </w:tcPr>
          <w:p>
            <w:pPr>
              <w:spacing w:line="240" w:lineRule="auto" w:after="40"/>
            </w:pPr>
            <w:r>
              <w:t xml:space="preserve">14</w:t>
            </w:r>
          </w:p>
        </w:tc>
        <w:tc>
          <w:tcPr>
            <w:tcW w:w="720" w:type="dxa"/>
          </w:tcPr>
          <w:p>
            <w:pPr>
              <w:spacing w:line="240" w:lineRule="auto" w:after="40"/>
            </w:pPr>
            <w:r>
              <w:t xml:space="preserve">13</w:t>
            </w:r>
          </w:p>
        </w:tc>
        <w:tc>
          <w:tcPr>
            <w:tcW w:w="1225" w:type="dxa"/>
          </w:tcPr>
          <w:p>
            <w:pPr>
              <w:spacing w:line="240" w:lineRule="auto" w:after="40"/>
            </w:pPr>
            <w:r>
              <w:t xml:space="preserve">.93</w:t>
            </w:r>
          </w:p>
        </w:tc>
        <w:tc>
          <w:tcPr>
            <w:tcW w:w="1337" w:type="dxa"/>
          </w:tcPr>
          <w:p>
            <w:pPr>
              <w:spacing w:line="240" w:lineRule="auto" w:after="40"/>
            </w:pPr>
            <w:r>
              <w:t xml:space="preserve">.76</w:t>
            </w:r>
          </w:p>
        </w:tc>
        <w:tc>
          <w:tcPr>
            <w:tcW w:w="720" w:type="dxa"/>
          </w:tcPr>
          <w:p>
            <w:pPr>
              <w:spacing w:line="240" w:lineRule="auto" w:after="40"/>
            </w:pPr>
            <w:r>
              <w:t xml:space="preserve">.58</w:t>
            </w:r>
          </w:p>
        </w:tc>
      </w:tr>
      <w:tr>
        <w:tc>
          <w:tcPr>
            <w:tcW w:w="2906" w:type="dxa"/>
          </w:tcPr>
          <w:p>
            <w:pPr>
              <w:spacing w:line="240" w:lineRule="auto" w:after="40"/>
            </w:pPr>
            <w:r>
              <w:t xml:space="preserve">Quantitative</w:t>
            </w:r>
          </w:p>
        </w:tc>
        <w:tc>
          <w:tcPr>
            <w:tcW w:w="1146" w:type="dxa"/>
          </w:tcPr>
          <w:p>
            <w:pPr>
              <w:spacing w:line="240" w:lineRule="auto" w:after="40"/>
            </w:pPr>
            <w:r>
              <w:t xml:space="preserve">7</w:t>
            </w:r>
          </w:p>
        </w:tc>
        <w:tc>
          <w:tcPr>
            <w:tcW w:w="1305" w:type="dxa"/>
          </w:tcPr>
          <w:p>
            <w:pPr>
              <w:spacing w:line="240" w:lineRule="auto" w:after="40"/>
            </w:pPr>
            <w:r>
              <w:t xml:space="preserve">6</w:t>
            </w:r>
          </w:p>
        </w:tc>
        <w:tc>
          <w:tcPr>
            <w:tcW w:w="720" w:type="dxa"/>
          </w:tcPr>
          <w:p>
            <w:pPr>
              <w:spacing w:line="240" w:lineRule="auto" w:after="40"/>
            </w:pPr>
            <w:r>
              <w:t xml:space="preserve">4</w:t>
            </w:r>
          </w:p>
        </w:tc>
        <w:tc>
          <w:tcPr>
            <w:tcW w:w="1225" w:type="dxa"/>
          </w:tcPr>
          <w:p>
            <w:pPr>
              <w:spacing w:line="240" w:lineRule="auto" w:after="40"/>
            </w:pPr>
            <w:r>
              <w:t xml:space="preserve">.67</w:t>
            </w:r>
          </w:p>
        </w:tc>
        <w:tc>
          <w:tcPr>
            <w:tcW w:w="1337" w:type="dxa"/>
          </w:tcPr>
          <w:p>
            <w:pPr>
              <w:spacing w:line="240" w:lineRule="auto" w:after="40"/>
            </w:pPr>
            <w:r>
              <w:t xml:space="preserve">.57</w:t>
            </w:r>
          </w:p>
        </w:tc>
        <w:tc>
          <w:tcPr>
            <w:tcW w:w="720" w:type="dxa"/>
          </w:tcPr>
          <w:p>
            <w:pPr>
              <w:spacing w:line="240" w:lineRule="auto" w:after="40"/>
            </w:pPr>
            <w:r>
              <w:t xml:space="preserve">.48</w:t>
            </w:r>
          </w:p>
        </w:tc>
      </w:tr>
      <w:tr>
        <w:tc>
          <w:tcPr>
            <w:tcW w:w="2906" w:type="dxa"/>
          </w:tcPr>
          <w:p>
            <w:pPr>
              <w:spacing w:line="240" w:lineRule="auto" w:after="40"/>
            </w:pPr>
            <w:r>
              <w:t xml:space="preserve">Intervention or designed teaching</w:t>
            </w:r>
          </w:p>
        </w:tc>
        <w:tc>
          <w:tcPr>
            <w:tcW w:w="1146" w:type="dxa"/>
          </w:tcPr>
          <w:p>
            <w:pPr>
              <w:spacing w:line="240" w:lineRule="auto" w:after="40"/>
            </w:pPr>
            <w:r>
              <w:t xml:space="preserve">10</w:t>
            </w:r>
          </w:p>
        </w:tc>
        <w:tc>
          <w:tcPr>
            <w:tcW w:w="1305" w:type="dxa"/>
          </w:tcPr>
          <w:p>
            <w:pPr>
              <w:spacing w:line="240" w:lineRule="auto" w:after="40"/>
            </w:pPr>
            <w:r>
              <w:t xml:space="preserve">7</w:t>
            </w:r>
          </w:p>
        </w:tc>
        <w:tc>
          <w:tcPr>
            <w:tcW w:w="720" w:type="dxa"/>
          </w:tcPr>
          <w:p>
            <w:pPr>
              <w:spacing w:line="240" w:lineRule="auto" w:after="40"/>
            </w:pPr>
            <w:r>
              <w:t xml:space="preserve">5</w:t>
            </w:r>
          </w:p>
        </w:tc>
        <w:tc>
          <w:tcPr>
            <w:tcW w:w="1225" w:type="dxa"/>
          </w:tcPr>
          <w:p>
            <w:pPr>
              <w:spacing w:line="240" w:lineRule="auto" w:after="40"/>
            </w:pPr>
            <w:r>
              <w:t xml:space="preserve">.71</w:t>
            </w:r>
          </w:p>
        </w:tc>
        <w:tc>
          <w:tcPr>
            <w:tcW w:w="1337" w:type="dxa"/>
          </w:tcPr>
          <w:p>
            <w:pPr>
              <w:spacing w:line="240" w:lineRule="auto" w:after="40"/>
            </w:pPr>
            <w:r>
              <w:t xml:space="preserve">.50</w:t>
            </w:r>
          </w:p>
        </w:tc>
        <w:tc>
          <w:tcPr>
            <w:tcW w:w="720" w:type="dxa"/>
          </w:tcPr>
          <w:p>
            <w:pPr>
              <w:spacing w:line="240" w:lineRule="auto" w:after="40"/>
            </w:pPr>
            <w:r>
              <w:t xml:space="preserve">.39</w:t>
            </w:r>
          </w:p>
        </w:tc>
      </w:tr>
      <w:tr>
        <w:tc>
          <w:tcPr>
            <w:tcW w:w="2906" w:type="dxa"/>
          </w:tcPr>
          <w:p>
            <w:pPr>
              <w:spacing w:line="240" w:lineRule="auto" w:after="40"/>
            </w:pPr>
            <w:r>
              <w:rPr>
                <w:b/>
              </w:rPr>
              <w:t xml:space="preserve">Theoretical tradition</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Critical pedagogy (Freirean)</w:t>
            </w:r>
          </w:p>
        </w:tc>
        <w:tc>
          <w:tcPr>
            <w:tcW w:w="1146" w:type="dxa"/>
          </w:tcPr>
          <w:p>
            <w:pPr>
              <w:spacing w:line="240" w:lineRule="auto" w:after="40"/>
            </w:pPr>
            <w:r>
              <w:t xml:space="preserve">6</w:t>
            </w:r>
          </w:p>
        </w:tc>
        <w:tc>
          <w:tcPr>
            <w:tcW w:w="1305" w:type="dxa"/>
          </w:tcPr>
          <w:p>
            <w:pPr>
              <w:spacing w:line="240" w:lineRule="auto" w:after="40"/>
            </w:pPr>
            <w:r>
              <w:t xml:space="preserve">4</w:t>
            </w:r>
          </w:p>
        </w:tc>
        <w:tc>
          <w:tcPr>
            <w:tcW w:w="720" w:type="dxa"/>
          </w:tcPr>
          <w:p>
            <w:pPr>
              <w:spacing w:line="240" w:lineRule="auto" w:after="40"/>
            </w:pPr>
            <w:r>
              <w:t xml:space="preserve">2</w:t>
            </w:r>
          </w:p>
        </w:tc>
        <w:tc>
          <w:tcPr>
            <w:tcW w:w="1225" w:type="dxa"/>
          </w:tcPr>
          <w:p>
            <w:pPr>
              <w:spacing w:line="240" w:lineRule="auto" w:after="40"/>
            </w:pPr>
            <w:r>
              <w:t xml:space="preserve">.50</w:t>
            </w:r>
          </w:p>
        </w:tc>
        <w:tc>
          <w:tcPr>
            <w:tcW w:w="1337" w:type="dxa"/>
          </w:tcPr>
          <w:p>
            <w:pPr>
              <w:spacing w:line="240" w:lineRule="auto" w:after="40"/>
            </w:pPr>
            <w:r>
              <w:t xml:space="preserve">.33</w:t>
            </w:r>
          </w:p>
        </w:tc>
        <w:tc>
          <w:tcPr>
            <w:tcW w:w="720" w:type="dxa"/>
          </w:tcPr>
          <w:p>
            <w:pPr>
              <w:spacing w:line="240" w:lineRule="auto" w:after="40"/>
            </w:pPr>
            <w:r>
              <w:t xml:space="preserve">.26</w:t>
            </w:r>
          </w:p>
        </w:tc>
      </w:tr>
      <w:tr>
        <w:tc>
          <w:tcPr>
            <w:tcW w:w="2906" w:type="dxa"/>
          </w:tcPr>
          <w:p>
            <w:pPr>
              <w:spacing w:line="240" w:lineRule="auto" w:after="40"/>
            </w:pPr>
            <w:r>
              <w:t xml:space="preserve">Multiliteracies and New Literacy Studies</w:t>
            </w:r>
          </w:p>
        </w:tc>
        <w:tc>
          <w:tcPr>
            <w:tcW w:w="1146" w:type="dxa"/>
          </w:tcPr>
          <w:p>
            <w:pPr>
              <w:spacing w:line="240" w:lineRule="auto" w:after="40"/>
            </w:pPr>
            <w:r>
              <w:t xml:space="preserve">3</w:t>
            </w:r>
          </w:p>
        </w:tc>
        <w:tc>
          <w:tcPr>
            <w:tcW w:w="1305" w:type="dxa"/>
          </w:tcPr>
          <w:p>
            <w:pPr>
              <w:spacing w:line="240" w:lineRule="auto" w:after="40"/>
            </w:pPr>
            <w:r>
              <w:t xml:space="preserve">3</w:t>
            </w:r>
          </w:p>
        </w:tc>
        <w:tc>
          <w:tcPr>
            <w:tcW w:w="720" w:type="dxa"/>
          </w:tcPr>
          <w:p>
            <w:pPr>
              <w:spacing w:line="240" w:lineRule="auto" w:after="40"/>
            </w:pPr>
            <w:r>
              <w:t xml:space="preserve">2</w:t>
            </w:r>
          </w:p>
        </w:tc>
        <w:tc>
          <w:tcPr>
            <w:tcW w:w="1225" w:type="dxa"/>
          </w:tcPr>
          <w:p>
            <w:pPr>
              <w:spacing w:line="240" w:lineRule="auto" w:after="40"/>
            </w:pPr>
            <w:r>
              <w:t xml:space="preserve">.67</w:t>
            </w:r>
          </w:p>
        </w:tc>
        <w:tc>
          <w:tcPr>
            <w:tcW w:w="1337" w:type="dxa"/>
          </w:tcPr>
          <w:p>
            <w:pPr>
              <w:spacing w:line="240" w:lineRule="auto" w:after="40"/>
            </w:pPr>
            <w:r>
              <w:t xml:space="preserve">.67</w:t>
            </w:r>
          </w:p>
        </w:tc>
        <w:tc>
          <w:tcPr>
            <w:tcW w:w="720" w:type="dxa"/>
          </w:tcPr>
          <w:p>
            <w:pPr>
              <w:spacing w:line="240" w:lineRule="auto" w:after="40"/>
            </w:pPr>
            <w:r>
              <w:t xml:space="preserve">.62</w:t>
            </w:r>
          </w:p>
        </w:tc>
      </w:tr>
      <w:tr>
        <w:tc>
          <w:tcPr>
            <w:tcW w:w="2906" w:type="dxa"/>
          </w:tcPr>
          <w:p>
            <w:pPr>
              <w:spacing w:line="240" w:lineRule="auto" w:after="40"/>
            </w:pPr>
            <w:r>
              <w:t xml:space="preserve">Media literacy and educommunication</w:t>
            </w:r>
          </w:p>
        </w:tc>
        <w:tc>
          <w:tcPr>
            <w:tcW w:w="1146" w:type="dxa"/>
          </w:tcPr>
          <w:p>
            <w:pPr>
              <w:spacing w:line="240" w:lineRule="auto" w:after="40"/>
            </w:pPr>
            <w:r>
              <w:t xml:space="preserve">2</w:t>
            </w:r>
          </w:p>
        </w:tc>
        <w:tc>
          <w:tcPr>
            <w:tcW w:w="1305" w:type="dxa"/>
          </w:tcPr>
          <w:p>
            <w:pPr>
              <w:spacing w:line="240" w:lineRule="auto" w:after="40"/>
            </w:pPr>
            <w:r>
              <w:t xml:space="preserve">2</w:t>
            </w:r>
          </w:p>
        </w:tc>
        <w:tc>
          <w:tcPr>
            <w:tcW w:w="720" w:type="dxa"/>
          </w:tcPr>
          <w:p>
            <w:pPr>
              <w:spacing w:line="240" w:lineRule="auto" w:after="40"/>
            </w:pPr>
            <w:r>
              <w:t xml:space="preserve">1</w:t>
            </w:r>
          </w:p>
        </w:tc>
        <w:tc>
          <w:tcPr>
            <w:tcW w:w="1225" w:type="dxa"/>
          </w:tcPr>
          <w:p>
            <w:pPr>
              <w:spacing w:line="240" w:lineRule="auto" w:after="40"/>
            </w:pPr>
            <w:r>
              <w:t xml:space="preserve">.50</w:t>
            </w:r>
          </w:p>
        </w:tc>
        <w:tc>
          <w:tcPr>
            <w:tcW w:w="1337" w:type="dxa"/>
          </w:tcPr>
          <w:p>
            <w:pPr>
              <w:spacing w:line="240" w:lineRule="auto" w:after="40"/>
            </w:pPr>
            <w:r>
              <w:t xml:space="preserve">.50</w:t>
            </w:r>
          </w:p>
        </w:tc>
        <w:tc>
          <w:tcPr>
            <w:tcW w:w="720" w:type="dxa"/>
          </w:tcPr>
          <w:p>
            <w:pPr>
              <w:spacing w:line="240" w:lineRule="auto" w:after="40"/>
            </w:pPr>
            <w:r>
              <w:t xml:space="preserve">.46</w:t>
            </w:r>
          </w:p>
        </w:tc>
      </w:tr>
      <w:tr>
        <w:tc>
          <w:tcPr>
            <w:tcW w:w="2906" w:type="dxa"/>
          </w:tcPr>
          <w:p>
            <w:pPr>
              <w:spacing w:line="240" w:lineRule="auto" w:after="40"/>
            </w:pPr>
            <w:r>
              <w:t xml:space="preserve">Digital citizenship</w:t>
            </w:r>
          </w:p>
        </w:tc>
        <w:tc>
          <w:tcPr>
            <w:tcW w:w="1146" w:type="dxa"/>
          </w:tcPr>
          <w:p>
            <w:pPr>
              <w:spacing w:line="240" w:lineRule="auto" w:after="40"/>
            </w:pPr>
            <w:r>
              <w:t xml:space="preserve">3</w:t>
            </w:r>
          </w:p>
        </w:tc>
        <w:tc>
          <w:tcPr>
            <w:tcW w:w="1305" w:type="dxa"/>
          </w:tcPr>
          <w:p>
            <w:pPr>
              <w:spacing w:line="240" w:lineRule="auto" w:after="40"/>
            </w:pPr>
            <w:r>
              <w:t xml:space="preserve">2</w:t>
            </w:r>
          </w:p>
        </w:tc>
        <w:tc>
          <w:tcPr>
            <w:tcW w:w="720" w:type="dxa"/>
          </w:tcPr>
          <w:p>
            <w:pPr>
              <w:spacing w:line="240" w:lineRule="auto" w:after="40"/>
            </w:pPr>
            <w:r>
              <w:t xml:space="preserve">2</w:t>
            </w:r>
          </w:p>
        </w:tc>
        <w:tc>
          <w:tcPr>
            <w:tcW w:w="1225" w:type="dxa"/>
          </w:tcPr>
          <w:p>
            <w:pPr>
              <w:spacing w:line="240" w:lineRule="auto" w:after="40"/>
            </w:pPr>
            <w:r>
              <w:t xml:space="preserve">1.00</w:t>
            </w:r>
          </w:p>
        </w:tc>
        <w:tc>
          <w:tcPr>
            <w:tcW w:w="1337" w:type="dxa"/>
          </w:tcPr>
          <w:p>
            <w:pPr>
              <w:spacing w:line="240" w:lineRule="auto" w:after="40"/>
            </w:pPr>
            <w:r>
              <w:t xml:space="preserve">.67</w:t>
            </w:r>
          </w:p>
        </w:tc>
        <w:tc>
          <w:tcPr>
            <w:tcW w:w="720" w:type="dxa"/>
          </w:tcPr>
          <w:p>
            <w:pPr>
              <w:spacing w:line="240" w:lineRule="auto" w:after="40"/>
            </w:pPr>
            <w:r>
              <w:t xml:space="preserve">.78</w:t>
            </w:r>
          </w:p>
        </w:tc>
      </w:tr>
      <w:tr>
        <w:tc>
          <w:tcPr>
            <w:tcW w:w="2906" w:type="dxa"/>
          </w:tcPr>
          <w:p>
            <w:pPr>
              <w:spacing w:line="240" w:lineRule="auto" w:after="40"/>
            </w:pPr>
            <w:r>
              <w:t xml:space="preserve">Race, gender and decolonial perspectives</w:t>
            </w:r>
          </w:p>
        </w:tc>
        <w:tc>
          <w:tcPr>
            <w:tcW w:w="1146" w:type="dxa"/>
          </w:tcPr>
          <w:p>
            <w:pPr>
              <w:spacing w:line="240" w:lineRule="auto" w:after="40"/>
            </w:pPr>
            <w:r>
              <w:t xml:space="preserve">4</w:t>
            </w:r>
          </w:p>
        </w:tc>
        <w:tc>
          <w:tcPr>
            <w:tcW w:w="1305" w:type="dxa"/>
          </w:tcPr>
          <w:p>
            <w:pPr>
              <w:spacing w:line="240" w:lineRule="auto" w:after="40"/>
            </w:pPr>
            <w:r>
              <w:t xml:space="preserve">3</w:t>
            </w:r>
          </w:p>
        </w:tc>
        <w:tc>
          <w:tcPr>
            <w:tcW w:w="720" w:type="dxa"/>
          </w:tcPr>
          <w:p>
            <w:pPr>
              <w:spacing w:line="240" w:lineRule="auto" w:after="40"/>
            </w:pPr>
            <w:r>
              <w:t xml:space="preserve">3</w:t>
            </w:r>
          </w:p>
        </w:tc>
        <w:tc>
          <w:tcPr>
            <w:tcW w:w="1225" w:type="dxa"/>
          </w:tcPr>
          <w:p>
            <w:pPr>
              <w:spacing w:line="240" w:lineRule="auto" w:after="40"/>
            </w:pPr>
            <w:r>
              <w:t xml:space="preserve">1.00</w:t>
            </w:r>
          </w:p>
        </w:tc>
        <w:tc>
          <w:tcPr>
            <w:tcW w:w="1337" w:type="dxa"/>
          </w:tcPr>
          <w:p>
            <w:pPr>
              <w:spacing w:line="240" w:lineRule="auto" w:after="40"/>
            </w:pPr>
            <w:r>
              <w:t xml:space="preserve">.75</w:t>
            </w:r>
          </w:p>
        </w:tc>
        <w:tc>
          <w:tcPr>
            <w:tcW w:w="720" w:type="dxa"/>
          </w:tcPr>
          <w:p>
            <w:pPr>
              <w:spacing w:line="240" w:lineRule="auto" w:after="40"/>
            </w:pPr>
            <w:r>
              <w:t xml:space="preserve">.83</w:t>
            </w:r>
          </w:p>
        </w:tc>
      </w:tr>
      <w:tr>
        <w:tc>
          <w:tcPr>
            <w:tcW w:w="2906" w:type="dxa"/>
          </w:tcPr>
          <w:p>
            <w:pPr>
              <w:spacing w:line="240" w:lineRule="auto" w:after="40"/>
            </w:pPr>
            <w:r>
              <w:rPr>
                <w:b/>
              </w:rPr>
              <w:t xml:space="preserve">Object of critique, context or practice</w:t>
            </w:r>
          </w:p>
        </w:tc>
        <w:tc>
          <w:tcPr>
            <w:tcW w:w="1146" w:type="dxa"/>
          </w:tcPr>
          <w:p>
            <w:pPr>
              <w:spacing w:line="240" w:lineRule="auto" w:after="40"/>
            </w:pPr>
          </w:p>
        </w:tc>
        <w:tc>
          <w:tcPr>
            <w:tcW w:w="1305" w:type="dxa"/>
          </w:tcPr>
          <w:p>
            <w:pPr>
              <w:spacing w:line="240" w:lineRule="auto" w:after="40"/>
            </w:pPr>
          </w:p>
        </w:tc>
        <w:tc>
          <w:tcPr>
            <w:tcW w:w="720" w:type="dxa"/>
          </w:tcPr>
          <w:p>
            <w:pPr>
              <w:spacing w:line="240" w:lineRule="auto" w:after="40"/>
            </w:pPr>
          </w:p>
        </w:tc>
        <w:tc>
          <w:tcPr>
            <w:tcW w:w="1225" w:type="dxa"/>
          </w:tcPr>
          <w:p>
            <w:pPr>
              <w:spacing w:line="240" w:lineRule="auto" w:after="40"/>
            </w:pPr>
          </w:p>
        </w:tc>
        <w:tc>
          <w:tcPr>
            <w:tcW w:w="1337" w:type="dxa"/>
          </w:tcPr>
          <w:p>
            <w:pPr>
              <w:spacing w:line="240" w:lineRule="auto" w:after="40"/>
            </w:pPr>
          </w:p>
        </w:tc>
        <w:tc>
          <w:tcPr>
            <w:tcW w:w="720" w:type="dxa"/>
          </w:tcPr>
          <w:p>
            <w:pPr>
              <w:spacing w:line="240" w:lineRule="auto" w:after="40"/>
            </w:pPr>
          </w:p>
        </w:tc>
      </w:tr>
      <w:tr>
        <w:tc>
          <w:tcPr>
            <w:tcW w:w="2906" w:type="dxa"/>
          </w:tcPr>
          <w:p>
            <w:pPr>
              <w:spacing w:line="240" w:lineRule="auto" w:after="40"/>
            </w:pPr>
            <w:r>
              <w:t xml:space="preserve">Artificial intelligence</w:t>
            </w:r>
          </w:p>
        </w:tc>
        <w:tc>
          <w:tcPr>
            <w:tcW w:w="1146" w:type="dxa"/>
          </w:tcPr>
          <w:p>
            <w:pPr>
              <w:spacing w:line="240" w:lineRule="auto" w:after="40"/>
            </w:pPr>
            <w:r>
              <w:t xml:space="preserve">5</w:t>
            </w:r>
          </w:p>
        </w:tc>
        <w:tc>
          <w:tcPr>
            <w:tcW w:w="1305" w:type="dxa"/>
          </w:tcPr>
          <w:p>
            <w:pPr>
              <w:spacing w:line="240" w:lineRule="auto" w:after="40"/>
            </w:pPr>
            <w:r>
              <w:t xml:space="preserve">5</w:t>
            </w:r>
          </w:p>
        </w:tc>
        <w:tc>
          <w:tcPr>
            <w:tcW w:w="720" w:type="dxa"/>
          </w:tcPr>
          <w:p>
            <w:pPr>
              <w:spacing w:line="240" w:lineRule="auto" w:after="40"/>
            </w:pPr>
            <w:r>
              <w:t xml:space="preserve">5</w:t>
            </w:r>
          </w:p>
        </w:tc>
        <w:tc>
          <w:tcPr>
            <w:tcW w:w="1225" w:type="dxa"/>
          </w:tcPr>
          <w:p>
            <w:pPr>
              <w:spacing w:line="240" w:lineRule="auto" w:after="40"/>
            </w:pPr>
            <w:r>
              <w:t xml:space="preserve">1.00</w:t>
            </w:r>
          </w:p>
        </w:tc>
        <w:tc>
          <w:tcPr>
            <w:tcW w:w="1337" w:type="dxa"/>
          </w:tcPr>
          <w:p>
            <w:pPr>
              <w:spacing w:line="240" w:lineRule="auto" w:after="40"/>
            </w:pPr>
            <w:r>
              <w:t xml:space="preserve">1.00</w:t>
            </w:r>
          </w:p>
        </w:tc>
        <w:tc>
          <w:tcPr>
            <w:tcW w:w="720" w:type="dxa"/>
          </w:tcPr>
          <w:p>
            <w:pPr>
              <w:spacing w:line="240" w:lineRule="auto" w:after="40"/>
            </w:pPr>
            <w:r>
              <w:t xml:space="preserve">1.00</w:t>
            </w:r>
          </w:p>
        </w:tc>
      </w:tr>
      <w:tr>
        <w:tc>
          <w:tcPr>
            <w:tcW w:w="2906" w:type="dxa"/>
          </w:tcPr>
          <w:p>
            <w:pPr>
              <w:spacing w:line="240" w:lineRule="auto" w:after="40"/>
            </w:pPr>
            <w:r>
              <w:t xml:space="preserve">Disinformation and post-truth</w:t>
            </w:r>
          </w:p>
        </w:tc>
        <w:tc>
          <w:tcPr>
            <w:tcW w:w="1146" w:type="dxa"/>
          </w:tcPr>
          <w:p>
            <w:pPr>
              <w:spacing w:line="240" w:lineRule="auto" w:after="40"/>
            </w:pPr>
            <w:r>
              <w:t xml:space="preserve">6</w:t>
            </w:r>
          </w:p>
        </w:tc>
        <w:tc>
          <w:tcPr>
            <w:tcW w:w="1305" w:type="dxa"/>
          </w:tcPr>
          <w:p>
            <w:pPr>
              <w:spacing w:line="240" w:lineRule="auto" w:after="40"/>
            </w:pPr>
            <w:r>
              <w:t xml:space="preserve">1</w:t>
            </w:r>
          </w:p>
        </w:tc>
        <w:tc>
          <w:tcPr>
            <w:tcW w:w="720" w:type="dxa"/>
          </w:tcPr>
          <w:p>
            <w:pPr>
              <w:spacing w:line="240" w:lineRule="auto" w:after="40"/>
            </w:pPr>
            <w:r>
              <w:t xml:space="preserve">1</w:t>
            </w:r>
          </w:p>
        </w:tc>
        <w:tc>
          <w:tcPr>
            <w:tcW w:w="1225" w:type="dxa"/>
          </w:tcPr>
          <w:p>
            <w:pPr>
              <w:spacing w:line="240" w:lineRule="auto" w:after="40"/>
            </w:pPr>
            <w:r>
              <w:t xml:space="preserve">1.00</w:t>
            </w:r>
          </w:p>
        </w:tc>
        <w:tc>
          <w:tcPr>
            <w:tcW w:w="1337" w:type="dxa"/>
          </w:tcPr>
          <w:p>
            <w:pPr>
              <w:spacing w:line="240" w:lineRule="auto" w:after="40"/>
            </w:pPr>
            <w:r>
              <w:t xml:space="preserve">.17</w:t>
            </w:r>
          </w:p>
        </w:tc>
        <w:tc>
          <w:tcPr>
            <w:tcW w:w="720" w:type="dxa"/>
          </w:tcPr>
          <w:p>
            <w:pPr>
              <w:spacing w:line="240" w:lineRule="auto" w:after="40"/>
            </w:pPr>
            <w:r>
              <w:t xml:space="preserve">.23</w:t>
            </w:r>
          </w:p>
        </w:tc>
      </w:tr>
      <w:tr>
        <w:tc>
          <w:tcPr>
            <w:tcW w:w="2906" w:type="dxa"/>
          </w:tcPr>
          <w:p>
            <w:pPr>
              <w:spacing w:line="240" w:lineRule="auto" w:after="40"/>
            </w:pPr>
            <w:r>
              <w:t xml:space="preserve">Social media</w:t>
            </w:r>
          </w:p>
        </w:tc>
        <w:tc>
          <w:tcPr>
            <w:tcW w:w="1146" w:type="dxa"/>
          </w:tcPr>
          <w:p>
            <w:pPr>
              <w:spacing w:line="240" w:lineRule="auto" w:after="40"/>
            </w:pPr>
            <w:r>
              <w:t xml:space="preserve">7</w:t>
            </w:r>
          </w:p>
        </w:tc>
        <w:tc>
          <w:tcPr>
            <w:tcW w:w="1305" w:type="dxa"/>
          </w:tcPr>
          <w:p>
            <w:pPr>
              <w:spacing w:line="240" w:lineRule="auto" w:after="40"/>
            </w:pPr>
            <w:r>
              <w:t xml:space="preserve">7</w:t>
            </w:r>
          </w:p>
        </w:tc>
        <w:tc>
          <w:tcPr>
            <w:tcW w:w="720" w:type="dxa"/>
          </w:tcPr>
          <w:p>
            <w:pPr>
              <w:spacing w:line="240" w:lineRule="auto" w:after="40"/>
            </w:pPr>
            <w:r>
              <w:t xml:space="preserve">6</w:t>
            </w:r>
          </w:p>
        </w:tc>
        <w:tc>
          <w:tcPr>
            <w:tcW w:w="1225" w:type="dxa"/>
          </w:tcPr>
          <w:p>
            <w:pPr>
              <w:spacing w:line="240" w:lineRule="auto" w:after="40"/>
            </w:pPr>
            <w:r>
              <w:t xml:space="preserve">.86</w:t>
            </w:r>
          </w:p>
        </w:tc>
        <w:tc>
          <w:tcPr>
            <w:tcW w:w="1337" w:type="dxa"/>
          </w:tcPr>
          <w:p>
            <w:pPr>
              <w:spacing w:line="240" w:lineRule="auto" w:after="40"/>
            </w:pPr>
            <w:r>
              <w:t xml:space="preserve">.86</w:t>
            </w:r>
          </w:p>
        </w:tc>
        <w:tc>
          <w:tcPr>
            <w:tcW w:w="720" w:type="dxa"/>
          </w:tcPr>
          <w:p>
            <w:pPr>
              <w:spacing w:line="240" w:lineRule="auto" w:after="40"/>
            </w:pPr>
            <w:r>
              <w:t xml:space="preserve">.80</w:t>
            </w:r>
          </w:p>
        </w:tc>
      </w:tr>
      <w:tr>
        <w:tc>
          <w:tcPr>
            <w:tcW w:w="2906" w:type="dxa"/>
          </w:tcPr>
          <w:p>
            <w:pPr>
              <w:spacing w:line="240" w:lineRule="auto" w:after="40"/>
            </w:pPr>
            <w:r>
              <w:t xml:space="preserve">Algorithms, data and platforms</w:t>
            </w:r>
          </w:p>
        </w:tc>
        <w:tc>
          <w:tcPr>
            <w:tcW w:w="1146" w:type="dxa"/>
          </w:tcPr>
          <w:p>
            <w:pPr>
              <w:spacing w:line="240" w:lineRule="auto" w:after="40"/>
            </w:pPr>
            <w:r>
              <w:t xml:space="preserve">11</w:t>
            </w:r>
          </w:p>
        </w:tc>
        <w:tc>
          <w:tcPr>
            <w:tcW w:w="1305" w:type="dxa"/>
          </w:tcPr>
          <w:p>
            <w:pPr>
              <w:spacing w:line="240" w:lineRule="auto" w:after="40"/>
            </w:pPr>
            <w:r>
              <w:t xml:space="preserve">9</w:t>
            </w:r>
          </w:p>
        </w:tc>
        <w:tc>
          <w:tcPr>
            <w:tcW w:w="720" w:type="dxa"/>
          </w:tcPr>
          <w:p>
            <w:pPr>
              <w:spacing w:line="240" w:lineRule="auto" w:after="40"/>
            </w:pPr>
            <w:r>
              <w:t xml:space="preserve">6</w:t>
            </w:r>
          </w:p>
        </w:tc>
        <w:tc>
          <w:tcPr>
            <w:tcW w:w="1225" w:type="dxa"/>
          </w:tcPr>
          <w:p>
            <w:pPr>
              <w:spacing w:line="240" w:lineRule="auto" w:after="40"/>
            </w:pPr>
            <w:r>
              <w:t xml:space="preserve">.67</w:t>
            </w:r>
          </w:p>
        </w:tc>
        <w:tc>
          <w:tcPr>
            <w:tcW w:w="1337" w:type="dxa"/>
          </w:tcPr>
          <w:p>
            <w:pPr>
              <w:spacing w:line="240" w:lineRule="auto" w:after="40"/>
            </w:pPr>
            <w:r>
              <w:t xml:space="preserve">.55</w:t>
            </w:r>
          </w:p>
        </w:tc>
        <w:tc>
          <w:tcPr>
            <w:tcW w:w="720" w:type="dxa"/>
          </w:tcPr>
          <w:p>
            <w:pPr>
              <w:spacing w:line="240" w:lineRule="auto" w:after="40"/>
            </w:pPr>
            <w:r>
              <w:t xml:space="preserve">.34</w:t>
            </w:r>
          </w:p>
        </w:tc>
      </w:tr>
      <w:tr>
        <w:tc>
          <w:tcPr>
            <w:tcW w:w="2906" w:type="dxa"/>
          </w:tcPr>
          <w:p>
            <w:pPr>
              <w:spacing w:line="240" w:lineRule="auto" w:after="40"/>
            </w:pPr>
            <w:r>
              <w:t xml:space="preserve">Privacy and surveillance</w:t>
            </w:r>
          </w:p>
        </w:tc>
        <w:tc>
          <w:tcPr>
            <w:tcW w:w="1146" w:type="dxa"/>
          </w:tcPr>
          <w:p>
            <w:pPr>
              <w:spacing w:line="240" w:lineRule="auto" w:after="40"/>
            </w:pPr>
            <w:r>
              <w:t xml:space="preserve">7</w:t>
            </w:r>
          </w:p>
        </w:tc>
        <w:tc>
          <w:tcPr>
            <w:tcW w:w="1305" w:type="dxa"/>
          </w:tcPr>
          <w:p>
            <w:pPr>
              <w:spacing w:line="240" w:lineRule="auto" w:after="40"/>
            </w:pPr>
            <w:r>
              <w:t xml:space="preserve">1</w:t>
            </w:r>
          </w:p>
        </w:tc>
        <w:tc>
          <w:tcPr>
            <w:tcW w:w="720" w:type="dxa"/>
          </w:tcPr>
          <w:p>
            <w:pPr>
              <w:spacing w:line="240" w:lineRule="auto" w:after="40"/>
            </w:pPr>
            <w:r>
              <w:t xml:space="preserve">1</w:t>
            </w:r>
          </w:p>
        </w:tc>
        <w:tc>
          <w:tcPr>
            <w:tcW w:w="1225" w:type="dxa"/>
          </w:tcPr>
          <w:p>
            <w:pPr>
              <w:spacing w:line="240" w:lineRule="auto" w:after="40"/>
            </w:pPr>
            <w:r>
              <w:t xml:space="preserve">1.00</w:t>
            </w:r>
          </w:p>
        </w:tc>
        <w:tc>
          <w:tcPr>
            <w:tcW w:w="1337" w:type="dxa"/>
          </w:tcPr>
          <w:p>
            <w:pPr>
              <w:spacing w:line="240" w:lineRule="auto" w:after="40"/>
            </w:pPr>
            <w:r>
              <w:t xml:space="preserve">.14</w:t>
            </w:r>
          </w:p>
        </w:tc>
        <w:tc>
          <w:tcPr>
            <w:tcW w:w="720" w:type="dxa"/>
          </w:tcPr>
          <w:p>
            <w:pPr>
              <w:spacing w:line="240" w:lineRule="auto" w:after="40"/>
            </w:pPr>
            <w:r>
              <w:t xml:space="preserve">.19</w:t>
            </w:r>
          </w:p>
        </w:tc>
      </w:tr>
      <w:tr>
        <w:tc>
          <w:tcPr>
            <w:tcW w:w="2906" w:type="dxa"/>
          </w:tcPr>
          <w:p>
            <w:pPr>
              <w:spacing w:line="240" w:lineRule="auto" w:after="40"/>
            </w:pPr>
            <w:r>
              <w:t xml:space="preserve">Hate speech and radicalisation</w:t>
            </w:r>
          </w:p>
        </w:tc>
        <w:tc>
          <w:tcPr>
            <w:tcW w:w="1146" w:type="dxa"/>
          </w:tcPr>
          <w:p>
            <w:pPr>
              <w:spacing w:line="240" w:lineRule="auto" w:after="40"/>
            </w:pPr>
            <w:r>
              <w:t xml:space="preserve">1</w:t>
            </w:r>
          </w:p>
        </w:tc>
        <w:tc>
          <w:tcPr>
            <w:tcW w:w="1305" w:type="dxa"/>
          </w:tcPr>
          <w:p>
            <w:pPr>
              <w:spacing w:line="240" w:lineRule="auto" w:after="40"/>
            </w:pPr>
            <w:r>
              <w:t xml:space="preserve">0</w:t>
            </w:r>
          </w:p>
        </w:tc>
        <w:tc>
          <w:tcPr>
            <w:tcW w:w="720" w:type="dxa"/>
          </w:tcPr>
          <w:p>
            <w:pPr>
              <w:spacing w:line="240" w:lineRule="auto" w:after="40"/>
            </w:pPr>
            <w:r>
              <w:t xml:space="preserve">0</w:t>
            </w:r>
          </w:p>
        </w:tc>
        <w:tc>
          <w:tcPr>
            <w:tcW w:w="1225" w:type="dxa"/>
          </w:tcPr>
          <w:p>
            <w:pPr>
              <w:spacing w:line="240" w:lineRule="auto" w:after="40"/>
            </w:pPr>
            <w:r>
              <w:t xml:space="preserve">—</w:t>
            </w:r>
          </w:p>
        </w:tc>
        <w:tc>
          <w:tcPr>
            <w:tcW w:w="1337" w:type="dxa"/>
          </w:tcPr>
          <w:p>
            <w:pPr>
              <w:spacing w:line="240" w:lineRule="auto" w:after="40"/>
            </w:pPr>
            <w:r>
              <w:t xml:space="preserve">.00</w:t>
            </w:r>
          </w:p>
        </w:tc>
        <w:tc>
          <w:tcPr>
            <w:tcW w:w="720" w:type="dxa"/>
          </w:tcPr>
          <w:p>
            <w:pPr>
              <w:spacing w:line="240" w:lineRule="auto" w:after="40"/>
            </w:pPr>
            <w:r>
              <w:t xml:space="preserve">.00</w:t>
            </w:r>
          </w:p>
        </w:tc>
      </w:tr>
      <w:tr>
        <w:tc>
          <w:tcPr>
            <w:tcW w:w="2906" w:type="dxa"/>
          </w:tcPr>
          <w:p>
            <w:pPr>
              <w:spacing w:line="240" w:lineRule="auto" w:after="40"/>
            </w:pPr>
            <w:r>
              <w:t xml:space="preserve">Second or foreign language education</w:t>
            </w:r>
          </w:p>
        </w:tc>
        <w:tc>
          <w:tcPr>
            <w:tcW w:w="1146" w:type="dxa"/>
          </w:tcPr>
          <w:p>
            <w:pPr>
              <w:spacing w:line="240" w:lineRule="auto" w:after="40"/>
            </w:pPr>
            <w:r>
              <w:t xml:space="preserve">6</w:t>
            </w:r>
          </w:p>
        </w:tc>
        <w:tc>
          <w:tcPr>
            <w:tcW w:w="1305" w:type="dxa"/>
          </w:tcPr>
          <w:p>
            <w:pPr>
              <w:spacing w:line="240" w:lineRule="auto" w:after="40"/>
            </w:pPr>
            <w:r>
              <w:t xml:space="preserve">3</w:t>
            </w:r>
          </w:p>
        </w:tc>
        <w:tc>
          <w:tcPr>
            <w:tcW w:w="720" w:type="dxa"/>
          </w:tcPr>
          <w:p>
            <w:pPr>
              <w:spacing w:line="240" w:lineRule="auto" w:after="40"/>
            </w:pPr>
            <w:r>
              <w:t xml:space="preserve">3</w:t>
            </w:r>
          </w:p>
        </w:tc>
        <w:tc>
          <w:tcPr>
            <w:tcW w:w="1225" w:type="dxa"/>
          </w:tcPr>
          <w:p>
            <w:pPr>
              <w:spacing w:line="240" w:lineRule="auto" w:after="40"/>
            </w:pPr>
            <w:r>
              <w:t xml:space="preserve">1.00</w:t>
            </w:r>
          </w:p>
        </w:tc>
        <w:tc>
          <w:tcPr>
            <w:tcW w:w="1337" w:type="dxa"/>
          </w:tcPr>
          <w:p>
            <w:pPr>
              <w:spacing w:line="240" w:lineRule="auto" w:after="40"/>
            </w:pPr>
            <w:r>
              <w:t xml:space="preserve">.50</w:t>
            </w:r>
          </w:p>
        </w:tc>
        <w:tc>
          <w:tcPr>
            <w:tcW w:w="720" w:type="dxa"/>
          </w:tcPr>
          <w:p>
            <w:pPr>
              <w:spacing w:line="240" w:lineRule="auto" w:after="40"/>
            </w:pPr>
            <w:r>
              <w:t xml:space="preserve">.60</w:t>
            </w:r>
          </w:p>
        </w:tc>
      </w:tr>
      <w:tr>
        <w:tc>
          <w:tcPr>
            <w:tcW w:w="2906" w:type="dxa"/>
          </w:tcPr>
          <w:p>
            <w:pPr>
              <w:spacing w:line="240" w:lineRule="auto" w:after="40"/>
            </w:pPr>
            <w:r>
              <w:t xml:space="preserve">Student media production</w:t>
            </w:r>
          </w:p>
        </w:tc>
        <w:tc>
          <w:tcPr>
            <w:tcW w:w="1146" w:type="dxa"/>
          </w:tcPr>
          <w:p>
            <w:pPr>
              <w:spacing w:line="240" w:lineRule="auto" w:after="40"/>
            </w:pPr>
            <w:r>
              <w:t xml:space="preserve">5</w:t>
            </w:r>
          </w:p>
        </w:tc>
        <w:tc>
          <w:tcPr>
            <w:tcW w:w="1305" w:type="dxa"/>
          </w:tcPr>
          <w:p>
            <w:pPr>
              <w:spacing w:line="240" w:lineRule="auto" w:after="40"/>
            </w:pPr>
            <w:r>
              <w:t xml:space="preserve">1</w:t>
            </w:r>
          </w:p>
        </w:tc>
        <w:tc>
          <w:tcPr>
            <w:tcW w:w="720" w:type="dxa"/>
          </w:tcPr>
          <w:p>
            <w:pPr>
              <w:spacing w:line="240" w:lineRule="auto" w:after="40"/>
            </w:pPr>
            <w:r>
              <w:t xml:space="preserve">1</w:t>
            </w:r>
          </w:p>
        </w:tc>
        <w:tc>
          <w:tcPr>
            <w:tcW w:w="1225" w:type="dxa"/>
          </w:tcPr>
          <w:p>
            <w:pPr>
              <w:spacing w:line="240" w:lineRule="auto" w:after="40"/>
            </w:pPr>
            <w:r>
              <w:t xml:space="preserve">1.00</w:t>
            </w:r>
          </w:p>
        </w:tc>
        <w:tc>
          <w:tcPr>
            <w:tcW w:w="1337" w:type="dxa"/>
          </w:tcPr>
          <w:p>
            <w:pPr>
              <w:spacing w:line="240" w:lineRule="auto" w:after="40"/>
            </w:pPr>
            <w:r>
              <w:t xml:space="preserve">.20</w:t>
            </w:r>
          </w:p>
        </w:tc>
        <w:tc>
          <w:tcPr>
            <w:tcW w:w="720" w:type="dxa"/>
          </w:tcPr>
          <w:p>
            <w:pPr>
              <w:spacing w:line="240" w:lineRule="auto" w:after="40"/>
            </w:pPr>
            <w:r>
              <w:t xml:space="preserve">.29</w:t>
            </w:r>
          </w:p>
        </w:tc>
      </w:tr>
    </w:tbl>
    <w:p>
      <w:pPr/>
      <w:r>
        <w:rPr>
          <w:i/>
        </w:rPr>
        <w:t xml:space="preserve">Note.</w:t>
      </w:r>
      <w:r>
        <w:t xml:space="preserve"> Full text: studies coded in the full-text reading. Dictionary: studies coded by the dictionaries from titles, abstracts and keywords. Both: studies coded by both. Precision = both ÷ dictionary; sensitivity = both ÷ full text; κ: Cohen's kappa. Precision is undefined when a dictionary assigned no code. The full-text codes were assigned by a single coder, a large language model applying the codebook (Supplementary files S4 and S5).</w:t>
      </w:r>
    </w:p>
    <w:p>
      <w:pPr/>
      <w:r>
        <w:t xml:space="preserve">Outcome evaluation was rare. Of the 25 eligible studies, 16 did not examine what participants learned, 5 offered qualitative evidence of learning or change after an intervention, 4 reported quantitative measures before and after without a comparison group, and none used a comparative design. Interventions were more frequent than the dictionaries suggest (10 of the 25), and all but one of them reported some evaluation.</w:t>
      </w:r>
    </w:p>
    <w:p>
      <w:pPr/>
      <w:r>
        <w:t xml:space="preserve">The three dimensions of the working definition were unevenly present. Of the 25 eligible studies, 18 addressed the textual dimension, 14 the infrastructural and 9 the transformative; 9 addressed the textual dimension alone, and 4 all three. The infrastructural dimension was more frequent in the latest period, in 10 of the 16 studies from 2024–2026 against 3 of the 7 from 2020–2023. In five of the nine studies with a transformative dimension, action was proposed or anticipated rather than documented. Four showed participants acting to change a practice or a technology, for example by reporting analyses of open data to public authorities (Atenas et al., 2023) or by redesigning lessons to resist the bias of AI recommendations (Zagami, 2026).</w:t>
      </w:r>
    </w:p>
    <w:p>
      <w:pPr>
        <w:pStyle w:val="Heading3"/>
      </w:pPr>
      <w:r>
        <w:t xml:space="preserve">The three dimensions in the studies read in full</w:t>
      </w:r>
    </w:p>
    <w:p>
      <w:pPr/>
      <w:r>
        <w:t xml:space="preserve">The full texts also show what the three dimensions of the working definition look like in practice. The textual dimension, present in 18 of the 25 eligible studies, usually meant asking learners whose interests a text serves and how it positions its readers. Upper secondary students in Spain interpreted two tweets that spread false or biased claims about gender violence and about the LGBTIQ+ community, and only 11% and 5% of their written responses identified the ideology and the intent behind them (Castellví Mata et al., 2021). Teachers of English as a foreign language in Austria and Italy evaluated materials that teach students to detect the presuppositions through which political tweets and advertisements slip in contestable claims (Brocca et al., 2026), and a teaching sequence for Greek upper secondary students used text-analysis software to study persuasion in political speeches (Alexandropoulos, 2023). With generative AI, the text under analysis became the output of a model. In a case study of a pre-service teacher of English in Indonesia, the tool supported the development of ideas but reproduced Eurocentric norms of academic writing (Hendriwanto &amp; De Costa, 2026). In Australia, AI-supported lesson planning led most pre-service teachers to sort learners into fixed tiers of ability, until reflection and dialogue helped them question it (Zagami, 2026).</w:t>
      </w:r>
    </w:p>
    <w:p>
      <w:pPr/>
      <w:r>
        <w:t xml:space="preserve">The infrastructural dimension, present in 14 studies, took three forms. In some studies it was a yardstick for institutions. An analysis of the Spanish lower secondary curriculum found that it promotes the critical reading of digital texts and ethical production, but places responsibility on the individual user without questioning the political economy of platforms, technological monopolies or the labour and environmental costs of supply chains (Samaniego &amp; Digón-Regueiro, 2026). An analysis of the websites of 84 Spanish universities found that they largely ignored the handling of data and awareness of control, privacy and access (Esteve-Mon et al., 2026), and teachers in four European countries rarely mentioned data literacy when they described their practice (Gouseti et al., 2024). In other studies the dimension was a question about learners' awareness. Pupils aged 10 to 12 in Catalonia noticed targeted advertising, data collection and the restrictions of school platforms, often without the concepts to interpret them (Moreno-González et al., 2026), and university students in Iran learning English on Instagram recognised that commercial interests and algorithmic selection decide what content becomes visible, without this always changing how they used it (Javahery et al., 2026). In a third group it was the content of teaching: future primary teachers rated classroom tools for privacy and data ownership (Castañeda &amp; Villar-Onrubia, 2023), and academics in Latin America worked with open data while discussing data justice and the opacity of AI systems (Atenas et al., 2023).</w:t>
      </w:r>
    </w:p>
    <w:p>
      <w:pPr/>
      <w:r>
        <w:t xml:space="preserve">The transformative dimension, present in 9 studies, was documented as practice in only 4. Pre-service elementary teachers in Canada produced videos for audiences beyond the classroom, meant to inform and to inspire change (Watt, 2019); academics on data literacy courses reported their analyses of open data to public authorities (Atenas et al., 2023); Arab bilingual university students moved from personal agency to collective advocacy for changes in how AI handles linguistic diversity (Alhabbash et al., 2026); and the pre-service teachers in Zagami's (2026) study redesigned their lessons to resist the bias of the recommendations. In the other five studies, action was a proposal or a category of analysis that the data barely filled. The curriculum analysis included critical intervention in infrastructures among its categories but found an individualist approach instead (Samaniego &amp; Digón-Regueiro, 2026), and the portfolios of university students in a Spanish mentoring programme contained 4 proposals for action among 263 coded references (Cajavilca et al., 2025). Theoretical and qualitative studies called for learners to replace, repair or resist technologies (Pötzsch, 2019), to build forms of participation free of platform control (Regueira et al., 2026) or to take part in choosing the school's digital tools (Moreno-González et al., 2026).</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and abstracts are a poor guide to content, and a third of the studies read in full did not make CDL their concern.</w:t>
      </w:r>
    </w:p>
    <w:p>
      <w:pPr>
        <w:pStyle w:val="Heading3"/>
      </w:pPr>
      <w:r>
        <w:t xml:space="preserve">A field that follows the technology</w:t>
      </w:r>
    </w:p>
    <w:p>
      <w:pPr/>
      <w:r>
        <w:t xml:space="preserve">The widening of attention from social media to platforms and then to generative AI shows a field able to respond quickly. Attention to social media did not fall, so the pattern is one of accumulation rather than replacement.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 Part of the response is also nominal: fewer than half of the sampled studies coded for AI made CDL a central concern, and the others invoked it in a closing recommendation or reduced it to ethical attitudes or to checking sources.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full texts lend this some direct support, though the numbers are small: the infrastructural dimension appeared in 10 of the 16 eligible studies from 2024–2026 and in 3 of the 7 from 2020–2023.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designs are the most frequent codes, and the share of studies that describe an intervention has not grown. The full texts confirm the gap. Of the 25 eligible studies read, 16 did not examine what participants learned and none compared participants with a group that did not take part; the interventions that were evaluated relied on qualitative evidence or on measures taken before and after. Evidence of what learners gain can come from qualitative as well as quantitative designs, and the field has some of the first kind. What it lacks are designs that allow a change to be attributed to a practice.</w:t>
      </w:r>
    </w:p>
    <w:p>
      <w:pPr/>
      <w:r>
        <w:t xml:space="preserve">The new instruments for CDL and critical AI literacy (AlGhannama et al., 2025; Bozkurt et al., 2026) could support comparative designs, but they bring a risk the field should name. A literacy whose aim is to question how systems sort and score people can be reduced, in turn, to a score, and the one scale read in full here measured ethical beliefs about AI rather than any critique of power (Bozkurt et al., 2026). Evaluation designs that combine measures with analyses of what learners produce and say would be more consistent with what CDL sets out to do.</w:t>
      </w:r>
    </w:p>
    <w:p>
      <w:pPr/>
      <w:r>
        <w:t xml:space="preserve">The transformative dimension, the one that asks learners to act, is the least developed of the three: it appeared in 9 of the 25 eligible studies and was documented as practice in only 4. Evaluating CDL will also mean finding out whether learners can do what that dimension asks.</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Relation to earlier reviews</w:t>
      </w:r>
    </w:p>
    <w:p>
      <w:pPr/>
      <w:r>
        <w:t xml:space="preserve">The findings agree with the earlier, partial reviews on two points and add a third. Ilomäki et al. (2023), reviewing research and policy on critical digital literacies at school level, found that e-safety was the most frequent dimension and that the research emphasised the negative side of digital life. The definition used here excludes work in which "critical" means only staying safe or checking a source, and the full texts show how much of the field sits close to that line: nine of the 13 exclusions concerned the credibility of sources, general critical thinking or attitudes towards AI. Villar-Onrubia et al. (2022) found critical digital literacy mostly missing from 24 teacher competence frameworks, and Creely et al. (2026) described a gap between curricular aspirations and classroom practice in Australian upper primary schools. The full texts point to the same gap elsewhere. The Spanish lower secondary curriculum names critical reading but not the political economy of platforms (Samaniego &amp; Digón-Regueiro, 2026), and the teachers interviewed by Gouseti et al. (2024) described CDL mostly in terms of safety and source evaluation. Gutiérrez-Ujaque (2024) found in higher education a literature that advocates transformative change; the full texts suggest that such advocacy is more common than documented action.</w:t>
      </w:r>
    </w:p>
    <w:p>
      <w:pPr/>
      <w:r>
        <w:t xml:space="preserve">What the present review adds is scale and a check on its own instruments. Covering all levels of formal education and two languages shows where the field is concentrated, in universities and teacher education, and where it is thin, in primary schools. Reading a sample of full texts shows that a map drawn from titles and abstracts overstates both the size of the field and, for some objects such as AI, its critical content.</w:t>
      </w:r>
    </w:p>
    <w:p>
      <w:pPr>
        <w:pStyle w:val="Heading3"/>
      </w:pPr>
      <w:r>
        <w:t xml:space="preserve">Implications for practice</w:t>
      </w:r>
    </w:p>
    <w:p>
      <w:pPr/>
      <w:r>
        <w:t xml:space="preserve">For teacher educators, the corpus offers practices that can be adapted rather than invented. The five kinds described in Table 6 cover analysis, production, exchange, designed sequences and civic action, and several have already been tried with pre-service teachers, from video production (Watt, 2019) to virtual exchange (Bilki et al., 2023; Hauck, 2019). The full texts suggest three adjustments. The first is to give the infrastructural dimension a place of its own. Rating the tools that a school already uses for what they do with pupils' data (Castañeda &amp; Villar-Onrubia, 2023), or reading a curriculum for what it leaves out (Samaniego &amp; Digón-Regueiro, 2026), turns abstract questions of ownership and data into tasks that future teachers can take into their own classrooms. The second is to plan for action and not only for reflection. In the studies read, learners analysed and reflected far more often than they acted; tasks that end in a public product, a report to an authority or a change in one's own teaching (Atenas et al., 2023; Watt, 2019; Zagami, 2026) are the exceptions that show it can be done. The third is to treat generative AI both as a text to be read and as an infrastructure to be questioned. The same tool that helps a student draft an essay reproduces particular norms of writing and is shaped by platform designs and training data that the student does not see (Darvin, 2025; Hendriwanto &amp; De Costa, 2026).</w:t>
      </w:r>
    </w:p>
    <w:p>
      <w:pPr/>
      <w:r>
        <w:t xml:space="preserve">For schools, the main implication concerns the youngest pupils. Children use platforms at school long before most of the critical work reviewed here reaches them, and the few studies of primary education suggest that they notice how platforms watch and steer them before they have words for it (Moreno-González et al., 2026).</w:t>
      </w:r>
    </w:p>
    <w:p>
      <w:pPr>
        <w:pStyle w:val="Heading3"/>
      </w:pPr>
      <w:r>
        <w:t xml:space="preserve">Implications for research</w:t>
      </w:r>
    </w:p>
    <w:p>
      <w:pPr/>
      <w:r>
        <w:t xml:space="preserve">Four priorities follow. First, the field needs evaluations that can attribute change to a practice. None of the 25 eligible studies read in full compared learners who took part in a practice with learners who did not, and the four quantitative evaluations measured the same group before and after. Classroom quasi-experiments combined with analyses of what learners write, make and do would answer a question that the field keeps raising and rarely tests. Second, instruments need to measure critique and not only attitudes. The one scale read in full here measured ethical beliefs about AI (Bozkurt et al., 2026), and the CDL items of a survey of future preschool teachers asked whether respondents can identify bias in news (Lo et al., 2024). Tasks that ask learners to analyse an actual feed, platform or model output, as several qualitative studies do, would come closer to the construct. Third, the two largest gaps are primary education and the transformative dimension, and studies that address both, with children acting on the platforms of their own schools, would fill a space that the corpus leaves almost empty. Fourth, reviews of critical literacies should screen on full texts and report how many of their included studies meet their own definition, since in this field titles and abstracts overstate both the number of studies and their critical content.</w:t>
      </w:r>
    </w:p>
    <w:p>
      <w:pPr>
        <w:pStyle w:val="Heading3"/>
      </w:pPr>
      <w:r>
        <w:t xml:space="preserve">Implications for policy</w:t>
      </w:r>
    </w:p>
    <w:p>
      <w:pPr/>
      <w:r>
        <w:t xml:space="preserve">Several studies in the corpus question how CDL fits within competence frameworks centred on use. DigComp 2.2 already mentions data ownership, business models and collective action, but only as examples in its annex on AI systems, and DigCompEdu does not develop them for educators. The findings support moving these questions from the examples into the competences themselves, as an infrastructural dimension: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Neither pass alone reproduced the final selection. Compared with it, the title pass would have missed 28 of the 135 included studies (20.7%) and kept 22 that were finally excluded; the abstract-and-keyword pass would have missed 22 and kept 22. Because the final selection was built from both passes, these figures show how far each pass departs from it, not independent error rates. Some studies name CDL only in their abstract or keywords, and some titles that sound critical describe something else.</w:t>
      </w:r>
    </w:p>
    <w:p>
      <w:pPr/>
      <w:r>
        <w:t xml:space="preserve">The full texts give a firmer measure, and it is less reassuring than the check on abstracts. The second reviewer, reading abstracts, had confirmed every decision that the rule took on disputed records. Yet only 3 of the 10 sampled studies admitted on two indicators made CDL a central concern, against 20 of the 25 on which both passes had agreed. An abstract can combine the right terms and still describe a study of something else, such as the adoption or regulation of AI or the evaluation of sources. Reviews of CDL, and probably of other critical literacies, should not rely on titles and abstracts. Field-level searches inside abstracts offer a reproducible way to locate candidate studies, but reproducibility is not validity, and only full texts settle what a study is about.</w:t>
      </w:r>
    </w:p>
    <w:p>
      <w:pPr>
        <w:pStyle w:val="Heading2"/>
      </w:pPr>
      <w:r>
        <w:t xml:space="preserve">Limitations</w:t>
      </w:r>
    </w:p>
    <w:p>
      <w:pPr/>
      <w:r>
        <w:t xml:space="preserve">The review has six main limitations.</w:t>
      </w:r>
    </w:p>
    <w:p>
      <w:pPr>
        <w:pStyle w:val="ListParagraph"/>
        <w:numPr>
          <w:ilvl w:val="0"/>
          <w:numId w:val="3"/>
        </w:numPr>
      </w:pPr>
      <w:r>
        <w:rPr>
          <w:b/>
        </w:rPr>
        <w:t xml:space="preserve">Full texts read only for a sample.</w:t>
      </w:r>
      <w:r>
        <w:t xml:space="preserve"> The Scopus access available did not return the text of abstracts, so both screening passes and the charting rest on titles and on term searches in abstracts and keywords. A second reviewer read the abstracts of 169 records, and full texts were read for 38 open-access studies. They show that the corpus is broader than the definition: 25 of the 38 made CDL a central concern (95% CI 50–79%), so the 135 studies are best read as research indexed under CDL, of which perhaps two thirds is CDL research in the sense used here. For the 97 studies not read, codes show that a term appears, not how a study treats it, and the synthesis describes what studies set out to do rather than what they found. Because the sample was drawn from open-access studies only, and two of its four studies from 2016–2019 could not be retrieved, its estimates may not transfer exactly to subscription journals or to the earliest years.</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and reproducible coding is not the same as valid coding. The full-text check shows that the dictionaries for AI, secondary education and social media are reliable, but that those for disinformation, privacy, student production, Freirean pedagogy and interventions miss most cases, and that the code for early childhood and primary education is inflated (Table 8). Trends in these categories are trends in vocabulary. The strict dictionaries show that the main trends do not depend on the broader terms; even so, 30 studies received no level code, 34 no design code and 54 no tradition code.</w:t>
      </w:r>
    </w:p>
    <w:p>
      <w:pPr>
        <w:pStyle w:val="ListParagraph"/>
        <w:numPr>
          <w:ilvl w:val="0"/>
          <w:numId w:val="3"/>
        </w:numPr>
      </w:pPr>
      <w:r>
        <w:rPr>
          <w:b/>
        </w:rPr>
        <w:t xml:space="preserve">Full-text coding by a single automated coder.</w:t>
      </w:r>
      <w:r>
        <w:t xml:space="preserve"> The full texts were coded by a large language model applying the codebook, with no second coder, so the reliability of these codes is unknown. Each code is backed by a quotation and page (Supplementary file S5) and can be audited, but none was checked by a second person. Fifteen eligibility decisions were borderline: under the most restrictive and the most inclusive reading of those cases, between 19 and 34 of the 38 studies would be eligible.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although a third of the studies read in full used the term without making CDL their concern. It has widened its attention from social media to platforms, data and artificial intelligence without leaving social media behind, and the vocabulary of media literacy that marked its early years now appears alongside that of critical pedagogy and of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current frameworks already name some of these questions but treat them as examples rather than as competences. Preparing people to live with platforms they do not control means putting at the centre the questions of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the full-text validation and the code that produces them are archived as an open data set (Author, 2026) at [repository link removed for anonymous review]. Supplementary file S1 lists the included studies with their codes; supplementary file S2 gives the decisions of both screening passes for all 469 records; supplementary file S3 gives the PRISMA-ScR checklist; supplementary file S4 gives the codebook for the full-text validation; and supplementary file S5 gives the full-text codes with their supporting quotations.</w:t>
      </w:r>
    </w:p>
    <w:p>
      <w:pPr>
        <w:pStyle w:val="Heading2"/>
      </w:pPr>
      <w:r>
        <w:t xml:space="preserve">Conflict of interest</w:t>
      </w:r>
    </w:p>
    <w:p>
      <w:pPr/>
      <w:r>
        <w:t xml:space="preserve">The conflict of interest statement is given on the title page, which is withheld from reviewers to keep the review anonymous.</w:t>
      </w:r>
    </w:p>
    <w:p>
      <w:pPr>
        <w:pStyle w:val="Heading2"/>
      </w:pPr>
      <w:r>
        <w:t xml:space="preserve">AI use declaration</w:t>
      </w:r>
    </w:p>
    <w:p>
      <w:pPr/>
      <w:r>
        <w:t xml:space="preserve">A large language model (Claude, Anthropic) was used for study design (drafting the search string and the screening and coding procedures), data collection (running the Scopus queries through the Scopus APIs and retrieving the open-access full texts of the validation sample), literature review (proposing the title-screening decisions of pass 1, drafting the dictionaries for pass 2 and for coding, and coding the full texts of the validation sample with the codebook, recording a supporting quotation and page for each code),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(see Method). No second person coded the full texts. The author checked the decisions, the analyses, the references and the text, and takes full responsibility for the content.</w:t>
      </w:r>
    </w:p>
    <w:p>
      <w:pPr>
        <w:pStyle w:val="Heading2"/>
      </w:pPr>
      <w:r>
        <w:t xml:space="preserve">References</w:t>
      </w:r>
    </w:p>
    <w:p>
      <w:pPr/>
      <w:r>
        <w:t xml:space="preserve">Abowitz, K. K., &amp; Mamlok, D.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Alexandropoulos, G. (2023). Teaching the political speech at secondary level schools. Towards critical and digital literacy. </w:t>
      </w:r>
      <w:r>
        <w:rPr>
          <w:i/>
        </w:rPr>
        <w:t xml:space="preserve">Centre for Applied Linguistics Research Journal</w:t>
      </w:r>
      <w:r>
        <w:t xml:space="preserve">, (14). https://doi.org/10.60149/STSL9113</w:t>
      </w:r>
    </w:p>
    <w:p>
      <w:pPr/>
      <w:r>
        <w:t xml:space="preserve">AlGhannama, B., Alsaber, A., Alkandari, A., &amp; Anbar, A.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Al Mohammedi, N., Omar, H., &amp; Alothali, 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Article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Havemann, L., Rodés, V., &amp; Podetti, M. (2023). Critical data literacy in praxis: An open education approach for academic development. </w:t>
      </w:r>
      <w:r>
        <w:rPr>
          <w:i/>
        </w:rPr>
        <w:t xml:space="preserve">Edutec</w:t>
      </w:r>
      <w:r>
        <w:t xml:space="preserve">, (85), 49–67. https://doi.org/10.21556/edutec.2023.85.2851</w:t>
      </w:r>
    </w:p>
    <w:p>
      <w:pPr/>
      <w:r>
        <w:t xml:space="preserve">Author. (2026). </w:t>
      </w:r>
      <w:r>
        <w:rPr>
          <w:i/>
        </w:rPr>
        <w:t xml:space="preserve">Data and code for a scoping review of critical digital literacy in formal education, 2016–2026</w:t>
      </w:r>
      <w:r>
        <w:t xml:space="preserve"> [Data set]. Details omitted for masked review.</w:t>
      </w:r>
    </w:p>
    <w:p>
      <w:pPr/>
      <w:r>
        <w:t xml:space="preserve">Bilki, Z., Satar, M., &amp; Sak, M.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Ertan, S., &amp; Cömert, Z.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Brocca, N., Masia, V., &amp; Garassino, D. (2026). Empowering critical digital literacy in EFL: Teachers’ evaluation of didactic materials involving the recognition of presupposed information. </w:t>
      </w:r>
      <w:r>
        <w:rPr>
          <w:i/>
        </w:rPr>
        <w:t xml:space="preserve">Language Teaching Research</w:t>
      </w:r>
      <w:r>
        <w:t xml:space="preserve">, </w:t>
      </w:r>
      <w:r>
        <w:rPr>
          <w:i/>
        </w:rPr>
        <w:t xml:space="preserve">30</w:t>
      </w:r>
      <w:r>
        <w:t xml:space="preserve">(7), 3835–3859. https://doi.org/10.1177/13621688241235019</w:t>
      </w:r>
    </w:p>
    <w:p>
      <w:pPr/>
      <w:r>
        <w:t xml:space="preserve">Cajavilca, K., Cerrillo, R., &amp; Perez-Hernandez, E. (2025). La alfabetización digital crítica como motor de la personalización del aprendizaje: Un análisis de los porfolios de estudiantes universitarios [Critical digital literacy as a driver of personalized learning: An analysis of university students' portfolios]. </w:t>
      </w:r>
      <w:r>
        <w:rPr>
          <w:i/>
        </w:rPr>
        <w:t xml:space="preserve">Edutec</w:t>
      </w:r>
      <w:r>
        <w:t xml:space="preserve">, (93), 123–144. https://doi.org/10.21556/edutec.2025.93.4049</w:t>
      </w:r>
    </w:p>
    <w:p>
      <w:pPr/>
      <w:r>
        <w:t xml:space="preserve">Castañeda, L., &amp; Villar-Onrubia, D.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Article ep397. https://doi.org/10.30935/cedtech/12599</w:t>
      </w:r>
    </w:p>
    <w:p>
      <w:pPr/>
      <w:r>
        <w:t xml:space="preserve">Castellví, J., Díez-Bedmar, M.-C., &amp; Santisteban, A. (2020). Pre-service teachers' critical digital literacy skills and attitudes to address social problems. </w:t>
      </w:r>
      <w:r>
        <w:rPr>
          <w:i/>
        </w:rPr>
        <w:t xml:space="preserve">Social Sciences</w:t>
      </w:r>
      <w:r>
        <w:t xml:space="preserve">, </w:t>
      </w:r>
      <w:r>
        <w:rPr>
          <w:i/>
        </w:rPr>
        <w:t xml:space="preserve">9</w:t>
      </w:r>
      <w:r>
        <w:t xml:space="preserve">(8), Article 134. https://doi.org/10.3390/SOCSCI9080134</w:t>
      </w:r>
    </w:p>
    <w:p>
      <w:pPr/>
      <w:r>
        <w:t xml:space="preserve">Castellví Mata, J., Tosar Bacarizo, B., &amp; Santisteban Fernández, A. (2021). Young people confronting the challenge of reading and interpreting a digital world. </w:t>
      </w:r>
      <w:r>
        <w:rPr>
          <w:i/>
        </w:rPr>
        <w:t xml:space="preserve">Bellaterra Journal of Teaching &amp; Learning Language &amp; Literature</w:t>
      </w:r>
      <w:r>
        <w:t xml:space="preserve">, </w:t>
      </w:r>
      <w:r>
        <w:rPr>
          <w:i/>
        </w:rPr>
        <w:t xml:space="preserve">14</w:t>
      </w:r>
      <w:r>
        <w:t xml:space="preserve">(2), Article e905. https://doi.org/10.5565/REV/JTL3.905</w:t>
      </w:r>
    </w:p>
    <w:p>
      <w:pPr/>
      <w:r>
        <w:t xml:space="preserve">Creely, E., Parr, G., Richardson, H., Carabott, K., McLeod, A., &amp; Scull, J.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Pliogou, V., &amp; Tromara, 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Article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Coleman, J. M.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Gil-Fernández, R., &amp; Calderón-Garrido, D. (2024). Confluencias entre pensamiento crítico y redes sociales en el ámbito educativo. Mapeo de experiencias y detección de desafíos a través de una revisión sistemática [Confluences between critical thinking and social media in the educational world. Mapping experiences and detecting challenges through a systematic review]. </w:t>
      </w:r>
      <w:r>
        <w:rPr>
          <w:i/>
        </w:rPr>
        <w:t xml:space="preserve">Revista Complutense de Educación</w:t>
      </w:r>
      <w:r>
        <w:t xml:space="preserve">, </w:t>
      </w:r>
      <w:r>
        <w:rPr>
          <w:i/>
        </w:rPr>
        <w:t xml:space="preserve">35</w:t>
      </w:r>
      <w:r>
        <w:t xml:space="preserve">(2), 363–379. https://doi.org/10.5209/rced.85615</w:t>
      </w:r>
    </w:p>
    <w:p>
      <w:pPr/>
      <w:r>
        <w:t xml:space="preserve">Esteve-Mon, F. M., Marín Juarros, V. I., Tur Ferrer, G., Orellana Hernández, M. L., Villagrá Sobrino, S., &amp; Aguilar Camaño, D. (2026). Competencia digital crítica, educación abierta y agencia para el aprendizaje: Análisis web del contexto universitario español [Critical digital competence, open education and agency for learning: A web analysis of the Spanish university context]. </w:t>
      </w:r>
      <w:r>
        <w:rPr>
          <w:i/>
        </w:rPr>
        <w:t xml:space="preserve">Aula Abierta</w:t>
      </w:r>
      <w:r>
        <w:t xml:space="preserve">, </w:t>
      </w:r>
      <w:r>
        <w:rPr>
          <w:i/>
        </w:rPr>
        <w:t xml:space="preserve">55</w:t>
      </w:r>
      <w:r>
        <w:t xml:space="preserve">(2), 187–198. https://doi.org/10.17811/rifie.22346</w:t>
      </w:r>
    </w:p>
    <w:p>
      <w:pPr/>
      <w:r>
        <w:t xml:space="preserve">Farag, A., Greeley, L., &amp; Swindell, A.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Activismo digital y alfabetización crítica: Agencia universitaria para la justicia sociolingüística en Perú [Digital activism and critical literacy: University agency for sociolinguistic justice in Peru]. </w:t>
      </w:r>
      <w:r>
        <w:rPr>
          <w:i/>
        </w:rPr>
        <w:t xml:space="preserve">Lengua y Sociedad</w:t>
      </w:r>
      <w:r>
        <w:t xml:space="preserve">, </w:t>
      </w:r>
      <w:r>
        <w:rPr>
          <w:i/>
        </w:rPr>
        <w:t xml:space="preserve">25</w:t>
      </w:r>
      <w:r>
        <w:t xml:space="preserve">(1), Article e32220. https://doi.org/10.15381/lengsoc.v25i1.32220</w:t>
      </w:r>
    </w:p>
    <w:p>
      <w:pPr/>
      <w:r>
        <w:t xml:space="preserve">Freire, P. (1970). </w:t>
      </w:r>
      <w:r>
        <w:rPr>
          <w:i/>
        </w:rPr>
        <w:t xml:space="preserve">Pedagogy of the oppressed</w:t>
      </w:r>
      <w:r>
        <w:t xml:space="preserve"> (M. B. Ramos, Trans.). Herder and Herder.</w:t>
      </w:r>
    </w:p>
    <w:p>
      <w:pPr/>
      <w:r>
        <w:t xml:space="preserve">Gerlach, D., Schildhauer, P., &amp; Weiser-Zurmühlen, K.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Article 103871. https://doi.org/10.1016/j.system.2025.103871</w:t>
      </w:r>
    </w:p>
    <w:p>
      <w:pPr/>
      <w:r>
        <w:t xml:space="preserve">González-Villa, Á., &amp; Gewerc, A. (2026). Prácticas adolescentes de negociación de la privacidad en Instagram: La necesidad de alfabetización digital crítica en la escuela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Lakkala, M., Raffaghelli, J., Ranieri, M., Roffi, A., &amp; Ilomäki, L.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Hendriwanto, &amp; De Costa, P. I. (2026). Decolonizing academic writing in the age of AI: A photovoice study through a critical digital literacy lens. </w:t>
      </w:r>
      <w:r>
        <w:rPr>
          <w:i/>
        </w:rPr>
        <w:t xml:space="preserve">LLT Journal: A Journal on Language and Language Teaching</w:t>
      </w:r>
      <w:r>
        <w:t xml:space="preserve">, </w:t>
      </w:r>
      <w:r>
        <w:rPr>
          <w:i/>
        </w:rPr>
        <w:t xml:space="preserve">29</w:t>
      </w:r>
      <w:r>
        <w:t xml:space="preserve">(1), 51–73. https://doi.org/10.24071/llt.v29i1.619</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Hafner, C. A.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Article 103867. https://doi.org/10.1016/j.system.2025.103867</w:t>
      </w:r>
    </w:p>
    <w:p>
      <w:pPr/>
      <w:r>
        <w:t xml:space="preserve">Ilomäki, L., Lakkala, M., Kallunki, V., Mundy, D., Romero, M., Romeu, T., &amp; Gouseti, A. (2023). Critical digital literacies at school level: A systematic review. </w:t>
      </w:r>
      <w:r>
        <w:rPr>
          <w:i/>
        </w:rPr>
        <w:t xml:space="preserve">Review of Education</w:t>
      </w:r>
      <w:r>
        <w:t xml:space="preserve">, </w:t>
      </w:r>
      <w:r>
        <w:rPr>
          <w:i/>
        </w:rPr>
        <w:t xml:space="preserve">11</w:t>
      </w:r>
      <w:r>
        <w:t xml:space="preserve">(3), Article e3425. https://doi.org/10.1002/rev3.3425</w:t>
      </w:r>
    </w:p>
    <w:p>
      <w:pPr/>
      <w:r>
        <w:t xml:space="preserve">Janks, H. (2010). </w:t>
      </w:r>
      <w:r>
        <w:rPr>
          <w:i/>
        </w:rPr>
        <w:t xml:space="preserve">Literacy and power</w:t>
      </w:r>
      <w:r>
        <w:t xml:space="preserve">. Routledge. https://doi.org/10.4324/9780203869956</w:t>
      </w:r>
    </w:p>
    <w:p>
      <w:pPr/>
      <w:r>
        <w:t xml:space="preserve">Javahery, P., Alpat, M. F., &amp; Kamali, J.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Article 194. https://doi.org/10.1007/s10791-025-09720-0</w:t>
      </w:r>
    </w:p>
    <w:p>
      <w:pPr/>
      <w:r>
        <w:t xml:space="preserve">Javahery, P., Alpat, M. F., &amp; Kamali, J. (2026). #LearnEnglish: Social media, language learning, and the need for critical digital literacy. </w:t>
      </w:r>
      <w:r>
        <w:rPr>
          <w:i/>
        </w:rPr>
        <w:t xml:space="preserve">Journal of Applied Learning and Teaching</w:t>
      </w:r>
      <w:r>
        <w:t xml:space="preserve">, </w:t>
      </w:r>
      <w:r>
        <w:rPr>
          <w:i/>
        </w:rPr>
        <w:t xml:space="preserve">9</w:t>
      </w:r>
      <w:r>
        <w:t xml:space="preserve">(1), 68–87. https://doi.org/10.37074/jalt.2026.9.1.10</w:t>
      </w:r>
    </w:p>
    <w:p>
      <w:pPr/>
      <w:r>
        <w:t xml:space="preserve">Jiménez Torras, D., Noguera Pigem, E., &amp; Lara Blanco, 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Markovic, M.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Cheung, M. M., Lee, V. W. Y., &amp; De Costa, P. I.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Article 103930. https://doi.org/10.1016/j.system.2025.103930</w:t>
      </w:r>
    </w:p>
    <w:p>
      <w:pPr/>
      <w:r>
        <w:t xml:space="preserve">Kwon, L., &amp; de los Ríos, C. V.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Lalira, J. E., &amp; Warouw, M. P. (2026). Critical digital literacy enacted by Indonesian first-year undergraduates: A corpus-assisted study. </w:t>
      </w:r>
      <w:r>
        <w:rPr>
          <w:i/>
        </w:rPr>
        <w:t xml:space="preserve">Reading &amp; Writing</w:t>
      </w:r>
      <w:r>
        <w:t xml:space="preserve">, </w:t>
      </w:r>
      <w:r>
        <w:rPr>
          <w:i/>
        </w:rPr>
        <w:t xml:space="preserve">17</w:t>
      </w:r>
      <w:r>
        <w:t xml:space="preserve">(1), Article a700. https://doi.org/10.4102/rw.v17i1.700</w:t>
      </w:r>
    </w:p>
    <w:p>
      <w:pPr/>
      <w:r>
        <w:t xml:space="preserve">Lewis, C., Crampton, A., &amp; Scharber, C.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H.-C., Wang, T.-H., &amp; Chen, 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Article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López-Fernández, R., George-Reyes, C. E., Sorhegui-Ortega, R. A., &amp; Sandoval-Benítez, L. F. (2026). Inteligencia artificial en la universidad: Análisis de género de las perspectivas éticas y regulatorias en cinco escenarios internacionales [Artificial intelligence in higher education: A gender analysis of ethical and regulatory perspectives across five international scenarios]. </w:t>
      </w:r>
      <w:r>
        <w:rPr>
          <w:i/>
        </w:rPr>
        <w:t xml:space="preserve">Edutec</w:t>
      </w:r>
      <w:r>
        <w:t xml:space="preserve">, (96), Article 1. https://doi.org/10.21556/edutec.2026.96.4421</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Koltovskaia, S.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Article 44. https://doi.org/10.1186/s40862-025-00350-z</w:t>
      </w:r>
    </w:p>
    <w:p>
      <w:pPr/>
      <w:r>
        <w:t xml:space="preserve">Maiorana, F., Altieri, S., Colli, A., Labri, M., Nazzaro, L., Porta, M., Severi, A., &amp; Cristaldi, G.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Coopilton, M., English, D., Tynes, B. M., Gibson, S. M., Kahne, J., &amp; Willis, H. A.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W.-A., Fernández-Morante, C., &amp; Cebreiro-López, B. (2022). Critical media literacy to improve students' competencies. </w:t>
      </w:r>
      <w:r>
        <w:rPr>
          <w:i/>
        </w:rPr>
        <w:t xml:space="preserve">Comunicar</w:t>
      </w:r>
      <w:r>
        <w:t xml:space="preserve">, </w:t>
      </w:r>
      <w:r>
        <w:rPr>
          <w:i/>
        </w:rPr>
        <w:t xml:space="preserve">30</w:t>
      </w:r>
      <w:r>
        <w:t xml:space="preserve">(70), 47–57.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Wan, Y., Wu, C., Wu, M., &amp; Ho, T. Y. (2025). Generative AI tools and empowerment in L2 academic writing. </w:t>
      </w:r>
      <w:r>
        <w:rPr>
          <w:i/>
        </w:rPr>
        <w:t xml:space="preserve">System</w:t>
      </w:r>
      <w:r>
        <w:t xml:space="preserve">, </w:t>
      </w:r>
      <w:r>
        <w:rPr>
          <w:i/>
        </w:rPr>
        <w:t xml:space="preserve">133</w:t>
      </w:r>
      <w:r>
        <w:t xml:space="preserve">, Article 103779. https://doi.org/10.1016/j.system.2025.103779</w:t>
      </w:r>
    </w:p>
    <w:p>
      <w:pPr/>
      <w:r>
        <w:t xml:space="preserve">Moreno-González, A., Rivera-Vargas, P., Calderón-Garrido, D., &amp; Fardella, C. (2026). Entre la protección y la participación: Experiencias del alumnado de educación primaria en contextos de plataformización escolar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Gachago, D.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1–19.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Article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Peters, M. D. J., Godfrey, C., McInerney, P., Munn, Z., Tricco, A. C., &amp; Khalil, H. (2024). Scoping reviews. In E. Aromataris, C. Lockwood, K. Porritt, B. Pilla, &amp; Z. Jordan (Eds.), </w:t>
      </w:r>
      <w:r>
        <w:rPr>
          <w:i/>
        </w:rPr>
        <w:t xml:space="preserve">JBI manual for evidence synthesis</w:t>
      </w:r>
      <w:r>
        <w:t xml:space="preserve">. JBI. https://doi.org/10.46658/JBIMES-24-09</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González-Villa, Á., Rodríguez-González, C., &amp; Gewerc, A. (2026). Mirarse para ser vistas: Autovigilancia de género y retos de alfabetización digital crítica para una adolescencia plataformizada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Cabezas-González, M., Casillas-Martín, S., &amp; Nevado-Batalla Moreno, P. (2026). From virality to pedagogy: A systematic and comprehensive review of TikTok's educational use in South America. </w:t>
      </w:r>
      <w:r>
        <w:rPr>
          <w:i/>
        </w:rPr>
        <w:t xml:space="preserve">Frontiers in Education</w:t>
      </w:r>
      <w:r>
        <w:t xml:space="preserve">, </w:t>
      </w:r>
      <w:r>
        <w:rPr>
          <w:i/>
        </w:rPr>
        <w:t xml:space="preserve">11</w:t>
      </w:r>
      <w:r>
        <w:t xml:space="preserve">, Article 1716735. https://doi.org/10.3389/feduc.2026.1716735</w:t>
      </w:r>
    </w:p>
    <w:p>
      <w:pPr/>
      <w:r>
        <w:t xml:space="preserve">Salazar-Jiménez, R., Orellana Fonseca, C., &amp; Fuentes Rodríguez, C. (2026). Formación inicial docente y ciudadanía digital: Tensiones y desafíos en la enseñanza de las ciencias sociales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Samaniego, J. M., &amp; Digón-Regueiro, P. (2026). Alfabetización digital crítica en el currículo de Educación Secundaria Obligatoria [Critical digital literacy in the curriculum of compulsory secondary education]. </w:t>
      </w:r>
      <w:r>
        <w:rPr>
          <w:i/>
        </w:rPr>
        <w:t xml:space="preserve">Digital Education Review</w:t>
      </w:r>
      <w:r>
        <w:t xml:space="preserve">, (49), 278–292. https://doi.org/10.1344/der.2026.49.278-292</w:t>
      </w:r>
    </w:p>
    <w:p>
      <w:pPr/>
      <w:r>
        <w:t xml:space="preserve">Santisteban, A., Díez-Bedmar, M.-C., &amp; Castellví, J.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Hauck, M., &amp; Bilki, Z.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Ash, G. E., Salazar, I., Pruitt, R., Wallach, D., Breed, E., Saldana, S., &amp; Szachacz, A.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Espina, C. 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Hsieh, B., Smith, A., &amp; Pandya, J. Z.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Rodgers, D. J.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Seargeant, P.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Article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 https://doi.org/10.1093/oso/9780190889760.001.0001</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Article 102871. https://doi.org/10.1016/j.compcom.2024.102871</w:t>
      </w:r>
    </w:p>
    <w:p>
      <w:pPr/>
      <w:r>
        <w:t xml:space="preserve">Villar-Onrubia, D., Morini, L., Marín, V. I., &amp; Nascimbeni, F.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 With new examples of knowledge, skills and attitudes</w:t>
      </w:r>
      <w:r>
        <w:t xml:space="preserve">. Publications Office of the European Union. https://doi.org/10.2760/115376</w:t>
      </w:r>
    </w:p>
    <w:p>
      <w:pPr/>
      <w:r>
        <w:t xml:space="preserve">Wang, S., &amp; Xu, F.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Article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Xu, H. (2026). AI, representation, and critical digital literacy: Navigating visual bias in the digital age. </w:t>
      </w:r>
      <w:r>
        <w:rPr>
          <w:i/>
        </w:rPr>
        <w:t xml:space="preserve">System</w:t>
      </w:r>
      <w:r>
        <w:t xml:space="preserve">, </w:t>
      </w:r>
      <w:r>
        <w:rPr>
          <w:i/>
        </w:rPr>
        <w:t xml:space="preserve">136</w:t>
      </w:r>
      <w:r>
        <w:t xml:space="preserve">, Article 103896. https://doi.org/10.1016/j.system.2025.103896</w:t>
      </w:r>
    </w:p>
    <w:p>
      <w:pPr/>
      <w:r>
        <w:t xml:space="preserve">Williamson, B. (2017). </w:t>
      </w:r>
      <w:r>
        <w:rPr>
          <w:i/>
        </w:rPr>
        <w:t xml:space="preserve">Big data in education: The digital future of learning, policy and practice</w:t>
      </w:r>
      <w:r>
        <w:t xml:space="preserve">. SAGE. https://doi.org/10.4135/9781529714920</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Article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spacing w:line="240" w:lineRule="auto"/>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spacing w:line="240" w:lineRule="auto" w:after="40"/>
            </w:pPr>
            <w:r>
              <w:t xml:space="preserve">Indicator</w:t>
            </w:r>
          </w:p>
        </w:tc>
        <w:tc>
          <w:tcPr>
            <w:tcW w:w="2315" w:type="dxa"/>
            <w:shd w:val="clear" w:color="auto" w:fill="F2F2F2"/>
          </w:tcPr>
          <w:p>
            <w:pPr>
              <w:spacing w:line="240" w:lineRule="auto" w:after="40"/>
            </w:pPr>
            <w:r>
              <w:t xml:space="preserve">Where it is searched</w:t>
            </w:r>
          </w:p>
        </w:tc>
        <w:tc>
          <w:tcPr>
            <w:tcW w:w="4920" w:type="dxa"/>
            <w:shd w:val="clear" w:color="auto" w:fill="F2F2F2"/>
          </w:tcPr>
          <w:p>
            <w:pPr>
              <w:spacing w:line="240" w:lineRule="auto" w:after="40"/>
            </w:pPr>
            <w:r>
              <w:t xml:space="preserve">Terms</w:t>
            </w:r>
          </w:p>
        </w:tc>
      </w:tr>
      <w:tr>
        <w:tc>
          <w:tcPr>
            <w:tcW w:w="2125" w:type="dxa"/>
          </w:tcPr>
          <w:p>
            <w:pPr>
              <w:spacing w:line="240" w:lineRule="auto" w:after="40"/>
            </w:pPr>
            <w:r>
              <w:t xml:space="preserve">K: keywords name CDL</w:t>
            </w:r>
          </w:p>
        </w:tc>
        <w:tc>
          <w:tcPr>
            <w:tcW w:w="2315" w:type="dxa"/>
          </w:tcPr>
          <w:p>
            <w:pPr>
              <w:spacing w:line="240" w:lineRule="auto" w:after="40"/>
            </w:pPr>
            <w:r>
              <w:t xml:space="preserve">Author keywords (</w:t>
            </w:r>
            <w:r>
              <w:rPr>
                <w:rStyle w:val="CodeChar"/>
              </w:rPr>
              <w:t xml:space="preserve">KEY</w:t>
            </w:r>
            <w:r>
              <w:t xml:space="preserve">)</w:t>
            </w:r>
          </w:p>
        </w:tc>
        <w:tc>
          <w:tcPr>
            <w:tcW w:w="4920" w:type="dxa"/>
          </w:tcPr>
          <w:p>
            <w:pPr>
              <w:spacing w:line="240" w:lineRule="auto" w:after="40"/>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spacing w:line="240" w:lineRule="auto" w:after="40"/>
            </w:pPr>
            <w:r>
              <w:t xml:space="preserve">A: abstract names CDL</w:t>
            </w:r>
          </w:p>
        </w:tc>
        <w:tc>
          <w:tcPr>
            <w:tcW w:w="2315" w:type="dxa"/>
          </w:tcPr>
          <w:p>
            <w:pPr>
              <w:spacing w:line="240" w:lineRule="auto" w:after="40"/>
            </w:pPr>
            <w:r>
              <w:t xml:space="preserve">Abstract (</w:t>
            </w:r>
            <w:r>
              <w:rPr>
                <w:rStyle w:val="CodeChar"/>
              </w:rPr>
              <w:t xml:space="preserve">ABS</w:t>
            </w:r>
            <w:r>
              <w:t xml:space="preserve">)</w:t>
            </w:r>
          </w:p>
        </w:tc>
        <w:tc>
          <w:tcPr>
            <w:tcW w:w="4920" w:type="dxa"/>
          </w:tcPr>
          <w:p>
            <w:pPr>
              <w:spacing w:line="240" w:lineRule="auto" w:after="40"/>
            </w:pPr>
            <w:r>
              <w:t xml:space="preserve">The same terms as K</w:t>
            </w:r>
          </w:p>
        </w:tc>
      </w:tr>
      <w:tr>
        <w:tc>
          <w:tcPr>
            <w:tcW w:w="2125" w:type="dxa"/>
          </w:tcPr>
          <w:p>
            <w:pPr>
              <w:spacing w:line="240" w:lineRule="auto" w:after="40"/>
            </w:pPr>
            <w:r>
              <w:t xml:space="preserve">P: sociopolitical dimension</w:t>
            </w:r>
          </w:p>
        </w:tc>
        <w:tc>
          <w:tcPr>
            <w:tcW w:w="2315" w:type="dxa"/>
          </w:tcPr>
          <w:p>
            <w:pPr>
              <w:spacing w:line="240" w:lineRule="auto" w:after="40"/>
            </w:pPr>
            <w:r>
              <w:t xml:space="preserve">Abstract or author keywords</w:t>
            </w:r>
          </w:p>
        </w:tc>
        <w:tc>
          <w:tcPr>
            <w:tcW w:w="4920" w:type="dxa"/>
          </w:tcPr>
          <w:p>
            <w:pPr>
              <w:spacing w:line="240" w:lineRule="auto" w:after="40"/>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spacing w:line="240" w:lineRule="auto" w:after="40"/>
            </w:pPr>
            <w:r>
              <w:t xml:space="preserve">Title names CDL</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spacing w:line="240" w:lineRule="auto" w:after="40"/>
            </w:pPr>
            <w:r>
              <w:t xml:space="preserve">Title refers to a digital technology</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spacing w:line="240" w:lineRule="auto" w:after="40"/>
            </w:pPr>
            <w:r>
              <w:t xml:space="preserve">Variable</w:t>
            </w:r>
          </w:p>
        </w:tc>
        <w:tc>
          <w:tcPr>
            <w:tcW w:w="2190" w:type="dxa"/>
            <w:shd w:val="clear" w:color="auto" w:fill="F2F2F2"/>
          </w:tcPr>
          <w:p>
            <w:pPr>
              <w:spacing w:line="240" w:lineRule="auto" w:after="40"/>
            </w:pPr>
            <w:r>
              <w:t xml:space="preserve">Category</w:t>
            </w:r>
          </w:p>
        </w:tc>
        <w:tc>
          <w:tcPr>
            <w:tcW w:w="4068" w:type="dxa"/>
            <w:shd w:val="clear" w:color="auto" w:fill="F2F2F2"/>
          </w:tcPr>
          <w:p>
            <w:pPr>
              <w:spacing w:line="240" w:lineRule="auto" w:after="40"/>
            </w:pPr>
            <w:r>
              <w:t xml:space="preserve">Broad dictionary</w:t>
            </w:r>
          </w:p>
        </w:tc>
        <w:tc>
          <w:tcPr>
            <w:tcW w:w="1916" w:type="dxa"/>
            <w:shd w:val="clear" w:color="auto" w:fill="F2F2F2"/>
          </w:tcPr>
          <w:p>
            <w:pPr>
              <w:spacing w:line="240" w:lineRule="auto" w:after="40"/>
            </w:pPr>
            <w:r>
              <w:t xml:space="preserve">Strict dictionary</w:t>
            </w:r>
          </w:p>
        </w:tc>
      </w:tr>
      <w:tr>
        <w:tc>
          <w:tcPr>
            <w:tcW w:w="1186" w:type="dxa"/>
          </w:tcPr>
          <w:p>
            <w:pPr>
              <w:spacing w:line="240" w:lineRule="auto" w:after="40"/>
            </w:pPr>
            <w:r>
              <w:t xml:space="preserve">Level</w:t>
            </w:r>
          </w:p>
        </w:tc>
        <w:tc>
          <w:tcPr>
            <w:tcW w:w="2190" w:type="dxa"/>
          </w:tcPr>
          <w:p>
            <w:pPr>
              <w:spacing w:line="240" w:lineRule="auto" w:after="40"/>
            </w:pPr>
            <w:r>
              <w:t xml:space="preserve">Early childhood and primary</w:t>
            </w:r>
          </w:p>
        </w:tc>
        <w:tc>
          <w:tcPr>
            <w:tcW w:w="4068" w:type="dxa"/>
          </w:tcPr>
          <w:p>
            <w:pPr>
              <w:spacing w:line="240" w:lineRule="auto" w:after="40"/>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spacing w:line="240" w:lineRule="auto" w:after="40"/>
            </w:pPr>
            <w:r>
              <w:rPr>
                <w:rStyle w:val="CodeChar"/>
              </w:rPr>
              <w:t xml:space="preserve">"primary school*" OR "primary education" OR "elementary school*" OR "early childhood"</w:t>
            </w:r>
          </w:p>
        </w:tc>
      </w:tr>
      <w:tr>
        <w:tc>
          <w:tcPr>
            <w:tcW w:w="1186" w:type="dxa"/>
          </w:tcPr>
          <w:p>
            <w:pPr>
              <w:spacing w:line="240" w:lineRule="auto" w:after="40"/>
            </w:pPr>
            <w:r>
              <w:t xml:space="preserve">Level</w:t>
            </w:r>
          </w:p>
        </w:tc>
        <w:tc>
          <w:tcPr>
            <w:tcW w:w="2190" w:type="dxa"/>
          </w:tcPr>
          <w:p>
            <w:pPr>
              <w:spacing w:line="240" w:lineRule="auto" w:after="40"/>
            </w:pPr>
            <w:r>
              <w:t xml:space="preserve">Secondary</w:t>
            </w:r>
          </w:p>
        </w:tc>
        <w:tc>
          <w:tcPr>
            <w:tcW w:w="4068" w:type="dxa"/>
          </w:tcPr>
          <w:p>
            <w:pPr>
              <w:spacing w:line="240" w:lineRule="auto" w:after="40"/>
            </w:pPr>
            <w:r>
              <w:rPr>
                <w:rStyle w:val="CodeChar"/>
              </w:rPr>
              <w:t xml:space="preserve">"secondary school" OR "secondary education" OR "high school" OR "middle school" OR adolescen* OR teenager* OR "ninth-grade" OR "educación secundaria" OR bachillerato</w:t>
            </w:r>
          </w:p>
        </w:tc>
        <w:tc>
          <w:tcPr>
            <w:tcW w:w="1916" w:type="dxa"/>
          </w:tcPr>
          <w:p>
            <w:pPr>
              <w:spacing w:line="240" w:lineRule="auto" w:after="40"/>
            </w:pPr>
            <w:r>
              <w:rPr>
                <w:rStyle w:val="CodeChar"/>
              </w:rPr>
              <w:t xml:space="preserve">"secondary school*" OR "secondary education" OR "high school*"</w:t>
            </w:r>
          </w:p>
        </w:tc>
      </w:tr>
      <w:tr>
        <w:tc>
          <w:tcPr>
            <w:tcW w:w="1186" w:type="dxa"/>
          </w:tcPr>
          <w:p>
            <w:pPr>
              <w:spacing w:line="240" w:lineRule="auto" w:after="40"/>
            </w:pPr>
            <w:r>
              <w:t xml:space="preserve">Level</w:t>
            </w:r>
          </w:p>
        </w:tc>
        <w:tc>
          <w:tcPr>
            <w:tcW w:w="2190" w:type="dxa"/>
          </w:tcPr>
          <w:p>
            <w:pPr>
              <w:spacing w:line="240" w:lineRule="auto" w:after="40"/>
            </w:pPr>
            <w:r>
              <w:t xml:space="preserve">Higher education</w:t>
            </w:r>
          </w:p>
        </w:tc>
        <w:tc>
          <w:tcPr>
            <w:tcW w:w="4068" w:type="dxa"/>
          </w:tcPr>
          <w:p>
            <w:pPr>
              <w:spacing w:line="240" w:lineRule="auto" w:after="40"/>
            </w:pPr>
            <w:r>
              <w:rPr>
                <w:rStyle w:val="CodeChar"/>
              </w:rPr>
              <w:t xml:space="preserve">"higher education" OR universit* OR undergraduate* OR college OR "graduate students" OR "educación superior"</w:t>
            </w:r>
          </w:p>
        </w:tc>
        <w:tc>
          <w:tcPr>
            <w:tcW w:w="1916" w:type="dxa"/>
          </w:tcPr>
          <w:p>
            <w:pPr>
              <w:spacing w:line="240" w:lineRule="auto" w:after="40"/>
            </w:pPr>
            <w:r>
              <w:rPr>
                <w:rStyle w:val="CodeChar"/>
              </w:rPr>
              <w:t xml:space="preserve">"higher education" OR "university students" OR undergraduate*</w:t>
            </w:r>
          </w:p>
        </w:tc>
      </w:tr>
      <w:tr>
        <w:tc>
          <w:tcPr>
            <w:tcW w:w="1186" w:type="dxa"/>
          </w:tcPr>
          <w:p>
            <w:pPr>
              <w:spacing w:line="240" w:lineRule="auto" w:after="40"/>
            </w:pPr>
            <w:r>
              <w:t xml:space="preserve">Level</w:t>
            </w:r>
          </w:p>
        </w:tc>
        <w:tc>
          <w:tcPr>
            <w:tcW w:w="2190" w:type="dxa"/>
          </w:tcPr>
          <w:p>
            <w:pPr>
              <w:spacing w:line="240" w:lineRule="auto" w:after="40"/>
            </w:pPr>
            <w:r>
              <w:t xml:space="preserve">Teacher education</w:t>
            </w:r>
          </w:p>
        </w:tc>
        <w:tc>
          <w:tcPr>
            <w:tcW w:w="4068" w:type="dxa"/>
          </w:tcPr>
          <w:p>
            <w:pPr>
              <w:spacing w:line="240" w:lineRule="auto" w:after="40"/>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spacing w:line="240" w:lineRule="auto" w:after="40"/>
            </w:pPr>
            <w:r>
              <w:rPr>
                <w:rStyle w:val="CodeChar"/>
              </w:rPr>
              <w:t xml:space="preserve">"pre-service teacher*" OR "preservice teacher*" OR "teacher education" OR "initial teacher education"</w:t>
            </w:r>
          </w:p>
        </w:tc>
      </w:tr>
      <w:tr>
        <w:tc>
          <w:tcPr>
            <w:tcW w:w="1186" w:type="dxa"/>
          </w:tcPr>
          <w:p>
            <w:pPr>
              <w:spacing w:line="240" w:lineRule="auto" w:after="40"/>
            </w:pPr>
            <w:r>
              <w:t xml:space="preserve">Design</w:t>
            </w:r>
          </w:p>
        </w:tc>
        <w:tc>
          <w:tcPr>
            <w:tcW w:w="2190" w:type="dxa"/>
          </w:tcPr>
          <w:p>
            <w:pPr>
              <w:spacing w:line="240" w:lineRule="auto" w:after="40"/>
            </w:pPr>
            <w:r>
              <w:t xml:space="preserve">Literature review</w:t>
            </w:r>
          </w:p>
        </w:tc>
        <w:tc>
          <w:tcPr>
            <w:tcW w:w="4068" w:type="dxa"/>
          </w:tcPr>
          <w:p>
            <w:pPr>
              <w:spacing w:line="240" w:lineRule="auto" w:after="40"/>
            </w:pPr>
            <w:r>
              <w:rPr>
                <w:rStyle w:val="CodeChar"/>
              </w:rPr>
              <w:t xml:space="preserve">"systematic review" OR "literature review" OR "scoping review" OR "narrative review" OR "revisión sistemática" OR bibliometric</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Conceptual or theoretical</w:t>
            </w:r>
          </w:p>
        </w:tc>
        <w:tc>
          <w:tcPr>
            <w:tcW w:w="4068" w:type="dxa"/>
          </w:tcPr>
          <w:p>
            <w:pPr>
              <w:spacing w:line="240" w:lineRule="auto" w:after="40"/>
            </w:pPr>
            <w:r>
              <w:rPr>
                <w:rStyle w:val="CodeChar"/>
              </w:rPr>
              <w:t xml:space="preserve">theoretical OR "conceptual paper" OR "conceptual article" OR "we argue" OR "this essay" OR "this article argues" OR "this paper argues" OR ensayo OR "reflexión teórica"</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Qualitative</w:t>
            </w:r>
          </w:p>
        </w:tc>
        <w:tc>
          <w:tcPr>
            <w:tcW w:w="4068" w:type="dxa"/>
          </w:tcPr>
          <w:p>
            <w:pPr>
              <w:spacing w:line="240" w:lineRule="auto" w:after="40"/>
            </w:pPr>
            <w:r>
              <w:rPr>
                <w:rStyle w:val="CodeChar"/>
              </w:rPr>
              <w:t xml:space="preserve">qualitative OR "case study" OR ethnograph* OR interview* OR "focus group*" OR "action research" OR narrative OR autoethnograph* OR "discourse analysis" OR cualitativ*</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Quantitative</w:t>
            </w:r>
          </w:p>
        </w:tc>
        <w:tc>
          <w:tcPr>
            <w:tcW w:w="4068" w:type="dxa"/>
          </w:tcPr>
          <w:p>
            <w:pPr>
              <w:spacing w:line="240" w:lineRule="auto" w:after="40"/>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Intervention or designed teaching</w:t>
            </w:r>
          </w:p>
        </w:tc>
        <w:tc>
          <w:tcPr>
            <w:tcW w:w="4068" w:type="dxa"/>
          </w:tcPr>
          <w:p>
            <w:pPr>
              <w:spacing w:line="240" w:lineRule="auto" w:after="40"/>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Critical pedagogy (Freirean)</w:t>
            </w:r>
          </w:p>
        </w:tc>
        <w:tc>
          <w:tcPr>
            <w:tcW w:w="4068" w:type="dxa"/>
          </w:tcPr>
          <w:p>
            <w:pPr>
              <w:spacing w:line="240" w:lineRule="auto" w:after="40"/>
            </w:pPr>
            <w:r>
              <w:rPr>
                <w:rStyle w:val="CodeChar"/>
              </w:rPr>
              <w:t xml:space="preserve">freire* OR "critical pedagogy" OR "pedagogía crítica" OR emancipat* OR conscientiz*</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Multiliteracies and New Literacy Studies</w:t>
            </w:r>
          </w:p>
        </w:tc>
        <w:tc>
          <w:tcPr>
            <w:tcW w:w="4068" w:type="dxa"/>
          </w:tcPr>
          <w:p>
            <w:pPr>
              <w:spacing w:line="240" w:lineRule="auto" w:after="40"/>
            </w:pPr>
            <w:r>
              <w:rPr>
                <w:rStyle w:val="CodeChar"/>
              </w:rPr>
              <w:t xml:space="preserve">multiliterac* OR "new literacies" OR "new literacy studies" OR multimodal* OR "social semiotic*" OR multiliteracidades</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Media literacy and educommunication</w:t>
            </w:r>
          </w:p>
        </w:tc>
        <w:tc>
          <w:tcPr>
            <w:tcW w:w="4068" w:type="dxa"/>
          </w:tcPr>
          <w:p>
            <w:pPr>
              <w:spacing w:line="240" w:lineRule="auto" w:after="40"/>
            </w:pPr>
            <w:r>
              <w:rPr>
                <w:rStyle w:val="CodeChar"/>
              </w:rPr>
              <w:t xml:space="preserve">"media literacy" OR "media education" OR educommunication OR educomunicación OR "alfabetización mediática" OR "media and information literacy"</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Digital citizenship</w:t>
            </w:r>
          </w:p>
        </w:tc>
        <w:tc>
          <w:tcPr>
            <w:tcW w:w="4068" w:type="dxa"/>
          </w:tcPr>
          <w:p>
            <w:pPr>
              <w:spacing w:line="240" w:lineRule="auto" w:after="40"/>
            </w:pPr>
            <w:r>
              <w:rPr>
                <w:rStyle w:val="CodeChar"/>
              </w:rPr>
              <w:t xml:space="preserve">"digital citizenship" OR civic OR citizenship OR ciudadanía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Race, gender and decolonial perspectives</w:t>
            </w:r>
          </w:p>
        </w:tc>
        <w:tc>
          <w:tcPr>
            <w:tcW w:w="4068" w:type="dxa"/>
          </w:tcPr>
          <w:p>
            <w:pPr>
              <w:spacing w:line="240" w:lineRule="auto" w:after="40"/>
            </w:pPr>
            <w:r>
              <w:rPr>
                <w:rStyle w:val="CodeChar"/>
              </w:rPr>
              <w:t xml:space="preserve">race OR racism OR racial OR "critical race" OR gender OR feminis* OR queer OR decoloni* OR género</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Artificial intelligence</w:t>
            </w:r>
          </w:p>
        </w:tc>
        <w:tc>
          <w:tcPr>
            <w:tcW w:w="4068" w:type="dxa"/>
          </w:tcPr>
          <w:p>
            <w:pPr>
              <w:spacing w:line="240" w:lineRule="auto" w:after="40"/>
            </w:pPr>
            <w:r>
              <w:rPr>
                <w:rStyle w:val="CodeChar"/>
              </w:rPr>
              <w:t xml:space="preserve">"artificial intelligence" OR "generative AI" OR genai OR chatgpt OR "large language model*" OR "inteligencia artificial"</w:t>
            </w:r>
          </w:p>
        </w:tc>
        <w:tc>
          <w:tcPr>
            <w:tcW w:w="1916" w:type="dxa"/>
          </w:tcPr>
          <w:p>
            <w:pPr>
              <w:spacing w:line="240" w:lineRule="auto" w:after="40"/>
            </w:pPr>
            <w:r>
              <w:rPr>
                <w:rStyle w:val="CodeChar"/>
              </w:rPr>
              <w:t xml:space="preserve">"generative AI" OR "generative artificial intelligence" OR chatgpt OR "large language model*" OR genai</w:t>
            </w:r>
          </w:p>
        </w:tc>
      </w:tr>
      <w:tr>
        <w:tc>
          <w:tcPr>
            <w:tcW w:w="1186" w:type="dxa"/>
          </w:tcPr>
          <w:p>
            <w:pPr>
              <w:spacing w:line="240" w:lineRule="auto" w:after="40"/>
            </w:pPr>
            <w:r>
              <w:t xml:space="preserve">Object</w:t>
            </w:r>
          </w:p>
        </w:tc>
        <w:tc>
          <w:tcPr>
            <w:tcW w:w="2190" w:type="dxa"/>
          </w:tcPr>
          <w:p>
            <w:pPr>
              <w:spacing w:line="240" w:lineRule="auto" w:after="40"/>
            </w:pPr>
            <w:r>
              <w:t xml:space="preserve">Algorithms, data and platforms</w:t>
            </w:r>
          </w:p>
        </w:tc>
        <w:tc>
          <w:tcPr>
            <w:tcW w:w="4068" w:type="dxa"/>
          </w:tcPr>
          <w:p>
            <w:pPr>
              <w:spacing w:line="240" w:lineRule="auto" w:after="40"/>
            </w:pPr>
            <w:r>
              <w:rPr>
                <w:rStyle w:val="CodeChar"/>
              </w:rPr>
              <w:t xml:space="preserve">algorithm* OR datafication OR "data literacy" OR platform* OR "big data" OR algoritm* OR plataform*</w:t>
            </w:r>
          </w:p>
        </w:tc>
        <w:tc>
          <w:tcPr>
            <w:tcW w:w="1916" w:type="dxa"/>
          </w:tcPr>
          <w:p>
            <w:pPr>
              <w:spacing w:line="240" w:lineRule="auto" w:after="40"/>
            </w:pPr>
            <w:r>
              <w:rPr>
                <w:rStyle w:val="CodeChar"/>
              </w:rPr>
              <w:t xml:space="preserve">platform* OR algorithm* OR datafication</w:t>
            </w:r>
          </w:p>
        </w:tc>
      </w:tr>
      <w:tr>
        <w:tc>
          <w:tcPr>
            <w:tcW w:w="1186" w:type="dxa"/>
          </w:tcPr>
          <w:p>
            <w:pPr>
              <w:spacing w:line="240" w:lineRule="auto" w:after="40"/>
            </w:pPr>
            <w:r>
              <w:t xml:space="preserve">Object</w:t>
            </w:r>
          </w:p>
        </w:tc>
        <w:tc>
          <w:tcPr>
            <w:tcW w:w="2190" w:type="dxa"/>
          </w:tcPr>
          <w:p>
            <w:pPr>
              <w:spacing w:line="240" w:lineRule="auto" w:after="40"/>
            </w:pPr>
            <w:r>
              <w:t xml:space="preserve">Social media</w:t>
            </w:r>
          </w:p>
        </w:tc>
        <w:tc>
          <w:tcPr>
            <w:tcW w:w="4068" w:type="dxa"/>
          </w:tcPr>
          <w:p>
            <w:pPr>
              <w:spacing w:line="240" w:lineRule="auto" w:after="40"/>
            </w:pPr>
            <w:r>
              <w:rPr>
                <w:rStyle w:val="CodeChar"/>
              </w:rPr>
              <w:t xml:space="preserve">"social media" OR "social network*" OR instagram OR tiktok OR twitter OR youtube OR snapchat OR whatsapp OR "redes sociales"</w:t>
            </w:r>
          </w:p>
        </w:tc>
        <w:tc>
          <w:tcPr>
            <w:tcW w:w="1916" w:type="dxa"/>
          </w:tcPr>
          <w:p>
            <w:pPr>
              <w:spacing w:line="240" w:lineRule="auto" w:after="40"/>
            </w:pPr>
            <w:r>
              <w:rPr>
                <w:rStyle w:val="CodeChar"/>
              </w:rPr>
              <w:t xml:space="preserve">"social media"</w:t>
            </w:r>
          </w:p>
        </w:tc>
      </w:tr>
      <w:tr>
        <w:tc>
          <w:tcPr>
            <w:tcW w:w="1186" w:type="dxa"/>
          </w:tcPr>
          <w:p>
            <w:pPr>
              <w:spacing w:line="240" w:lineRule="auto" w:after="40"/>
            </w:pPr>
            <w:r>
              <w:t xml:space="preserve">Object</w:t>
            </w:r>
          </w:p>
        </w:tc>
        <w:tc>
          <w:tcPr>
            <w:tcW w:w="2190" w:type="dxa"/>
          </w:tcPr>
          <w:p>
            <w:pPr>
              <w:spacing w:line="240" w:lineRule="auto" w:after="40"/>
            </w:pPr>
            <w:r>
              <w:t xml:space="preserve">Disinformation and post-truth</w:t>
            </w:r>
          </w:p>
        </w:tc>
        <w:tc>
          <w:tcPr>
            <w:tcW w:w="4068" w:type="dxa"/>
          </w:tcPr>
          <w:p>
            <w:pPr>
              <w:spacing w:line="240" w:lineRule="auto" w:after="40"/>
            </w:pPr>
            <w:r>
              <w:rPr>
                <w:rStyle w:val="CodeChar"/>
              </w:rPr>
              <w:t xml:space="preserve">misinformation OR disinformation OR "fake news" OR "post-truth" OR posverdad OR desinformación OR conspira*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Privacy and surveillance</w:t>
            </w:r>
          </w:p>
        </w:tc>
        <w:tc>
          <w:tcPr>
            <w:tcW w:w="4068" w:type="dxa"/>
          </w:tcPr>
          <w:p>
            <w:pPr>
              <w:spacing w:line="240" w:lineRule="auto" w:after="40"/>
            </w:pPr>
            <w:r>
              <w:rPr>
                <w:rStyle w:val="CodeChar"/>
              </w:rPr>
              <w:t xml:space="preserve">privacy OR surveillance OR privacidad OR vigilancia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Hate speech and radicalisation</w:t>
            </w:r>
          </w:p>
        </w:tc>
        <w:tc>
          <w:tcPr>
            <w:tcW w:w="4068" w:type="dxa"/>
          </w:tcPr>
          <w:p>
            <w:pPr>
              <w:spacing w:line="240" w:lineRule="auto" w:after="40"/>
            </w:pPr>
            <w:r>
              <w:rPr>
                <w:rStyle w:val="CodeChar"/>
              </w:rPr>
              <w:t xml:space="preserve">"hate speech" OR radicali* OR extremis* OR "discurso de odio" OR fascis*</w:t>
            </w:r>
          </w:p>
        </w:tc>
        <w:tc>
          <w:tcPr>
            <w:tcW w:w="1916" w:type="dxa"/>
          </w:tcPr>
          <w:p>
            <w:pPr>
              <w:spacing w:line="240" w:lineRule="auto" w:after="40"/>
            </w:pPr>
          </w:p>
        </w:tc>
      </w:tr>
      <w:tr>
        <w:tc>
          <w:tcPr>
            <w:tcW w:w="1186" w:type="dxa"/>
          </w:tcPr>
          <w:p>
            <w:pPr>
              <w:spacing w:line="240" w:lineRule="auto" w:after="40"/>
            </w:pPr>
            <w:r>
              <w:t xml:space="preserve">Context</w:t>
            </w:r>
          </w:p>
        </w:tc>
        <w:tc>
          <w:tcPr>
            <w:tcW w:w="2190" w:type="dxa"/>
          </w:tcPr>
          <w:p>
            <w:pPr>
              <w:spacing w:line="240" w:lineRule="auto" w:after="40"/>
            </w:pPr>
            <w:r>
              <w:t xml:space="preserve">Second or foreign language education</w:t>
            </w:r>
          </w:p>
        </w:tc>
        <w:tc>
          <w:tcPr>
            <w:tcW w:w="4068" w:type="dxa"/>
          </w:tcPr>
          <w:p>
            <w:pPr>
              <w:spacing w:line="240" w:lineRule="auto" w:after="40"/>
            </w:pPr>
            <w:r>
              <w:rPr>
                <w:rStyle w:val="CodeChar"/>
              </w:rPr>
              <w:t xml:space="preserve">EFL OR ESL OR "English language teaching" OR "second language" OR "foreign language" OR L2 OR TESOL OR "lengua extranjera"</w:t>
            </w:r>
          </w:p>
        </w:tc>
        <w:tc>
          <w:tcPr>
            <w:tcW w:w="1916" w:type="dxa"/>
          </w:tcPr>
          <w:p>
            <w:pPr>
              <w:spacing w:line="240" w:lineRule="auto" w:after="40"/>
            </w:pPr>
          </w:p>
        </w:tc>
      </w:tr>
      <w:tr>
        <w:tc>
          <w:tcPr>
            <w:tcW w:w="1186" w:type="dxa"/>
          </w:tcPr>
          <w:p>
            <w:pPr>
              <w:spacing w:line="240" w:lineRule="auto" w:after="40"/>
            </w:pPr>
            <w:r>
              <w:t xml:space="preserve">Practice</w:t>
            </w:r>
          </w:p>
        </w:tc>
        <w:tc>
          <w:tcPr>
            <w:tcW w:w="2190" w:type="dxa"/>
          </w:tcPr>
          <w:p>
            <w:pPr>
              <w:spacing w:line="240" w:lineRule="auto" w:after="40"/>
            </w:pPr>
            <w:r>
              <w:t xml:space="preserve">Student media production</w:t>
            </w:r>
          </w:p>
        </w:tc>
        <w:tc>
          <w:tcPr>
            <w:tcW w:w="4068" w:type="dxa"/>
          </w:tcPr>
          <w:p>
            <w:pPr>
              <w:spacing w:line="240" w:lineRule="auto" w:after="40"/>
            </w:pPr>
            <w:r>
              <w:rPr>
                <w:rStyle w:val="CodeChar"/>
              </w:rPr>
              <w:t xml:space="preserve">"digital storytelling" OR "video production" OR "multimodal composing" OR "digital composing" OR podcast* OR "content creation" OR "media production" OR "relato digital"</w:t>
            </w:r>
          </w:p>
        </w:tc>
        <w:tc>
          <w:tcPr>
            <w:tcW w:w="1916" w:type="dxa"/>
          </w:tcPr>
          <w:p>
            <w:pPr>
              <w:spacing w:line="240" w:lineRule="auto" w:after="40"/>
            </w:pPr>
          </w:p>
        </w:tc>
      </w:tr>
    </w:tbl>
    <w:p/>
    <w:sectPr>
      <w:footerReference w:type="default" r:id="rId8"/>
      <w:pgSz w:w="11906" w:h="16838"/>
      <w:pgMar w:top="1440" w:right="1440" w:bottom="1440" w:left="1440"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pPr>
      <w:spacing w:line="480" w:lineRule="auto" w:after="120"/>
    </w:pPr>
  </w:style>
  <w:style w:type="paragraph" w:styleId="Heading1">
    <w:name w:val="heading 1"/>
    <w:basedOn w:val="Normal"/>
    <w:next w:val="Normal"/>
    <w:qFormat/>
    <w:pPr>
      <w:keepNext/>
      <w:spacing w:before="360" w:after="120" w:line="480" w:lineRule="auto"/>
      <w:outlineLvl w:val="0"/>
    </w:pPr>
    <w:rPr>
      <w:b/>
      <w:sz w:val="32"/>
    </w:rPr>
  </w:style>
  <w:style w:type="paragraph" w:styleId="Heading2">
    <w:name w:val="heading 2"/>
    <w:basedOn w:val="Normal"/>
    <w:next w:val="Normal"/>
    <w:qFormat/>
    <w:pPr>
      <w:keepNext/>
      <w:spacing w:before="280" w:after="120" w:line="480" w:lineRule="auto"/>
      <w:outlineLvl w:val="1"/>
    </w:pPr>
    <w:rPr>
      <w:b/>
      <w:sz w:val="26"/>
    </w:rPr>
  </w:style>
  <w:style w:type="paragraph" w:styleId="Heading3">
    <w:name w:val="heading 3"/>
    <w:basedOn w:val="Normal"/>
    <w:next w:val="Normal"/>
    <w:qFormat/>
    <w:pPr>
      <w:keepNext/>
      <w:spacing w:before="240" w:after="120" w:line="480" w:lineRule="auto"/>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spacing w:line="480" w:lineRule="auto" w:after="120"/>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Critical digital literacy in formal education, 2016–2026: A scoping review of research growth, objects of critique and the rise of generative artificial intelligence</dc:title>
  <dc:description/>
  <cp:revision>219</cp:revision>
  <dc:creator/>
  <cp:lastModifiedBy/>
  <cp:keywords/>
</cp:coreProperties>
</file>