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278edbfbcf5088304200a344925091fac699a6"/>
    <w:p>
      <w:pPr>
        <w:pStyle w:val="Heading1"/>
      </w:pPr>
      <w:r>
        <w:t xml:space="preserve">Supplementary file S4. Codebook for full-text coding</w:t>
      </w:r>
    </w:p>
    <w:p>
      <w:pPr>
        <w:pStyle w:val="FirstParagraph"/>
      </w:pPr>
      <w:r>
        <w:t xml:space="preserve">This codebook was used to code the full texts of the validation sample. It has three purposes: to check that each study meets the eligibility criteria, to estimate how accurately the term dictionaries code level, design, tradition and object of critique, and to code two variables that dictionaries cannot capture, the evaluation of outcomes and the three dimensions of the working definition.</w:t>
      </w:r>
    </w:p>
    <w:bookmarkStart w:id="20" w:name="sample-and-procedure"/>
    <w:p>
      <w:pPr>
        <w:pStyle w:val="Heading2"/>
      </w:pPr>
      <w:r>
        <w:t xml:space="preserve">Sample and procedure</w:t>
      </w:r>
    </w:p>
    <w:p>
      <w:pPr>
        <w:pStyle w:val="FirstParagraph"/>
      </w:pPr>
      <w:r>
        <w:t xml:space="preserve">The sample was drawn from the 77 open-access studies among the 135 included, stratified by period in proportion to the whole corpus: 4 studies from 2016–2019, 10 from 2020–2023 and 26 from 2024–2026, in a random order fixed with a seed (20261027). The remaining open-access studies of each period were listed in random order as replacements. When no open full text could be retrieved for a study of the sample, the next replacement of the same period was coded instead.</w:t>
      </w:r>
    </w:p>
    <w:p>
      <w:pPr>
        <w:pStyle w:val="BodyText"/>
      </w:pPr>
      <w:r>
        <w:t xml:space="preserve">Coding was carried out by one coder, a large language model (Claude, Anthropic), which read each full text and applied the definitions below. The codebook was written so that two coders could apply it independently, but no second coder took part, and no inter-coder agreement is reported. To make each code auditable, every dimension coded as present is recorded with a short quotation and its page, and borderline decisions are explained in a note (Supplementary file S5).</w:t>
      </w:r>
    </w:p>
    <w:p>
      <w:pPr>
        <w:pStyle w:val="BodyText"/>
      </w:pPr>
      <w:r>
        <w:t xml:space="preserve">The main rule is to code what a study does, not the words it uses. Dictionaries count words; the full-text reading exists to correct them. When in doubt, a category is coded as absent and the doubt is explained in the notes.</w:t>
      </w:r>
    </w:p>
    <w:bookmarkEnd w:id="20"/>
    <w:bookmarkStart w:id="28" w:name="variables"/>
    <w:p>
      <w:pPr>
        <w:pStyle w:val="Heading2"/>
      </w:pPr>
      <w:r>
        <w:t xml:space="preserve">Variables</w:t>
      </w:r>
    </w:p>
    <w:p>
      <w:pPr>
        <w:pStyle w:val="FirstParagraph"/>
      </w:pPr>
      <w:r>
        <w:t xml:space="preserve">In all yes/no variables, a study can carry several categories or none.</w:t>
      </w:r>
    </w:p>
    <w:bookmarkStart w:id="21" w:name="eligibility"/>
    <w:p>
      <w:pPr>
        <w:pStyle w:val="Heading3"/>
      </w:pPr>
      <w:r>
        <w:t xml:space="preserve">1. Eligibility</w:t>
      </w:r>
    </w:p>
    <w:p>
      <w:pPr>
        <w:pStyle w:val="FirstParagraph"/>
      </w:pPr>
      <w:r>
        <w:t xml:space="preserve">The criteria of Table 1 of the article apply.</w:t>
      </w:r>
    </w:p>
    <w:p>
      <w:pPr>
        <w:numPr>
          <w:ilvl w:val="0"/>
          <w:numId w:val="1001"/>
        </w:numPr>
        <w:pStyle w:val="Compact"/>
      </w:pPr>
      <w:r>
        <w:rPr>
          <w:bCs/>
          <w:b/>
        </w:rPr>
        <w:t xml:space="preserve">Eligible</w:t>
      </w:r>
      <w:r>
        <w:t xml:space="preserve"> </w:t>
      </w:r>
      <w:r>
        <w:t xml:space="preserve">when CDL, as defined in the review, is a central focus of the study; the setting is formal education (early childhood, primary, secondary, higher education, or initial or in-service teacher education); and the document is a peer-reviewed research article, review or theoretical essay.</w:t>
      </w:r>
    </w:p>
    <w:p>
      <w:pPr>
        <w:numPr>
          <w:ilvl w:val="0"/>
          <w:numId w:val="1001"/>
        </w:numPr>
        <w:pStyle w:val="Compact"/>
      </w:pPr>
      <w:r>
        <w:rPr>
          <w:bCs/>
          <w:b/>
        </w:rPr>
        <w:t xml:space="preserve">Not eligible</w:t>
      </w:r>
      <w:r>
        <w:t xml:space="preserve"> </w:t>
      </w:r>
      <w:r>
        <w:t xml:space="preserve">when CDL is mentioned only in passing; when</w:t>
      </w:r>
      <w:r>
        <w:t xml:space="preserve"> </w:t>
      </w:r>
      <w:r>
        <w:t xml:space="preserve">“</w:t>
      </w:r>
      <w:r>
        <w:t xml:space="preserve">critical</w:t>
      </w:r>
      <w:r>
        <w:t xml:space="preserve">”</w:t>
      </w:r>
      <w:r>
        <w:t xml:space="preserve"> </w:t>
      </w:r>
      <w:r>
        <w:t xml:space="preserve">means only checking the reliability of a source, or critical thinking in general; when the setting has no link to an educational institution; or when the document is a book review or an editorial. A reason is recorded and nothing else is coded.</w:t>
      </w:r>
    </w:p>
    <w:p>
      <w:pPr>
        <w:pStyle w:val="FirstParagraph"/>
      </w:pPr>
      <w:r>
        <w:t xml:space="preserve">Working definition: CDL is the knowledge and practice that allow people to (a) analyse how digital texts and artefacts construct representations and relations of power; (b) understand the infrastructures behind them (platforms, data, algorithms, AI systems) and the economic and political interests they serve; and (c) intervene in those infrastructures through production and collective action. A study is eligible if it addresses at least the textual dimension in terms of power, or the infrastructural dimension.</w:t>
      </w:r>
    </w:p>
    <w:bookmarkEnd w:id="21"/>
    <w:bookmarkStart w:id="22" w:name="educational-level"/>
    <w:p>
      <w:pPr>
        <w:pStyle w:val="Heading3"/>
      </w:pPr>
      <w:r>
        <w:t xml:space="preserve">2. Educational level</w:t>
      </w:r>
    </w:p>
    <w:p>
      <w:pPr>
        <w:pStyle w:val="FirstParagraph"/>
      </w:pPr>
      <w:r>
        <w:t xml:space="preserve">The level at which the study is set: that of its participants or, in a theoretical study, the one it names as its audience.</w:t>
      </w:r>
    </w:p>
    <w:p>
      <w:pPr>
        <w:numPr>
          <w:ilvl w:val="0"/>
          <w:numId w:val="1002"/>
        </w:numPr>
        <w:pStyle w:val="Compact"/>
      </w:pPr>
      <w:r>
        <w:rPr>
          <w:bCs/>
          <w:b/>
        </w:rPr>
        <w:t xml:space="preserve">Early childhood and primary</w:t>
      </w:r>
      <w:r>
        <w:t xml:space="preserve">: learners up to about 12 years old.</w:t>
      </w:r>
    </w:p>
    <w:p>
      <w:pPr>
        <w:numPr>
          <w:ilvl w:val="0"/>
          <w:numId w:val="1002"/>
        </w:numPr>
        <w:pStyle w:val="Compact"/>
      </w:pPr>
      <w:r>
        <w:rPr>
          <w:bCs/>
          <w:b/>
        </w:rPr>
        <w:t xml:space="preserve">Secondary</w:t>
      </w:r>
      <w:r>
        <w:t xml:space="preserve">: lower and upper secondary students.</w:t>
      </w:r>
    </w:p>
    <w:p>
      <w:pPr>
        <w:numPr>
          <w:ilvl w:val="0"/>
          <w:numId w:val="1002"/>
        </w:numPr>
        <w:pStyle w:val="Compact"/>
      </w:pPr>
      <w:r>
        <w:rPr>
          <w:bCs/>
          <w:b/>
        </w:rPr>
        <w:t xml:space="preserve">Higher education</w:t>
      </w:r>
      <w:r>
        <w:t xml:space="preserve">: university students who are</w:t>
      </w:r>
      <w:r>
        <w:t xml:space="preserve"> </w:t>
      </w:r>
      <w:r>
        <w:rPr>
          <w:bCs/>
          <w:b/>
        </w:rPr>
        <w:t xml:space="preserve">not</w:t>
      </w:r>
      <w:r>
        <w:t xml:space="preserve"> </w:t>
      </w:r>
      <w:r>
        <w:t xml:space="preserve">training to be teachers.</w:t>
      </w:r>
    </w:p>
    <w:p>
      <w:pPr>
        <w:numPr>
          <w:ilvl w:val="0"/>
          <w:numId w:val="1002"/>
        </w:numPr>
        <w:pStyle w:val="Compact"/>
      </w:pPr>
      <w:r>
        <w:rPr>
          <w:bCs/>
          <w:b/>
        </w:rPr>
        <w:t xml:space="preserve">Teacher education</w:t>
      </w:r>
      <w:r>
        <w:t xml:space="preserve">: pre-service or in-service teachers, including teacher educators.</w:t>
      </w:r>
    </w:p>
    <w:p>
      <w:pPr>
        <w:pStyle w:val="FirstParagraph"/>
      </w:pPr>
      <w:r>
        <w:t xml:space="preserve">A study with pre-service teachers is coded as teacher education, not higher education. If a study refers to no specific level, no level is coded.</w:t>
      </w:r>
    </w:p>
    <w:bookmarkEnd w:id="22"/>
    <w:bookmarkStart w:id="23" w:name="design"/>
    <w:p>
      <w:pPr>
        <w:pStyle w:val="Heading3"/>
      </w:pPr>
      <w:r>
        <w:t xml:space="preserve">3. Design</w:t>
      </w:r>
    </w:p>
    <w:p>
      <w:pPr>
        <w:numPr>
          <w:ilvl w:val="0"/>
          <w:numId w:val="1003"/>
        </w:numPr>
        <w:pStyle w:val="Compact"/>
      </w:pPr>
      <w:r>
        <w:rPr>
          <w:bCs/>
          <w:b/>
        </w:rPr>
        <w:t xml:space="preserve">Literature review</w:t>
      </w:r>
      <w:r>
        <w:t xml:space="preserve">: synthesises previous studies, with an explicit method or as a narrative review.</w:t>
      </w:r>
    </w:p>
    <w:p>
      <w:pPr>
        <w:numPr>
          <w:ilvl w:val="0"/>
          <w:numId w:val="1003"/>
        </w:numPr>
        <w:pStyle w:val="Compact"/>
      </w:pPr>
      <w:r>
        <w:rPr>
          <w:bCs/>
          <w:b/>
        </w:rPr>
        <w:t xml:space="preserve">Conceptual or theoretical</w:t>
      </w:r>
      <w:r>
        <w:t xml:space="preserve">: proposes or discusses concepts without empirical data of its own.</w:t>
      </w:r>
    </w:p>
    <w:p>
      <w:pPr>
        <w:numPr>
          <w:ilvl w:val="0"/>
          <w:numId w:val="1003"/>
        </w:numPr>
        <w:pStyle w:val="Compact"/>
      </w:pPr>
      <w:r>
        <w:rPr>
          <w:bCs/>
          <w:b/>
        </w:rPr>
        <w:t xml:space="preserve">Qualitative</w:t>
      </w:r>
      <w:r>
        <w:t xml:space="preserve">: analyses empirical data with qualitative methods (interviews, observation, analysis of productions or discourse).</w:t>
      </w:r>
    </w:p>
    <w:p>
      <w:pPr>
        <w:numPr>
          <w:ilvl w:val="0"/>
          <w:numId w:val="1003"/>
        </w:numPr>
        <w:pStyle w:val="Compact"/>
      </w:pPr>
      <w:r>
        <w:rPr>
          <w:bCs/>
          <w:b/>
        </w:rPr>
        <w:t xml:space="preserve">Quantitative</w:t>
      </w:r>
      <w:r>
        <w:t xml:space="preserve">: analyses empirical data with numerical measures (questionnaires with scales, tests, statistics). A questionnaire reported only with frequencies also counts. Mentioning a survey or a scale by other authors does</w:t>
      </w:r>
      <w:r>
        <w:t xml:space="preserve"> </w:t>
      </w:r>
      <w:r>
        <w:rPr>
          <w:bCs/>
          <w:b/>
        </w:rPr>
        <w:t xml:space="preserve">not</w:t>
      </w:r>
      <w:r>
        <w:t xml:space="preserve">. Counts of documents or of coded references do not count either.</w:t>
      </w:r>
    </w:p>
    <w:p>
      <w:pPr>
        <w:numPr>
          <w:ilvl w:val="0"/>
          <w:numId w:val="1003"/>
        </w:numPr>
        <w:pStyle w:val="Compact"/>
      </w:pPr>
      <w:r>
        <w:rPr>
          <w:bCs/>
          <w:b/>
        </w:rPr>
        <w:t xml:space="preserve">Intervention or designed teaching</w:t>
      </w:r>
      <w:r>
        <w:t xml:space="preserve">: describes an intervention, module or teaching sequence that</w:t>
      </w:r>
      <w:r>
        <w:t xml:space="preserve"> </w:t>
      </w:r>
      <w:r>
        <w:rPr>
          <w:bCs/>
          <w:b/>
        </w:rPr>
        <w:t xml:space="preserve">was carried out</w:t>
      </w:r>
      <w:r>
        <w:t xml:space="preserve"> </w:t>
      </w:r>
      <w:r>
        <w:t xml:space="preserve">with students or teachers. A proposal that was not taught does not count, nor do general references to lessons or activities.</w:t>
      </w:r>
    </w:p>
    <w:p>
      <w:pPr>
        <w:pStyle w:val="FirstParagraph"/>
      </w:pPr>
      <w:r>
        <w:t xml:space="preserve">A mixed-methods study is coded as qualitative and quantitative. An intervention studied through interviews is coded as intervention and qualitative.</w:t>
      </w:r>
    </w:p>
    <w:bookmarkEnd w:id="23"/>
    <w:bookmarkStart w:id="24" w:name="outcome-evaluation"/>
    <w:p>
      <w:pPr>
        <w:pStyle w:val="Heading3"/>
      </w:pPr>
      <w:r>
        <w:t xml:space="preserve">4. Outcome evaluation</w:t>
      </w:r>
    </w:p>
    <w:p>
      <w:pPr>
        <w:pStyle w:val="FirstParagraph"/>
      </w:pPr>
      <w:r>
        <w:t xml:space="preserve">One option: the highest that applies.</w:t>
      </w:r>
    </w:p>
    <w:p>
      <w:pPr>
        <w:numPr>
          <w:ilvl w:val="0"/>
          <w:numId w:val="1004"/>
        </w:numPr>
        <w:pStyle w:val="Compact"/>
      </w:pPr>
      <w:r>
        <w:rPr>
          <w:bCs/>
          <w:b/>
        </w:rPr>
        <w:t xml:space="preserve">0 None</w:t>
      </w:r>
      <w:r>
        <w:t xml:space="preserve">: the study does not examine what participants learned or how they changed (for example, theoretical studies, reviews, or descriptions of perceptions without an intervention).</w:t>
      </w:r>
    </w:p>
    <w:p>
      <w:pPr>
        <w:numPr>
          <w:ilvl w:val="0"/>
          <w:numId w:val="1004"/>
        </w:numPr>
        <w:pStyle w:val="Compact"/>
      </w:pPr>
      <w:r>
        <w:rPr>
          <w:bCs/>
          <w:b/>
        </w:rPr>
        <w:t xml:space="preserve">1 Qualitative evidence</w:t>
      </w:r>
      <w:r>
        <w:t xml:space="preserve">: examines with qualitative data what participants learned, how their practices changed or how they exercised agency after an intervention.</w:t>
      </w:r>
    </w:p>
    <w:p>
      <w:pPr>
        <w:numPr>
          <w:ilvl w:val="0"/>
          <w:numId w:val="1004"/>
        </w:numPr>
        <w:pStyle w:val="Compact"/>
      </w:pPr>
      <w:r>
        <w:rPr>
          <w:bCs/>
          <w:b/>
        </w:rPr>
        <w:t xml:space="preserve">2 Quantitative measure without comparison</w:t>
      </w:r>
      <w:r>
        <w:t xml:space="preserve">: measures outcomes with quantitative instruments but without a comparison group (for example, a pre-test and post-test with one group).</w:t>
      </w:r>
    </w:p>
    <w:p>
      <w:pPr>
        <w:numPr>
          <w:ilvl w:val="0"/>
          <w:numId w:val="1004"/>
        </w:numPr>
        <w:pStyle w:val="Compact"/>
      </w:pPr>
      <w:r>
        <w:rPr>
          <w:bCs/>
          <w:b/>
        </w:rPr>
        <w:t xml:space="preserve">3 Comparative design</w:t>
      </w:r>
      <w:r>
        <w:t xml:space="preserve">: compares with a control or comparison group, or uses another design that allows a change to be attributed to the intervention.</w:t>
      </w:r>
    </w:p>
    <w:p>
      <w:pPr>
        <w:pStyle w:val="FirstParagraph"/>
      </w:pPr>
      <w:r>
        <w:t xml:space="preserve">The options are not a ranking of quality. A well-conducted qualitative evaluation is evidence of learning; the scale only distinguishes the kind of evidence.</w:t>
      </w:r>
    </w:p>
    <w:bookmarkEnd w:id="24"/>
    <w:bookmarkStart w:id="25" w:name="theoretical-tradition"/>
    <w:p>
      <w:pPr>
        <w:pStyle w:val="Heading3"/>
      </w:pPr>
      <w:r>
        <w:t xml:space="preserve">5. Theoretical tradition</w:t>
      </w:r>
    </w:p>
    <w:p>
      <w:pPr>
        <w:pStyle w:val="FirstParagraph"/>
      </w:pPr>
      <w:r>
        <w:t xml:space="preserve">A tradition is coded only if the study</w:t>
      </w:r>
      <w:r>
        <w:t xml:space="preserve"> </w:t>
      </w:r>
      <w:r>
        <w:rPr>
          <w:bCs/>
          <w:b/>
        </w:rPr>
        <w:t xml:space="preserve">adopts it as its framework</w:t>
      </w:r>
      <w:r>
        <w:t xml:space="preserve">, that is, presents it in its theoretical framework or uses it to analyse its data or its proposal. Citing it in passing or using some of its words is not enough.</w:t>
      </w:r>
    </w:p>
    <w:p>
      <w:pPr>
        <w:numPr>
          <w:ilvl w:val="0"/>
          <w:numId w:val="1005"/>
        </w:numPr>
        <w:pStyle w:val="Compact"/>
      </w:pPr>
      <w:r>
        <w:rPr>
          <w:bCs/>
          <w:b/>
        </w:rPr>
        <w:t xml:space="preserve">Critical pedagogy (Freirean)</w:t>
      </w:r>
      <w:r>
        <w:t xml:space="preserve">: draws on Freire or on critical pedagogy (conscientisation, dialogue, oppression, praxis). The word</w:t>
      </w:r>
      <w:r>
        <w:t xml:space="preserve"> </w:t>
      </w:r>
      <w:r>
        <w:t xml:space="preserve">“</w:t>
      </w:r>
      <w:r>
        <w:t xml:space="preserve">emancipation</w:t>
      </w:r>
      <w:r>
        <w:t xml:space="preserve">”</w:t>
      </w:r>
      <w:r>
        <w:t xml:space="preserve"> </w:t>
      </w:r>
      <w:r>
        <w:t xml:space="preserve">alone is not enough.</w:t>
      </w:r>
    </w:p>
    <w:p>
      <w:pPr>
        <w:numPr>
          <w:ilvl w:val="0"/>
          <w:numId w:val="1005"/>
        </w:numPr>
        <w:pStyle w:val="Compact"/>
      </w:pPr>
      <w:r>
        <w:rPr>
          <w:bCs/>
          <w:b/>
        </w:rPr>
        <w:t xml:space="preserve">Multiliteracies and New Literacy Studies</w:t>
      </w:r>
      <w:r>
        <w:t xml:space="preserve">: draws on the New London Group, Kalantzis and Cope, Street, Gee, Lankshear and Knobel or other authors of these traditions. The word</w:t>
      </w:r>
      <w:r>
        <w:t xml:space="preserve"> </w:t>
      </w:r>
      <w:r>
        <w:t xml:space="preserve">“</w:t>
      </w:r>
      <w:r>
        <w:t xml:space="preserve">multimodal</w:t>
      </w:r>
      <w:r>
        <w:t xml:space="preserve">”</w:t>
      </w:r>
      <w:r>
        <w:t xml:space="preserve"> </w:t>
      </w:r>
      <w:r>
        <w:t xml:space="preserve">alone is not enough.</w:t>
      </w:r>
    </w:p>
    <w:p>
      <w:pPr>
        <w:numPr>
          <w:ilvl w:val="0"/>
          <w:numId w:val="1005"/>
        </w:numPr>
        <w:pStyle w:val="Compact"/>
      </w:pPr>
      <w:r>
        <w:rPr>
          <w:bCs/>
          <w:b/>
        </w:rPr>
        <w:t xml:space="preserve">Media literacy and educommunication</w:t>
      </w:r>
      <w:r>
        <w:t xml:space="preserve">: draws on media literacy or critical media literacy (Kellner and Share, Buckingham, Hobbs and others).</w:t>
      </w:r>
    </w:p>
    <w:p>
      <w:pPr>
        <w:numPr>
          <w:ilvl w:val="0"/>
          <w:numId w:val="1005"/>
        </w:numPr>
        <w:pStyle w:val="Compact"/>
      </w:pPr>
      <w:r>
        <w:rPr>
          <w:bCs/>
          <w:b/>
        </w:rPr>
        <w:t xml:space="preserve">Digital citizenship</w:t>
      </w:r>
      <w:r>
        <w:t xml:space="preserve">: draws on frameworks of digital citizenship or of citizenship education in digital settings.</w:t>
      </w:r>
    </w:p>
    <w:p>
      <w:pPr>
        <w:numPr>
          <w:ilvl w:val="0"/>
          <w:numId w:val="1005"/>
        </w:numPr>
        <w:pStyle w:val="Compact"/>
      </w:pPr>
      <w:r>
        <w:rPr>
          <w:bCs/>
          <w:b/>
        </w:rPr>
        <w:t xml:space="preserve">Race, gender and decolonial perspectives</w:t>
      </w:r>
      <w:r>
        <w:t xml:space="preserve">: draws on critical race theory, feminist or gender theories, or decolonial or postcolonial perspectives. Treating gender or race as variables, or mentioning gender bias, is</w:t>
      </w:r>
      <w:r>
        <w:t xml:space="preserve"> </w:t>
      </w:r>
      <w:r>
        <w:rPr>
          <w:bCs/>
          <w:b/>
        </w:rPr>
        <w:t xml:space="preserve">not</w:t>
      </w:r>
      <w:r>
        <w:t xml:space="preserve"> </w:t>
      </w:r>
      <w:r>
        <w:t xml:space="preserve">enough.</w:t>
      </w:r>
    </w:p>
    <w:p>
      <w:pPr>
        <w:numPr>
          <w:ilvl w:val="0"/>
          <w:numId w:val="1005"/>
        </w:numPr>
        <w:pStyle w:val="Compact"/>
      </w:pPr>
      <w:r>
        <w:rPr>
          <w:bCs/>
          <w:b/>
        </w:rPr>
        <w:t xml:space="preserve">Other</w:t>
      </w:r>
      <w:r>
        <w:t xml:space="preserve">: if the central framework is another (for example, the political economy of media, platform studies or postdigital theory), it is named.</w:t>
      </w:r>
    </w:p>
    <w:bookmarkEnd w:id="25"/>
    <w:bookmarkStart w:id="26" w:name="objects-of-critique-context-and-practice"/>
    <w:p>
      <w:pPr>
        <w:pStyle w:val="Heading3"/>
      </w:pPr>
      <w:r>
        <w:t xml:space="preserve">6. Objects of critique, context and practice</w:t>
      </w:r>
    </w:p>
    <w:p>
      <w:pPr>
        <w:pStyle w:val="FirstParagraph"/>
      </w:pPr>
      <w:r>
        <w:t xml:space="preserve">What the study subjects to critique or works on as a central theme, not what it mentions as context.</w:t>
      </w:r>
    </w:p>
    <w:p>
      <w:pPr>
        <w:numPr>
          <w:ilvl w:val="0"/>
          <w:numId w:val="1006"/>
        </w:numPr>
        <w:pStyle w:val="Compact"/>
      </w:pPr>
      <w:r>
        <w:rPr>
          <w:bCs/>
          <w:b/>
        </w:rPr>
        <w:t xml:space="preserve">Artificial intelligence</w:t>
      </w:r>
      <w:r>
        <w:t xml:space="preserve">: AI systems, generative AI, chatbots, language models.</w:t>
      </w:r>
    </w:p>
    <w:p>
      <w:pPr>
        <w:numPr>
          <w:ilvl w:val="0"/>
          <w:numId w:val="1006"/>
        </w:numPr>
        <w:pStyle w:val="Compact"/>
      </w:pPr>
      <w:r>
        <w:rPr>
          <w:bCs/>
          <w:b/>
        </w:rPr>
        <w:t xml:space="preserve">Disinformation and post-truth</w:t>
      </w:r>
      <w:r>
        <w:t xml:space="preserve">: fake news, disinformation, conspiracy theories.</w:t>
      </w:r>
    </w:p>
    <w:p>
      <w:pPr>
        <w:numPr>
          <w:ilvl w:val="0"/>
          <w:numId w:val="1006"/>
        </w:numPr>
        <w:pStyle w:val="Compact"/>
      </w:pPr>
      <w:r>
        <w:rPr>
          <w:bCs/>
          <w:b/>
        </w:rPr>
        <w:t xml:space="preserve">Social media</w:t>
      </w:r>
      <w:r>
        <w:t xml:space="preserve">: specific social platforms or social media in general.</w:t>
      </w:r>
    </w:p>
    <w:p>
      <w:pPr>
        <w:numPr>
          <w:ilvl w:val="0"/>
          <w:numId w:val="1006"/>
        </w:numPr>
        <w:pStyle w:val="Compact"/>
      </w:pPr>
      <w:r>
        <w:rPr>
          <w:bCs/>
          <w:b/>
        </w:rPr>
        <w:t xml:space="preserve">Algorithms, data and platforms</w:t>
      </w:r>
      <w:r>
        <w:t xml:space="preserve">: algorithms, datafication, business models, educational or commercial platforms as infrastructure.</w:t>
      </w:r>
    </w:p>
    <w:p>
      <w:pPr>
        <w:numPr>
          <w:ilvl w:val="0"/>
          <w:numId w:val="1006"/>
        </w:numPr>
        <w:pStyle w:val="Compact"/>
      </w:pPr>
      <w:r>
        <w:rPr>
          <w:bCs/>
          <w:b/>
        </w:rPr>
        <w:t xml:space="preserve">Privacy and surveillance</w:t>
      </w:r>
      <w:r>
        <w:t xml:space="preserve">: personal data, privacy, surveillance.</w:t>
      </w:r>
    </w:p>
    <w:p>
      <w:pPr>
        <w:numPr>
          <w:ilvl w:val="0"/>
          <w:numId w:val="1006"/>
        </w:numPr>
        <w:pStyle w:val="Compact"/>
      </w:pPr>
      <w:r>
        <w:rPr>
          <w:bCs/>
          <w:b/>
        </w:rPr>
        <w:t xml:space="preserve">Hate speech and radicalisation</w:t>
      </w:r>
      <w:r>
        <w:t xml:space="preserve">: hate speech, extremism, discriminatory cyberbullying.</w:t>
      </w:r>
    </w:p>
    <w:p>
      <w:pPr>
        <w:numPr>
          <w:ilvl w:val="0"/>
          <w:numId w:val="1006"/>
        </w:numPr>
        <w:pStyle w:val="Compact"/>
      </w:pPr>
      <w:r>
        <w:rPr>
          <w:bCs/>
          <w:b/>
        </w:rPr>
        <w:t xml:space="preserve">Second or foreign language education</w:t>
      </w:r>
      <w:r>
        <w:t xml:space="preserve">: the study is set in the teaching of foreign or second languages.</w:t>
      </w:r>
    </w:p>
    <w:p>
      <w:pPr>
        <w:numPr>
          <w:ilvl w:val="0"/>
          <w:numId w:val="1006"/>
        </w:numPr>
        <w:pStyle w:val="Compact"/>
      </w:pPr>
      <w:r>
        <w:rPr>
          <w:bCs/>
          <w:b/>
        </w:rPr>
        <w:t xml:space="preserve">Student media production</w:t>
      </w:r>
      <w:r>
        <w:t xml:space="preserve">: learners produce digital content (videos, stories, posters, multimodal texts) as part of the practice studied.</w:t>
      </w:r>
    </w:p>
    <w:bookmarkEnd w:id="26"/>
    <w:bookmarkStart w:id="27" w:name="the-three-dimensions"/>
    <w:p>
      <w:pPr>
        <w:pStyle w:val="Heading3"/>
      </w:pPr>
      <w:r>
        <w:t xml:space="preserve">7. The three dimensions</w:t>
      </w:r>
    </w:p>
    <w:p>
      <w:pPr>
        <w:pStyle w:val="FirstParagraph"/>
      </w:pPr>
      <w:r>
        <w:t xml:space="preserve">For each dimension, yes or no; if yes, a short quotation from the text that shows it, with its page.</w:t>
      </w:r>
    </w:p>
    <w:p>
      <w:pPr>
        <w:numPr>
          <w:ilvl w:val="0"/>
          <w:numId w:val="1007"/>
        </w:numPr>
        <w:pStyle w:val="Compact"/>
      </w:pPr>
      <w:r>
        <w:rPr>
          <w:bCs/>
          <w:b/>
        </w:rPr>
        <w:t xml:space="preserve">Textual</w:t>
      </w:r>
      <w:r>
        <w:t xml:space="preserve">: the study analyses, or teaches learners to analyse, how digital texts and artefacts construct representations, discourses, ideologies or biases in relation to power. Examples: analysing political memes, the representation of groups in AI-generated images, or the ideological bias of a chatbot’s answers.</w:t>
      </w:r>
    </w:p>
    <w:p>
      <w:pPr>
        <w:numPr>
          <w:ilvl w:val="0"/>
          <w:numId w:val="1007"/>
        </w:numPr>
        <w:pStyle w:val="Compact"/>
      </w:pPr>
      <w:r>
        <w:rPr>
          <w:bCs/>
          <w:b/>
        </w:rPr>
        <w:t xml:space="preserve">Infrastructural</w:t>
      </w:r>
      <w:r>
        <w:t xml:space="preserve">: the study examines, or teaches learners to examine, who owns and governs technologies, how their algorithms work, what data they extract, what business models sustain them or whose interests they serve. Examples: analysing how a school platform collects pupils’ data, or how a recommendation algorithm decides what is seen. Speaking of</w:t>
      </w:r>
      <w:r>
        <w:t xml:space="preserve"> </w:t>
      </w:r>
      <w:r>
        <w:t xml:space="preserve">“</w:t>
      </w:r>
      <w:r>
        <w:t xml:space="preserve">technology</w:t>
      </w:r>
      <w:r>
        <w:t xml:space="preserve">”</w:t>
      </w:r>
      <w:r>
        <w:t xml:space="preserve"> </w:t>
      </w:r>
      <w:r>
        <w:t xml:space="preserve">in general is not enough.</w:t>
      </w:r>
    </w:p>
    <w:p>
      <w:pPr>
        <w:numPr>
          <w:ilvl w:val="0"/>
          <w:numId w:val="1007"/>
        </w:numPr>
        <w:pStyle w:val="Compact"/>
      </w:pPr>
      <w:r>
        <w:rPr>
          <w:bCs/>
          <w:b/>
        </w:rPr>
        <w:t xml:space="preserve">Transformative</w:t>
      </w:r>
      <w:r>
        <w:t xml:space="preserve">: the study documents or proposes that participants produce alternatives, take part or undertake collective action to change practices, discourses or technologies. Examples: learners producing counter-narratives, campaigns or activism. Producing content with no intention of changing anything is not enough.</w:t>
      </w:r>
    </w:p>
    <w:p>
      <w:pPr>
        <w:pStyle w:val="FirstParagraph"/>
      </w:pPr>
      <w:r>
        <w:t xml:space="preserve">A dimension also counts as present when it is a category of the study’s own analysis, even if the results show it rarely appears.</w:t>
      </w:r>
    </w:p>
    <w:bookmarkEnd w:id="27"/>
    <w:bookmarkEnd w:id="28"/>
    <w:bookmarkEnd w:id="29"/>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style>
  <w:style w:styleId="BodyText" w:type="paragraph">
    <w:name w:val="Body Text"/>
    <w:basedOn w:val="Normal"/>
    <w:link w:val="BodyTextChar"/>
    <w:pPr>
      <w:spacing w:after="120" w:before="180" w:line="480" w:lineRule="auto"/>
    </w:pPr>
    <w:qFormat/>
  </w:style>
  <w:style w:customStyle="1" w:styleId="FirstParagraph" w:type="paragraph">
    <w:name w:val="First Paragraph"/>
    <w:basedOn w:val="BodyText"/>
    <w:next w:val="BodyText"/>
    <w:qFormat/>
    <w:pPr>
      <w:spacing w:line="480" w:lineRule="auto" w:after="1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80" w:line="480" w:lineRule="auto"/>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00" w:line="480" w:lineRule="auto"/>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20" w:before="200" w:line="480" w:lineRule="auto"/>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S4. Codebook for full-text coding</dc:title>
  <dc:creator/>
  <cp:keywords/>
  <dcterms:created xsi:type="dcterms:W3CDTF">2026-10-27T21:02:11Z</dcterms:created>
  <dcterms:modified xsi:type="dcterms:W3CDTF">2026-10-27T21:02:11Z</dcterms:modified>
  <cp:lastModifiedBy/>
  <dc:description/>
</cp:coreProperties>
</file>

<file path=docProps/custom.xml><?xml version="1.0" encoding="utf-8"?>
<Properties xmlns="http://schemas.openxmlformats.org/officeDocument/2006/custom-properties" xmlns:vt="http://schemas.openxmlformats.org/officeDocument/2006/docPropsVTypes"/>
</file>