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Dear Editors,</w:t>
      </w:r>
    </w:p>
    <w:p>
      <w:pPr>
        <w:pStyle w:val="BodyText"/>
      </w:pPr>
      <w:r>
        <w:t xml:space="preserve">I am pleased to submit the manuscript</w:t>
      </w:r>
      <w:r>
        <w:t xml:space="preserve"> </w:t>
      </w:r>
      <w:r>
        <w:t xml:space="preserve">“</w:t>
      </w:r>
      <w:r>
        <w:t xml:space="preserve">Critical digital literacy in formal education, 2016–2026: A scoping review of research growth, objects of critique and the rise of generative artificial intelligence</w:t>
      </w:r>
      <w:r>
        <w:t xml:space="preserve">”</w:t>
      </w:r>
      <w:r>
        <w:t xml:space="preserve"> </w:t>
      </w:r>
      <w:r>
        <w:t xml:space="preserve">for consideration as a review article in</w:t>
      </w:r>
      <w:r>
        <w:t xml:space="preserve"> </w:t>
      </w:r>
      <w:r>
        <w:rPr>
          <w:iCs/>
          <w:i/>
        </w:rPr>
        <w:t xml:space="preserve">Review of Education</w:t>
      </w:r>
      <w:r>
        <w:t xml:space="preserve">.</w:t>
      </w:r>
    </w:p>
    <w:p>
      <w:pPr>
        <w:pStyle w:val="BodyText"/>
      </w:pPr>
      <w:r>
        <w:t xml:space="preserve">The article maps 135 studies on critical digital literacy published in English and Spanish between 2016 and 2026. It shows a field growing by about a fifth a year, a shift in the object of critique from social media to platforms and generative AI, a concentration of research in higher and teacher education, and a scarcity of intervention studies in early childhood and primary schools. It builds directly on the systematic review of critical digital literacies at school level published in your journal (Ilomäki et al., 2023), and extends it to all levels of formal education, to research written in Spanish and to the period since the release of ChatGPT.</w:t>
      </w:r>
    </w:p>
    <w:p>
      <w:pPr>
        <w:pStyle w:val="BodyText"/>
      </w:pPr>
      <w:r>
        <w:t xml:space="preserve">The review also makes a methodological contribution. It shows that, in this field, neither titles nor field-level searches of abstracts alone reproduce the final selection (titles alone would have missed about a fifth of the included studies), and it describes a reproducible second screening pass based on those searches. A reading of 38 full texts then tests both the selection and the coding: about a third of the studies indexed under critical digital literacy treat it only in passing, and the coding dictionaries are accurate for some categories, such as artificial intelligence, but miss most work on others. The article reports these checks openly and qualifies its findings accordingly. All data and code are openly available.</w:t>
      </w:r>
    </w:p>
    <w:p>
      <w:pPr>
        <w:pStyle w:val="BodyText"/>
      </w:pPr>
      <w:r>
        <w:t xml:space="preserve">I wish to disclose one related publication: a narrative review on critical digital literacy and (neo)fascism among young people (Herrera Urízar, 2026), which is one of the 135 studies included in the review. The present manuscript differs from it in question, method and corpus, and does not reuse its text. The manuscript is not under consideration elsewhere, and I have no competing interests beyond those stated on the title page.</w:t>
      </w:r>
    </w:p>
    <w:p>
      <w:pPr>
        <w:pStyle w:val="BodyText"/>
      </w:pPr>
      <w:r>
        <w:t xml:space="preserve">Yours sincerely,</w:t>
      </w:r>
    </w:p>
    <w:p>
      <w:pPr>
        <w:pStyle w:val="BodyText"/>
      </w:pPr>
      <w:r>
        <w:t xml:space="preserve">Gustavo Herrera Urízar</w:t>
      </w:r>
    </w:p>
    <w:bookmarkEnd w:id="20"/>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style>
  <w:style w:styleId="BodyText" w:type="paragraph">
    <w:name w:val="Body Text"/>
    <w:basedOn w:val="Normal"/>
    <w:link w:val="BodyTextChar"/>
    <w:pPr>
      <w:spacing w:after="120" w:before="180" w:line="480" w:lineRule="auto"/>
    </w:pPr>
    <w:qFormat/>
  </w:style>
  <w:style w:customStyle="1" w:styleId="FirstParagraph" w:type="paragraph">
    <w:name w:val="First Paragraph"/>
    <w:basedOn w:val="BodyText"/>
    <w:next w:val="BodyText"/>
    <w:qFormat/>
    <w:pPr>
      <w:spacing w:line="480" w:lineRule="auto" w:after="1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80" w:line="480" w:lineRule="auto"/>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00" w:line="480" w:lineRule="auto"/>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20" w:before="200" w:line="480" w:lineRule="auto"/>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2026-10-27T21:06:08Z</dcterms:created>
  <dcterms:modified xsi:type="dcterms:W3CDTF">2026-10-27T21:06:08Z</dcterms:modified>
  <cp:lastModifiedBy/>
  <dc:description/>
</cp:coreProperties>
</file>

<file path=docProps/custom.xml><?xml version="1.0" encoding="utf-8"?>
<Properties xmlns="http://schemas.openxmlformats.org/officeDocument/2006/custom-properties" xmlns:vt="http://schemas.openxmlformats.org/officeDocument/2006/docPropsVTypes"/>
</file>