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se le quedan a uno las preguntas de alumnos que no supo contestar.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r>
        <w:pict>
          <v:rect style="width:0;height:1.5pt" o:hralign="center" o:hrstd="t" o:hr="t"/>
        </w:pict>
      </w:r>
    </w:p>
    <w:p>
      <w:pPr>
        <w:pStyle w:val="FirstParagraph"/>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En ningún otro lugar se aprende un hábito con tanta constancia ni con tanta legitimidad.</w:t>
      </w:r>
    </w:p>
    <w:p>
      <w:pPr>
        <w:pStyle w:val="BodyText"/>
      </w:pPr>
      <w:r>
        <w:t xml:space="preserve">Uso una palabra deliberadamente antigua, alma, sin suponer una sustancia separada del cuerpo. Me interesa porque durante siglos nombró aquello que la educación aspiraba a formar: una manera de percibir, de desear, de juzgar y de relacionarse con otros. Hoy hablamos de competencias y de perfiles, pero esa formación no ha desaparecido. Ha cambiado de instrumentos, y este libro trata de algunos de ellos.</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r>
        <w:pict>
          <v:rect style="width:0;height:1.5pt" o:hralign="center" o:hrstd="t" o:hr="t"/>
        </w:pict>
      </w:r>
    </w:p>
    <w:p>
      <w:pPr>
        <w:pStyle w:val="FirstParagraph"/>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casi siempre a través del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r>
        <w:pict>
          <v:rect style="width:0;height:1.5pt" o:hralign="center" o:hrstd="t" o:hr="t"/>
        </w:pict>
      </w:r>
    </w:p>
    <w:p>
      <w:pPr>
        <w:pStyle w:val="FirstParagraph"/>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r>
        <w:pict>
          <v:rect style="width:0;height:1.5pt" o:hralign="center" o:hrstd="t" o:hr="t"/>
        </w:pict>
      </w:r>
    </w:p>
    <w:p>
      <w:pPr>
        <w:pStyle w:val="FirstParagraph"/>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9"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Platón o Aristóteles habrían dicho sin rodeos que en esos encuentros se forma un alma. Nosotros hemos perdido la costumbre de decirlo, y eso no quiere decir que haya dejado de ocurrir.</w:t>
      </w:r>
    </w:p>
    <w:p>
      <w:r>
        <w:pict>
          <v:rect style="width:0;height:1.5pt" o:hralign="center" o:hrstd="t" o:hr="t"/>
        </w:pict>
      </w:r>
    </w:p>
    <w:p>
      <w:pPr>
        <w:pStyle w:val="FirstParagraph"/>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bookmarkStart w:id="21" w:name="ref-01-1"/>
      <w:hyperlink w:anchor="nota-01-1">
        <w:r>
          <w:rPr>
            <w:rStyle w:val="Hyperlink"/>
            <w:vertAlign w:val="superscript"/>
          </w:rPr>
          <w:t xml:space="preserve">1</w:t>
        </w:r>
      </w:hyperlink>
      <w:bookmarkEnd w:id="21"/>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r>
        <w:pict>
          <v:rect style="width:0;height:1.5pt" o:hralign="center" o:hrstd="t" o:hr="t"/>
        </w:pict>
      </w:r>
    </w:p>
    <w:p>
      <w:pPr>
        <w:pStyle w:val="FirstParagraph"/>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bookmarkStart w:id="22" w:name="ref-01-2"/>
      <w:hyperlink w:anchor="nota-01-2">
        <w:r>
          <w:rPr>
            <w:rStyle w:val="Hyperlink"/>
            <w:vertAlign w:val="superscript"/>
          </w:rPr>
          <w:t xml:space="preserve">2</w:t>
        </w:r>
      </w:hyperlink>
      <w:bookmarkEnd w:id="22"/>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Aristóteles eso significaba vivir según la razón y en compañía de otros. Aristóteles añadía que nadie nace con ella: uno se hace justo haciendo cosas justas, igual que se hace citarista tocando la cítara.</w:t>
      </w:r>
      <w:bookmarkStart w:id="23" w:name="ref-01-3"/>
      <w:hyperlink w:anchor="nota-01-3">
        <w:r>
          <w:rPr>
            <w:rStyle w:val="Hyperlink"/>
            <w:vertAlign w:val="superscript"/>
          </w:rPr>
          <w:t xml:space="preserve">3</w:t>
        </w:r>
      </w:hyperlink>
      <w:bookmarkEnd w:id="23"/>
    </w:p>
    <w:p>
      <w:pPr>
        <w:pStyle w:val="BodyText"/>
      </w:pPr>
      <w:r>
        <w:t xml:space="preserve">En ningún currículo actual aparece la</w:t>
      </w:r>
      <w:r>
        <w:t xml:space="preserve"> </w:t>
      </w:r>
      <w:r>
        <w:rPr>
          <w:iCs/>
          <w:i/>
        </w:rPr>
        <w:t xml:space="preserve">areté</w:t>
      </w:r>
      <w:r>
        <w:t xml:space="preserve">.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Platón y Aristóteles sabían que estaban formando almas. Nosotros creemos a menudo que solo desarrollamos competencias, y esa distancia entre lo que declaramos y lo que hacemos me inquieta más que cualquier ideal confesado, por discutible que fuera.</w:t>
      </w:r>
    </w:p>
    <w:p>
      <w:r>
        <w:pict>
          <v:rect style="width:0;height:1.5pt" o:hralign="center" o:hrstd="t" o:hr="t"/>
        </w:pict>
      </w:r>
    </w:p>
    <w:p>
      <w:pPr>
        <w:pStyle w:val="FirstParagraph"/>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bookmarkStart w:id="24" w:name="ref-01-4"/>
      <w:hyperlink w:anchor="nota-01-4">
        <w:r>
          <w:rPr>
            <w:rStyle w:val="Hyperlink"/>
            <w:vertAlign w:val="superscript"/>
          </w:rPr>
          <w:t xml:space="preserve">4</w:t>
        </w:r>
      </w:hyperlink>
      <w:bookmarkEnd w:id="24"/>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r>
        <w:pict>
          <v:rect style="width:0;height:1.5pt" o:hralign="center" o:hrstd="t" o:hr="t"/>
        </w:pict>
      </w:r>
    </w:p>
    <w:p>
      <w:pPr>
        <w:pStyle w:val="FirstParagraph"/>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bookmarkStart w:id="25" w:name="ref-01-5"/>
      <w:hyperlink w:anchor="nota-01-5">
        <w:r>
          <w:rPr>
            <w:rStyle w:val="Hyperlink"/>
            <w:vertAlign w:val="superscript"/>
          </w:rPr>
          <w:t xml:space="preserve">5</w:t>
        </w:r>
      </w:hyperlink>
      <w:bookmarkEnd w:id="25"/>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r>
        <w:pict>
          <v:rect style="width:0;height:1.5pt" o:hralign="center" o:hrstd="t" o:hr="t"/>
        </w:pict>
      </w:r>
    </w:p>
    <w:p>
      <w:pPr>
        <w:pStyle w:val="FirstParagraph"/>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bookmarkStart w:id="26" w:name="ref-01-6"/>
      <w:hyperlink w:anchor="nota-01-6">
        <w:r>
          <w:rPr>
            <w:rStyle w:val="Hyperlink"/>
            <w:vertAlign w:val="superscript"/>
          </w:rPr>
          <w:t xml:space="preserve">6</w:t>
        </w:r>
      </w:hyperlink>
      <w:bookmarkEnd w:id="26"/>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r>
        <w:pict>
          <v:rect style="width:0;height:1.5pt" o:hralign="center" o:hrstd="t" o:hr="t"/>
        </w:pict>
      </w:r>
    </w:p>
    <w:p>
      <w:pPr>
        <w:pStyle w:val="FirstParagraph"/>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bookmarkStart w:id="27" w:name="ref-01-7"/>
      <w:hyperlink w:anchor="nota-01-7">
        <w:r>
          <w:rPr>
            <w:rStyle w:val="Hyperlink"/>
            <w:vertAlign w:val="superscript"/>
          </w:rPr>
          <w:t xml:space="preserve">7</w:t>
        </w:r>
      </w:hyperlink>
      <w:bookmarkEnd w:id="27"/>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bookmarkStart w:id="28" w:name="ref-01-8"/>
      <w:hyperlink w:anchor="nota-01-8">
        <w:r>
          <w:rPr>
            <w:rStyle w:val="Hyperlink"/>
            <w:vertAlign w:val="superscript"/>
          </w:rPr>
          <w:t xml:space="preserve">8</w:t>
        </w:r>
      </w:hyperlink>
      <w:bookmarkEnd w:id="28"/>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r>
        <w:pict>
          <v:rect style="width:0;height:1.5pt" o:hralign="center" o:hrstd="t" o:hr="t"/>
        </w:pict>
      </w:r>
    </w:p>
    <w:p>
      <w:pPr>
        <w:pStyle w:val="FirstParagraph"/>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r>
        <w:pict>
          <v:rect style="width:0;height:1.5pt" o:hralign="center" o:hrstd="t" o:hr="t"/>
        </w:pict>
      </w:r>
    </w:p>
    <w:p>
      <w:pPr>
        <w:pStyle w:val="FirstParagraph"/>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Quienes pensaron la</w:t>
      </w:r>
      <w:r>
        <w:t xml:space="preserve"> </w:t>
      </w:r>
      <w:r>
        <w:rPr>
          <w:iCs/>
          <w:i/>
        </w:rPr>
        <w:t xml:space="preserve">paideia</w:t>
      </w:r>
      <w:r>
        <w:t xml:space="preserve"> </w:t>
      </w:r>
      <w:r>
        <w:t xml:space="preserve">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29"/>
    <w:bookmarkStart w:id="39"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w:t>
      </w:r>
      <w:bookmarkStart w:id="30" w:name="ref-02-1"/>
      <w:hyperlink w:anchor="nota-02-1">
        <w:r>
          <w:rPr>
            <w:rStyle w:val="Hyperlink"/>
            <w:vertAlign w:val="superscript"/>
          </w:rPr>
          <w:t xml:space="preserve">1</w:t>
        </w:r>
      </w:hyperlink>
      <w:bookmarkEnd w:id="30"/>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bookmarkStart w:id="31" w:name="ref-02-2"/>
      <w:hyperlink w:anchor="nota-02-2">
        <w:r>
          <w:rPr>
            <w:rStyle w:val="Hyperlink"/>
            <w:vertAlign w:val="superscript"/>
          </w:rPr>
          <w:t xml:space="preserve">2</w:t>
        </w:r>
      </w:hyperlink>
      <w:bookmarkEnd w:id="31"/>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r>
        <w:pict>
          <v:rect style="width:0;height:1.5pt" o:hralign="center" o:hrstd="t" o:hr="t"/>
        </w:pict>
      </w:r>
    </w:p>
    <w:p>
      <w:pPr>
        <w:pStyle w:val="FirstParagraph"/>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bookmarkStart w:id="32" w:name="ref-02-3"/>
      <w:hyperlink w:anchor="nota-02-3">
        <w:r>
          <w:rPr>
            <w:rStyle w:val="Hyperlink"/>
            <w:vertAlign w:val="superscript"/>
          </w:rPr>
          <w:t xml:space="preserve">3</w:t>
        </w:r>
      </w:hyperlink>
      <w:bookmarkEnd w:id="32"/>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Ahora puedo precisar lo que en el prólogo llamé plataforma educativa. Es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 un concepto que necesita límites porque se presta a una objeción evidente.</w:t>
      </w:r>
    </w:p>
    <w:p>
      <w:r>
        <w:pict>
          <v:rect style="width:0;height:1.5pt" o:hralign="center" o:hrstd="t" o:hr="t"/>
        </w:pict>
      </w:r>
    </w:p>
    <w:p>
      <w:pPr>
        <w:pStyle w:val="FirstParagraph"/>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Cuando escribo en este libro que lo que no deja rastro no cuenta, me refiero a esa tercera operación, que es una tendencia y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r>
        <w:pict>
          <v:rect style="width:0;height:1.5pt" o:hralign="center" o:hrstd="t" o:hr="t"/>
        </w:pict>
      </w:r>
    </w:p>
    <w:p>
      <w:pPr>
        <w:pStyle w:val="FirstParagraph"/>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No hablo solo del aprendizaje automático, que muchas de estas herramientas ni siquiera usan. Hablo también de empresas e instituciones que perfeccionan sus maneras de organizar la actividad a medida que ven, curso tras curso, cómo se usan sus servicios en millones de aulas.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r>
        <w:pict>
          <v:rect style="width:0;height:1.5pt" o:hralign="center" o:hrstd="t" o:hr="t"/>
        </w:pict>
      </w:r>
    </w:p>
    <w:p>
      <w:pPr>
        <w:pStyle w:val="FirstParagraph"/>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bookmarkStart w:id="33" w:name="ref-02-4"/>
      <w:hyperlink w:anchor="nota-02-4">
        <w:r>
          <w:rPr>
            <w:rStyle w:val="Hyperlink"/>
            <w:vertAlign w:val="superscript"/>
          </w:rPr>
          <w:t xml:space="preserve">4</w:t>
        </w:r>
      </w:hyperlink>
      <w:bookmarkEnd w:id="33"/>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bookmarkStart w:id="34" w:name="ref-02-5"/>
      <w:hyperlink w:anchor="nota-02-5">
        <w:r>
          <w:rPr>
            <w:rStyle w:val="Hyperlink"/>
            <w:vertAlign w:val="superscript"/>
          </w:rPr>
          <w:t xml:space="preserve">5</w:t>
        </w:r>
      </w:hyperlink>
      <w:bookmarkEnd w:id="34"/>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bookmarkStart w:id="35" w:name="ref-02-6"/>
      <w:hyperlink w:anchor="nota-02-6">
        <w:r>
          <w:rPr>
            <w:rStyle w:val="Hyperlink"/>
            <w:vertAlign w:val="superscript"/>
          </w:rPr>
          <w:t xml:space="preserve">6</w:t>
        </w:r>
      </w:hyperlink>
      <w:bookmarkEnd w:id="35"/>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bookmarkStart w:id="36" w:name="ref-02-7"/>
      <w:hyperlink w:anchor="nota-02-7">
        <w:r>
          <w:rPr>
            <w:rStyle w:val="Hyperlink"/>
            <w:vertAlign w:val="superscript"/>
          </w:rPr>
          <w:t xml:space="preserve">7</w:t>
        </w:r>
      </w:hyperlink>
      <w:bookmarkEnd w:id="36"/>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Así entendida, la idea de Agamben resulta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r>
        <w:pict>
          <v:rect style="width:0;height:1.5pt" o:hralign="center" o:hrstd="t" o:hr="t"/>
        </w:pict>
      </w:r>
    </w:p>
    <w:p>
      <w:pPr>
        <w:pStyle w:val="FirstParagraph"/>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bookmarkStart w:id="37" w:name="ref-02-8"/>
      <w:hyperlink w:anchor="nota-02-8">
        <w:r>
          <w:rPr>
            <w:rStyle w:val="Hyperlink"/>
            <w:vertAlign w:val="superscript"/>
          </w:rPr>
          <w:t xml:space="preserve">8</w:t>
        </w:r>
      </w:hyperlink>
      <w:bookmarkEnd w:id="37"/>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bookmarkStart w:id="38" w:name="ref-02-9"/>
      <w:hyperlink w:anchor="nota-02-9">
        <w:r>
          <w:rPr>
            <w:rStyle w:val="Hyperlink"/>
            <w:vertAlign w:val="superscript"/>
          </w:rPr>
          <w:t xml:space="preserve">9</w:t>
        </w:r>
      </w:hyperlink>
      <w:bookmarkEnd w:id="38"/>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39"/>
    <w:bookmarkStart w:id="52"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bookmarkStart w:id="40" w:name="ref-03-1"/>
      <w:hyperlink w:anchor="nota-03-1">
        <w:r>
          <w:rPr>
            <w:rStyle w:val="Hyperlink"/>
            <w:vertAlign w:val="superscript"/>
          </w:rPr>
          <w:t xml:space="preserve">1</w:t>
        </w:r>
      </w:hyperlink>
      <w:bookmarkEnd w:id="40"/>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bookmarkStart w:id="41" w:name="ref-03-2"/>
      <w:hyperlink w:anchor="nota-03-2">
        <w:r>
          <w:rPr>
            <w:rStyle w:val="Hyperlink"/>
            <w:vertAlign w:val="superscript"/>
          </w:rPr>
          <w:t xml:space="preserve">2</w:t>
        </w:r>
      </w:hyperlink>
      <w:bookmarkEnd w:id="41"/>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bookmarkStart w:id="42" w:name="ref-03-3"/>
      <w:hyperlink w:anchor="nota-03-3">
        <w:r>
          <w:rPr>
            <w:rStyle w:val="Hyperlink"/>
            <w:vertAlign w:val="superscript"/>
          </w:rPr>
          <w:t xml:space="preserve">3</w:t>
        </w:r>
      </w:hyperlink>
      <w:bookmarkEnd w:id="42"/>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bookmarkStart w:id="43" w:name="ref-03-4"/>
      <w:hyperlink w:anchor="nota-03-4">
        <w:r>
          <w:rPr>
            <w:rStyle w:val="Hyperlink"/>
            <w:vertAlign w:val="superscript"/>
          </w:rPr>
          <w:t xml:space="preserve">4</w:t>
        </w:r>
      </w:hyperlink>
      <w:bookmarkEnd w:id="43"/>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bookmarkStart w:id="44" w:name="ref-03-5"/>
      <w:hyperlink w:anchor="nota-03-5">
        <w:r>
          <w:rPr>
            <w:rStyle w:val="Hyperlink"/>
            <w:vertAlign w:val="superscript"/>
          </w:rPr>
          <w:t xml:space="preserve">5</w:t>
        </w:r>
      </w:hyperlink>
      <w:bookmarkEnd w:id="44"/>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bookmarkStart w:id="45" w:name="ref-03-6"/>
      <w:hyperlink w:anchor="nota-03-6">
        <w:r>
          <w:rPr>
            <w:rStyle w:val="Hyperlink"/>
            <w:vertAlign w:val="superscript"/>
          </w:rPr>
          <w:t xml:space="preserve">6</w:t>
        </w:r>
      </w:hyperlink>
      <w:bookmarkEnd w:id="45"/>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bookmarkStart w:id="46" w:name="ref-03-7"/>
      <w:hyperlink w:anchor="nota-03-7">
        <w:r>
          <w:rPr>
            <w:rStyle w:val="Hyperlink"/>
            <w:vertAlign w:val="superscript"/>
          </w:rPr>
          <w:t xml:space="preserve">7</w:t>
        </w:r>
      </w:hyperlink>
      <w:bookmarkEnd w:id="46"/>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bookmarkStart w:id="47" w:name="ref-03-8"/>
      <w:hyperlink w:anchor="nota-03-8">
        <w:r>
          <w:rPr>
            <w:rStyle w:val="Hyperlink"/>
            <w:vertAlign w:val="superscript"/>
          </w:rPr>
          <w:t xml:space="preserve">8</w:t>
        </w:r>
      </w:hyperlink>
      <w:bookmarkEnd w:id="47"/>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bookmarkStart w:id="48" w:name="ref-03-9"/>
      <w:hyperlink w:anchor="nota-03-9">
        <w:r>
          <w:rPr>
            <w:rStyle w:val="Hyperlink"/>
            <w:vertAlign w:val="superscript"/>
          </w:rPr>
          <w:t xml:space="preserve">9</w:t>
        </w:r>
      </w:hyperlink>
      <w:bookmarkEnd w:id="48"/>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bookmarkStart w:id="49" w:name="ref-03-10"/>
      <w:hyperlink w:anchor="nota-03-10">
        <w:r>
          <w:rPr>
            <w:rStyle w:val="Hyperlink"/>
            <w:vertAlign w:val="superscript"/>
          </w:rPr>
          <w:t xml:space="preserve">10</w:t>
        </w:r>
      </w:hyperlink>
      <w:bookmarkEnd w:id="49"/>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bookmarkStart w:id="50" w:name="ref-03-11"/>
      <w:hyperlink w:anchor="nota-03-11">
        <w:r>
          <w:rPr>
            <w:rStyle w:val="Hyperlink"/>
            <w:vertAlign w:val="superscript"/>
          </w:rPr>
          <w:t xml:space="preserve">11</w:t>
        </w:r>
      </w:hyperlink>
      <w:bookmarkEnd w:id="50"/>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bookmarkStart w:id="51" w:name="ref-03-12"/>
      <w:hyperlink w:anchor="nota-03-12">
        <w:r>
          <w:rPr>
            <w:rStyle w:val="Hyperlink"/>
            <w:vertAlign w:val="superscript"/>
          </w:rPr>
          <w:t xml:space="preserve">12</w:t>
        </w:r>
      </w:hyperlink>
      <w:bookmarkEnd w:id="51"/>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basta para captar es su significado educativo, que depende de una historia, de una relación y de un juicio que no estaban previstos entre los datos. Ningún registro sustituye el juicio de alguien que mire y responda de lo que ve.</w:t>
      </w:r>
    </w:p>
    <w:p>
      <w:r>
        <w:pict>
          <v:rect style="width:0;height:1.5pt" o:hralign="center" o:hrstd="t" o:hr="t"/>
        </w:pict>
      </w:r>
    </w:p>
    <w:p>
      <w:pPr>
        <w:pStyle w:val="FirstParagraph"/>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2"/>
    <w:bookmarkStart w:id="65"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bookmarkStart w:id="53" w:name="ref-04-1"/>
      <w:hyperlink w:anchor="nota-04-1">
        <w:r>
          <w:rPr>
            <w:rStyle w:val="Hyperlink"/>
            <w:vertAlign w:val="superscript"/>
          </w:rPr>
          <w:t xml:space="preserve">1</w:t>
        </w:r>
      </w:hyperlink>
      <w:bookmarkEnd w:id="53"/>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bookmarkStart w:id="54" w:name="ref-04-2"/>
      <w:hyperlink w:anchor="nota-04-2">
        <w:r>
          <w:rPr>
            <w:rStyle w:val="Hyperlink"/>
            <w:vertAlign w:val="superscript"/>
          </w:rPr>
          <w:t xml:space="preserve">2</w:t>
        </w:r>
      </w:hyperlink>
      <w:bookmarkEnd w:id="54"/>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bookmarkStart w:id="55" w:name="ref-04-3"/>
      <w:hyperlink w:anchor="nota-04-3">
        <w:r>
          <w:rPr>
            <w:rStyle w:val="Hyperlink"/>
            <w:vertAlign w:val="superscript"/>
          </w:rPr>
          <w:t xml:space="preserve">3</w:t>
        </w:r>
      </w:hyperlink>
      <w:bookmarkEnd w:id="55"/>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bookmarkStart w:id="56" w:name="ref-04-4"/>
      <w:hyperlink w:anchor="nota-04-4">
        <w:r>
          <w:rPr>
            <w:rStyle w:val="Hyperlink"/>
            <w:vertAlign w:val="superscript"/>
          </w:rPr>
          <w:t xml:space="preserve">4</w:t>
        </w:r>
      </w:hyperlink>
      <w:bookmarkEnd w:id="56"/>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bookmarkStart w:id="57" w:name="ref-04-5"/>
      <w:hyperlink w:anchor="nota-04-5">
        <w:r>
          <w:rPr>
            <w:rStyle w:val="Hyperlink"/>
            <w:vertAlign w:val="superscript"/>
          </w:rPr>
          <w:t xml:space="preserve">5</w:t>
        </w:r>
      </w:hyperlink>
      <w:bookmarkEnd w:id="57"/>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repite en las aulas.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bookmarkStart w:id="58" w:name="ref-04-6"/>
      <w:hyperlink w:anchor="nota-04-6">
        <w:r>
          <w:rPr>
            <w:rStyle w:val="Hyperlink"/>
            <w:vertAlign w:val="superscript"/>
          </w:rPr>
          <w:t xml:space="preserve">6</w:t>
        </w:r>
      </w:hyperlink>
      <w:bookmarkEnd w:id="58"/>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bookmarkStart w:id="59" w:name="ref-04-7"/>
      <w:hyperlink w:anchor="nota-04-7">
        <w:r>
          <w:rPr>
            <w:rStyle w:val="Hyperlink"/>
            <w:vertAlign w:val="superscript"/>
          </w:rPr>
          <w:t xml:space="preserve">7</w:t>
        </w:r>
      </w:hyperlink>
      <w:bookmarkEnd w:id="59"/>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r>
        <w:pict>
          <v:rect style="width:0;height:1.5pt" o:hralign="center" o:hrstd="t" o:hr="t"/>
        </w:pict>
      </w:r>
    </w:p>
    <w:p>
      <w:pPr>
        <w:pStyle w:val="FirstParagraph"/>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La escena que sigue es una composición: no describe a ninguna alumna concreta, pero cada uno de sus elementos existe en plataformas y centros reales.</w:t>
      </w:r>
    </w:p>
    <w:p>
      <w:pPr>
        <w:pStyle w:val="BodyText"/>
      </w:pPr>
      <w:r>
        <w:t xml:space="preserve">Clara está en primero de bachillerato. Un martes por la noche abre la aplicación del instituto y ve que su media de matemáticas ha bajado de 6,8 a 6,1. No ha hecho un examen peor: una tarea que no subió a tiempo figura con un cero automático. Hasta aquí, el registro ya incorpora una primera interpretación: no entregar equivale a obtener un cero. Algunas decisiones llegan incorporadas al registro, y por eso cuesta reconocerlas como decisiones.</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la interpretación institucional propiamente dicha, y también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bookmarkStart w:id="60" w:name="ref-04-8"/>
      <w:hyperlink w:anchor="nota-04-8">
        <w:r>
          <w:rPr>
            <w:rStyle w:val="Hyperlink"/>
            <w:vertAlign w:val="superscript"/>
          </w:rPr>
          <w:t xml:space="preserve">8</w:t>
        </w:r>
      </w:hyperlink>
      <w:bookmarkEnd w:id="60"/>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bookmarkStart w:id="61" w:name="ref-04-9"/>
      <w:hyperlink w:anchor="nota-04-9">
        <w:r>
          <w:rPr>
            <w:rStyle w:val="Hyperlink"/>
            <w:vertAlign w:val="superscript"/>
          </w:rPr>
          <w:t xml:space="preserve">9</w:t>
        </w:r>
      </w:hyperlink>
      <w:bookmarkEnd w:id="61"/>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r>
        <w:pict>
          <v:rect style="width:0;height:1.5pt" o:hralign="center" o:hrstd="t" o:hr="t"/>
        </w:pict>
      </w:r>
    </w:p>
    <w:p>
      <w:pPr>
        <w:pStyle w:val="FirstParagraph"/>
      </w:pPr>
      <w:r>
        <w:t xml:space="preserve">¿Cómo se llega a desear este gobierno? El investigador Engin Atasay ha propuesto que la escolarización neoliberal enseña a desear la carencia.</w:t>
      </w:r>
      <w:bookmarkStart w:id="62" w:name="ref-04-10"/>
      <w:hyperlink w:anchor="nota-04-10">
        <w:r>
          <w:rPr>
            <w:rStyle w:val="Hyperlink"/>
            <w:vertAlign w:val="superscript"/>
          </w:rPr>
          <w:t xml:space="preserve">10</w:t>
        </w:r>
      </w:hyperlink>
      <w:bookmarkEnd w:id="62"/>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bookmarkStart w:id="63" w:name="ref-04-11"/>
      <w:hyperlink w:anchor="nota-04-11">
        <w:r>
          <w:rPr>
            <w:rStyle w:val="Hyperlink"/>
            <w:vertAlign w:val="superscript"/>
          </w:rPr>
          <w:t xml:space="preserve">11</w:t>
        </w:r>
      </w:hyperlink>
      <w:bookmarkEnd w:id="63"/>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bookmarkStart w:id="64" w:name="ref-04-12"/>
      <w:hyperlink w:anchor="nota-04-12">
        <w:r>
          <w:rPr>
            <w:rStyle w:val="Hyperlink"/>
            <w:vertAlign w:val="superscript"/>
          </w:rPr>
          <w:t xml:space="preserve">12</w:t>
        </w:r>
      </w:hyperlink>
      <w:bookmarkEnd w:id="64"/>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 feedback 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hacia la tercera operación del capítulo 2.</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5"/>
    <w:bookmarkStart w:id="81"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bookmarkStart w:id="66" w:name="ref-05-1"/>
      <w:hyperlink w:anchor="nota-05-1">
        <w:r>
          <w:rPr>
            <w:rStyle w:val="Hyperlink"/>
            <w:vertAlign w:val="superscript"/>
          </w:rPr>
          <w:t xml:space="preserve">1</w:t>
        </w:r>
      </w:hyperlink>
      <w:bookmarkEnd w:id="66"/>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bookmarkStart w:id="67" w:name="ref-05-2"/>
      <w:hyperlink w:anchor="nota-05-2">
        <w:r>
          <w:rPr>
            <w:rStyle w:val="Hyperlink"/>
            <w:vertAlign w:val="superscript"/>
          </w:rPr>
          <w:t xml:space="preserve">2</w:t>
        </w:r>
      </w:hyperlink>
      <w:bookmarkEnd w:id="67"/>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bookmarkStart w:id="68" w:name="ref-05-3"/>
      <w:hyperlink w:anchor="nota-05-3">
        <w:r>
          <w:rPr>
            <w:rStyle w:val="Hyperlink"/>
            <w:vertAlign w:val="superscript"/>
          </w:rPr>
          <w:t xml:space="preserve">3</w:t>
        </w:r>
      </w:hyperlink>
      <w:bookmarkEnd w:id="68"/>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bookmarkStart w:id="69" w:name="ref-05-4"/>
      <w:hyperlink w:anchor="nota-05-4">
        <w:r>
          <w:rPr>
            <w:rStyle w:val="Hyperlink"/>
            <w:vertAlign w:val="superscript"/>
          </w:rPr>
          <w:t xml:space="preserve">4</w:t>
        </w:r>
      </w:hyperlink>
      <w:bookmarkEnd w:id="69"/>
      <w:r>
        <w:t xml:space="preserve"> </w:t>
      </w:r>
      <w:r>
        <w:t xml:space="preserve">La lista de clase, el registro de faltas y méritos, la nota numérica y la división en niveles nos parecen obvios. Tienen una historia, la de una mirada que aprendió a convertir personas en expedientes.</w:t>
      </w:r>
    </w:p>
    <w:p>
      <w:r>
        <w:pict>
          <v:rect style="width:0;height:1.5pt" o:hralign="center" o:hrstd="t" o:hr="t"/>
        </w:pict>
      </w:r>
    </w:p>
    <w:p>
      <w:pPr>
        <w:pStyle w:val="FirstParagraph"/>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bookmarkStart w:id="70" w:name="ref-05-5"/>
      <w:hyperlink w:anchor="nota-05-5">
        <w:r>
          <w:rPr>
            <w:rStyle w:val="Hyperlink"/>
            <w:vertAlign w:val="superscript"/>
          </w:rPr>
          <w:t xml:space="preserve">5</w:t>
        </w:r>
      </w:hyperlink>
      <w:bookmarkEnd w:id="70"/>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entrevistas que hice en 2025 no describen un mismo caso. Leídas juntas, permiten reconocer tres desplazamientos del registro.</w:t>
      </w:r>
      <w:bookmarkStart w:id="71" w:name="ref-05-6"/>
      <w:hyperlink w:anchor="nota-05-6">
        <w:r>
          <w:rPr>
            <w:rStyle w:val="Hyperlink"/>
            <w:vertAlign w:val="superscript"/>
          </w:rPr>
          <w:t xml:space="preserve">6</w:t>
        </w:r>
      </w:hyperlink>
      <w:bookmarkEnd w:id="71"/>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y la conversación no.</w:t>
      </w:r>
    </w:p>
    <w:p>
      <w:r>
        <w:pict>
          <v:rect style="width:0;height:1.5pt" o:hralign="center" o:hrstd="t" o:hr="t"/>
        </w:pict>
      </w:r>
    </w:p>
    <w:p>
      <w:pPr>
        <w:pStyle w:val="FirstParagraph"/>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bookmarkStart w:id="72" w:name="ref-05-7"/>
      <w:hyperlink w:anchor="nota-05-7">
        <w:r>
          <w:rPr>
            <w:rStyle w:val="Hyperlink"/>
            <w:vertAlign w:val="superscript"/>
          </w:rPr>
          <w:t xml:space="preserve">7</w:t>
        </w:r>
      </w:hyperlink>
      <w:bookmarkEnd w:id="72"/>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bookmarkStart w:id="73" w:name="ref-05-8"/>
      <w:hyperlink w:anchor="nota-05-8">
        <w:r>
          <w:rPr>
            <w:rStyle w:val="Hyperlink"/>
            <w:vertAlign w:val="superscript"/>
          </w:rPr>
          <w:t xml:space="preserve">8</w:t>
        </w:r>
      </w:hyperlink>
      <w:bookmarkEnd w:id="73"/>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bookmarkStart w:id="74" w:name="ref-05-9"/>
      <w:hyperlink w:anchor="nota-05-9">
        <w:r>
          <w:rPr>
            <w:rStyle w:val="Hyperlink"/>
            <w:vertAlign w:val="superscript"/>
          </w:rPr>
          <w:t xml:space="preserve">9</w:t>
        </w:r>
      </w:hyperlink>
      <w:bookmarkEnd w:id="74"/>
      <w:r>
        <w:t xml:space="preserve"> </w:t>
      </w:r>
      <w:r>
        <w:t xml:space="preserve">Estos resultados no permiten atribuir a la analítica, por sí sola, una mejora general de la graduación o la permanencia.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r>
        <w:pict>
          <v:rect style="width:0;height:1.5pt" o:hralign="center" o:hrstd="t" o:hr="t"/>
        </w:pict>
      </w:r>
    </w:p>
    <w:p>
      <w:pPr>
        <w:pStyle w:val="FirstParagraph"/>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bookmarkStart w:id="75" w:name="ref-05-10"/>
      <w:hyperlink w:anchor="nota-05-10">
        <w:r>
          <w:rPr>
            <w:rStyle w:val="Hyperlink"/>
            <w:vertAlign w:val="superscript"/>
          </w:rPr>
          <w:t xml:space="preserve">10</w:t>
        </w:r>
      </w:hyperlink>
      <w:bookmarkEnd w:id="75"/>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bookmarkStart w:id="76" w:name="ref-05-11"/>
      <w:hyperlink w:anchor="nota-05-11">
        <w:r>
          <w:rPr>
            <w:rStyle w:val="Hyperlink"/>
            <w:vertAlign w:val="superscript"/>
          </w:rPr>
          <w:t xml:space="preserve">11</w:t>
        </w:r>
      </w:hyperlink>
      <w:bookmarkEnd w:id="76"/>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bookmarkStart w:id="77" w:name="ref-05-12"/>
      <w:hyperlink w:anchor="nota-05-12">
        <w:r>
          <w:rPr>
            <w:rStyle w:val="Hyperlink"/>
            <w:vertAlign w:val="superscript"/>
          </w:rPr>
          <w:t xml:space="preserve">12</w:t>
        </w:r>
      </w:hyperlink>
      <w:bookmarkEnd w:id="77"/>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bookmarkStart w:id="78" w:name="ref-05-13"/>
      <w:hyperlink w:anchor="nota-05-13">
        <w:r>
          <w:rPr>
            <w:rStyle w:val="Hyperlink"/>
            <w:vertAlign w:val="superscript"/>
          </w:rPr>
          <w:t xml:space="preserve">13</w:t>
        </w:r>
      </w:hyperlink>
      <w:bookmarkEnd w:id="78"/>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trazado aquí una línea significativa.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bookmarkStart w:id="79" w:name="ref-05-14"/>
      <w:hyperlink w:anchor="nota-05-14">
        <w:r>
          <w:rPr>
            <w:rStyle w:val="Hyperlink"/>
            <w:vertAlign w:val="superscript"/>
          </w:rPr>
          <w:t xml:space="preserve">14</w:t>
        </w:r>
      </w:hyperlink>
      <w:bookmarkEnd w:id="79"/>
      <w:r>
        <w:t xml:space="preserve"> </w:t>
      </w:r>
      <w:r>
        <w:t xml:space="preserve">El legislador europeo llegó a la misma conclusión que este capítulo por otro camino: hay una parte del alumno que la escuela no tiene derecho a leer.</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bookmarkStart w:id="80" w:name="ref-05-15"/>
      <w:hyperlink w:anchor="nota-05-15">
        <w:r>
          <w:rPr>
            <w:rStyle w:val="Hyperlink"/>
            <w:vertAlign w:val="superscript"/>
          </w:rPr>
          <w:t xml:space="preserve">15</w:t>
        </w:r>
      </w:hyperlink>
      <w:bookmarkEnd w:id="80"/>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r>
        <w:pict>
          <v:rect style="width:0;height:1.5pt" o:hralign="center" o:hrstd="t" o:hr="t"/>
        </w:pict>
      </w:r>
    </w:p>
    <w:p>
      <w:pPr>
        <w:pStyle w:val="FirstParagraph"/>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1"/>
    <w:bookmarkStart w:id="97"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bookmarkStart w:id="82" w:name="ref-06-1"/>
      <w:hyperlink w:anchor="nota-06-1">
        <w:r>
          <w:rPr>
            <w:rStyle w:val="Hyperlink"/>
            <w:vertAlign w:val="superscript"/>
          </w:rPr>
          <w:t xml:space="preserve">1</w:t>
        </w:r>
      </w:hyperlink>
      <w:bookmarkEnd w:id="82"/>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bookmarkStart w:id="83" w:name="ref-06-2"/>
      <w:hyperlink w:anchor="nota-06-2">
        <w:r>
          <w:rPr>
            <w:rStyle w:val="Hyperlink"/>
            <w:vertAlign w:val="superscript"/>
          </w:rPr>
          <w:t xml:space="preserve">2</w:t>
        </w:r>
      </w:hyperlink>
      <w:bookmarkEnd w:id="83"/>
      <w:r>
        <w:t xml:space="preserve"> </w:t>
      </w:r>
      <w:r>
        <w:t xml:space="preserve">La escritura amplía nuestras capacidades y puede atrofiarlas. Lo que haga depende del cuidado con que se administre, y esa idea, que vale para todas las técnicas, es la que guía este capítulo.</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bookmarkStart w:id="84" w:name="ref-06-3"/>
      <w:hyperlink w:anchor="nota-06-3">
        <w:r>
          <w:rPr>
            <w:rStyle w:val="Hyperlink"/>
            <w:vertAlign w:val="superscript"/>
          </w:rPr>
          <w:t xml:space="preserve">3</w:t>
        </w:r>
      </w:hyperlink>
      <w:bookmarkEnd w:id="84"/>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r>
        <w:pict>
          <v:rect style="width:0;height:1.5pt" o:hralign="center" o:hrstd="t" o:hr="t"/>
        </w:pict>
      </w:r>
    </w:p>
    <w:p>
      <w:pPr>
        <w:pStyle w:val="FirstParagraph"/>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bookmarkStart w:id="85" w:name="ref-06-4"/>
      <w:hyperlink w:anchor="nota-06-4">
        <w:r>
          <w:rPr>
            <w:rStyle w:val="Hyperlink"/>
            <w:vertAlign w:val="superscript"/>
          </w:rPr>
          <w:t xml:space="preserve">4</w:t>
        </w:r>
      </w:hyperlink>
      <w:bookmarkEnd w:id="85"/>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r>
        <w:pict>
          <v:rect style="width:0;height:1.5pt" o:hralign="center" o:hrstd="t" o:hr="t"/>
        </w:pict>
      </w:r>
    </w:p>
    <w:p>
      <w:pPr>
        <w:pStyle w:val="FirstParagraph"/>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bookmarkStart w:id="86" w:name="ref-06-5"/>
      <w:hyperlink w:anchor="nota-06-5">
        <w:r>
          <w:rPr>
            <w:rStyle w:val="Hyperlink"/>
            <w:vertAlign w:val="superscript"/>
          </w:rPr>
          <w:t xml:space="preserve">5</w:t>
        </w:r>
      </w:hyperlink>
      <w:bookmarkEnd w:id="86"/>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bookmarkStart w:id="87" w:name="ref-06-6"/>
      <w:hyperlink w:anchor="nota-06-6">
        <w:r>
          <w:rPr>
            <w:rStyle w:val="Hyperlink"/>
            <w:vertAlign w:val="superscript"/>
          </w:rPr>
          <w:t xml:space="preserve">6</w:t>
        </w:r>
      </w:hyperlink>
      <w:bookmarkEnd w:id="87"/>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r>
        <w:pict>
          <v:rect style="width:0;height:1.5pt" o:hralign="center" o:hrstd="t" o:hr="t"/>
        </w:pict>
      </w:r>
    </w:p>
    <w:p>
      <w:pPr>
        <w:pStyle w:val="FirstParagraph"/>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bookmarkStart w:id="88" w:name="ref-06-7"/>
      <w:hyperlink w:anchor="nota-06-7">
        <w:r>
          <w:rPr>
            <w:rStyle w:val="Hyperlink"/>
            <w:vertAlign w:val="superscript"/>
          </w:rPr>
          <w:t xml:space="preserve">7</w:t>
        </w:r>
      </w:hyperlink>
      <w:bookmarkEnd w:id="88"/>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bookmarkStart w:id="89" w:name="ref-06-8"/>
      <w:hyperlink w:anchor="nota-06-8">
        <w:r>
          <w:rPr>
            <w:rStyle w:val="Hyperlink"/>
            <w:vertAlign w:val="superscript"/>
          </w:rPr>
          <w:t xml:space="preserve">8</w:t>
        </w:r>
      </w:hyperlink>
      <w:bookmarkEnd w:id="89"/>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bookmarkStart w:id="90" w:name="ref-06-9"/>
      <w:hyperlink w:anchor="nota-06-9">
        <w:r>
          <w:rPr>
            <w:rStyle w:val="Hyperlink"/>
            <w:vertAlign w:val="superscript"/>
          </w:rPr>
          <w:t xml:space="preserve">9</w:t>
        </w:r>
      </w:hyperlink>
      <w:bookmarkEnd w:id="90"/>
    </w:p>
    <w:p>
      <w:r>
        <w:pict>
          <v:rect style="width:0;height:1.5pt" o:hralign="center" o:hrstd="t" o:hr="t"/>
        </w:pict>
      </w:r>
    </w:p>
    <w:p>
      <w:pPr>
        <w:pStyle w:val="FirstParagraph"/>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bookmarkStart w:id="91" w:name="ref-06-10"/>
      <w:hyperlink w:anchor="nota-06-10">
        <w:r>
          <w:rPr>
            <w:rStyle w:val="Hyperlink"/>
            <w:vertAlign w:val="superscript"/>
          </w:rPr>
          <w:t xml:space="preserve">10</w:t>
        </w:r>
      </w:hyperlink>
      <w:bookmarkEnd w:id="91"/>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había llegado a la tercera operación que distinguí en el capítulo 2,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bookmarkStart w:id="92" w:name="ref-06-11"/>
      <w:hyperlink w:anchor="nota-06-11">
        <w:r>
          <w:rPr>
            <w:rStyle w:val="Hyperlink"/>
            <w:vertAlign w:val="superscript"/>
          </w:rPr>
          <w:t xml:space="preserve">11</w:t>
        </w:r>
      </w:hyperlink>
      <w:bookmarkEnd w:id="92"/>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bookmarkStart w:id="93" w:name="ref-06-12"/>
      <w:hyperlink w:anchor="nota-06-12">
        <w:r>
          <w:rPr>
            <w:rStyle w:val="Hyperlink"/>
            <w:vertAlign w:val="superscript"/>
          </w:rPr>
          <w:t xml:space="preserve">12</w:t>
        </w:r>
      </w:hyperlink>
      <w:bookmarkEnd w:id="93"/>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r>
        <w:pict>
          <v:rect style="width:0;height:1.5pt" o:hralign="center" o:hrstd="t" o:hr="t"/>
        </w:pict>
      </w:r>
    </w:p>
    <w:p>
      <w:pPr>
        <w:pStyle w:val="FirstParagraph"/>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bookmarkStart w:id="94" w:name="ref-06-13"/>
      <w:hyperlink w:anchor="nota-06-13">
        <w:r>
          <w:rPr>
            <w:rStyle w:val="Hyperlink"/>
            <w:vertAlign w:val="superscript"/>
          </w:rPr>
          <w:t xml:space="preserve">13</w:t>
        </w:r>
      </w:hyperlink>
      <w:bookmarkEnd w:id="94"/>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bookmarkStart w:id="95" w:name="ref-06-14"/>
      <w:hyperlink w:anchor="nota-06-14">
        <w:r>
          <w:rPr>
            <w:rStyle w:val="Hyperlink"/>
            <w:vertAlign w:val="superscript"/>
          </w:rPr>
          <w:t xml:space="preserve">14</w:t>
        </w:r>
      </w:hyperlink>
      <w:bookmarkEnd w:id="95"/>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bookmarkStart w:id="96" w:name="ref-06-15"/>
      <w:hyperlink w:anchor="nota-06-15">
        <w:r>
          <w:rPr>
            <w:rStyle w:val="Hyperlink"/>
            <w:vertAlign w:val="superscript"/>
          </w:rPr>
          <w:t xml:space="preserve">15</w:t>
        </w:r>
      </w:hyperlink>
      <w:bookmarkEnd w:id="96"/>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la respuesta a Theuth no consiste en abolir la escritura.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r>
        <w:pict>
          <v:rect style="width:0;height:1.5pt" o:hralign="center" o:hrstd="t" o:hr="t"/>
        </w:pict>
      </w:r>
    </w:p>
    <w:p>
      <w:pPr>
        <w:pStyle w:val="FirstParagraph"/>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7"/>
    <w:bookmarkStart w:id="117"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Roma vivió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bookmarkStart w:id="98" w:name="ref-07-1"/>
      <w:hyperlink w:anchor="nota-07-1">
        <w:r>
          <w:rPr>
            <w:rStyle w:val="Hyperlink"/>
            <w:vertAlign w:val="superscript"/>
          </w:rPr>
          <w:t xml:space="preserve">1</w:t>
        </w:r>
      </w:hyperlink>
      <w:bookmarkEnd w:id="98"/>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bookmarkStart w:id="99" w:name="ref-07-2"/>
      <w:hyperlink w:anchor="nota-07-2">
        <w:r>
          <w:rPr>
            <w:rStyle w:val="Hyperlink"/>
            <w:vertAlign w:val="superscript"/>
          </w:rPr>
          <w:t xml:space="preserve">2</w:t>
        </w:r>
      </w:hyperlink>
      <w:bookmarkEnd w:id="99"/>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bookmarkStart w:id="100" w:name="ref-07-3"/>
      <w:hyperlink w:anchor="nota-07-3">
        <w:r>
          <w:rPr>
            <w:rStyle w:val="Hyperlink"/>
            <w:vertAlign w:val="superscript"/>
          </w:rPr>
          <w:t xml:space="preserve">3</w:t>
        </w:r>
      </w:hyperlink>
      <w:bookmarkEnd w:id="100"/>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r>
        <w:pict>
          <v:rect style="width:0;height:1.5pt" o:hralign="center" o:hrstd="t" o:hr="t"/>
        </w:pict>
      </w:r>
    </w:p>
    <w:p>
      <w:pPr>
        <w:pStyle w:val="FirstParagraph"/>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bookmarkStart w:id="101" w:name="ref-07-4"/>
      <w:hyperlink w:anchor="nota-07-4">
        <w:r>
          <w:rPr>
            <w:rStyle w:val="Hyperlink"/>
            <w:vertAlign w:val="superscript"/>
          </w:rPr>
          <w:t xml:space="preserve">4</w:t>
        </w:r>
      </w:hyperlink>
      <w:bookmarkEnd w:id="101"/>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bookmarkStart w:id="102" w:name="ref-07-5"/>
      <w:hyperlink w:anchor="nota-07-5">
        <w:r>
          <w:rPr>
            <w:rStyle w:val="Hyperlink"/>
            <w:vertAlign w:val="superscript"/>
          </w:rPr>
          <w:t xml:space="preserve">5</w:t>
        </w:r>
      </w:hyperlink>
      <w:bookmarkEnd w:id="102"/>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r>
        <w:pict>
          <v:rect style="width:0;height:1.5pt" o:hralign="center" o:hrstd="t" o:hr="t"/>
        </w:pict>
      </w:r>
    </w:p>
    <w:p>
      <w:pPr>
        <w:pStyle w:val="FirstParagraph"/>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bookmarkStart w:id="103" w:name="ref-07-6"/>
      <w:hyperlink w:anchor="nota-07-6">
        <w:r>
          <w:rPr>
            <w:rStyle w:val="Hyperlink"/>
            <w:vertAlign w:val="superscript"/>
          </w:rPr>
          <w:t xml:space="preserve">6</w:t>
        </w:r>
      </w:hyperlink>
      <w:bookmarkEnd w:id="103"/>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La presentación pública del estudio informa de una asociación estadística, no de una prueba causal concluyente. El efecto del sistema de admisión sigue en discusión, el Gobierno impulsa en 2026 una reforma de ese mismo sistema, y nadie discute que la segregación sigue siendo alta.</w:t>
      </w:r>
      <w:bookmarkStart w:id="104" w:name="ref-07-7"/>
      <w:hyperlink w:anchor="nota-07-7">
        <w:r>
          <w:rPr>
            <w:rStyle w:val="Hyperlink"/>
            <w:vertAlign w:val="superscript"/>
          </w:rPr>
          <w:t xml:space="preserve">7</w:t>
        </w:r>
      </w:hyperlink>
      <w:bookmarkEnd w:id="104"/>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bookmarkStart w:id="105" w:name="ref-07-8"/>
      <w:hyperlink w:anchor="nota-07-8">
        <w:r>
          <w:rPr>
            <w:rStyle w:val="Hyperlink"/>
            <w:vertAlign w:val="superscript"/>
          </w:rPr>
          <w:t xml:space="preserve">8</w:t>
        </w:r>
      </w:hyperlink>
      <w:bookmarkEnd w:id="105"/>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 rankings 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bookmarkStart w:id="106" w:name="ref-07-9"/>
      <w:hyperlink w:anchor="nota-07-9">
        <w:r>
          <w:rPr>
            <w:rStyle w:val="Hyperlink"/>
            <w:vertAlign w:val="superscript"/>
          </w:rPr>
          <w:t xml:space="preserve">9</w:t>
        </w:r>
      </w:hyperlink>
      <w:bookmarkEnd w:id="106"/>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bookmarkStart w:id="107" w:name="ref-07-10"/>
      <w:hyperlink w:anchor="nota-07-10">
        <w:r>
          <w:rPr>
            <w:rStyle w:val="Hyperlink"/>
            <w:vertAlign w:val="superscript"/>
          </w:rPr>
          <w:t xml:space="preserve">10</w:t>
        </w:r>
      </w:hyperlink>
      <w:bookmarkEnd w:id="107"/>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bookmarkStart w:id="108" w:name="ref-07-11"/>
      <w:hyperlink w:anchor="nota-07-11">
        <w:r>
          <w:rPr>
            <w:rStyle w:val="Hyperlink"/>
            <w:vertAlign w:val="superscript"/>
          </w:rPr>
          <w:t xml:space="preserve">11</w:t>
        </w:r>
      </w:hyperlink>
      <w:bookmarkEnd w:id="108"/>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r>
        <w:pict>
          <v:rect style="width:0;height:1.5pt" o:hralign="center" o:hrstd="t" o:hr="t"/>
        </w:pict>
      </w:r>
    </w:p>
    <w:p>
      <w:pPr>
        <w:pStyle w:val="FirstParagraph"/>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bookmarkStart w:id="109" w:name="ref-07-12"/>
      <w:hyperlink w:anchor="nota-07-12">
        <w:r>
          <w:rPr>
            <w:rStyle w:val="Hyperlink"/>
            <w:vertAlign w:val="superscript"/>
          </w:rPr>
          <w:t xml:space="preserve">12</w:t>
        </w:r>
      </w:hyperlink>
      <w:bookmarkEnd w:id="109"/>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r>
        <w:pict>
          <v:rect style="width:0;height:1.5pt" o:hralign="center" o:hrstd="t" o:hr="t"/>
        </w:pict>
      </w:r>
    </w:p>
    <w:p>
      <w:pPr>
        <w:pStyle w:val="FirstParagraph"/>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bookmarkStart w:id="110" w:name="ref-07-13"/>
      <w:hyperlink w:anchor="nota-07-13">
        <w:r>
          <w:rPr>
            <w:rStyle w:val="Hyperlink"/>
            <w:vertAlign w:val="superscript"/>
          </w:rPr>
          <w:t xml:space="preserve">13</w:t>
        </w:r>
      </w:hyperlink>
      <w:bookmarkEnd w:id="110"/>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bookmarkStart w:id="111" w:name="ref-07-14"/>
      <w:hyperlink w:anchor="nota-07-14">
        <w:r>
          <w:rPr>
            <w:rStyle w:val="Hyperlink"/>
            <w:vertAlign w:val="superscript"/>
          </w:rPr>
          <w:t xml:space="preserve">14</w:t>
        </w:r>
      </w:hyperlink>
      <w:bookmarkEnd w:id="111"/>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bookmarkStart w:id="112" w:name="ref-07-15"/>
      <w:hyperlink w:anchor="nota-07-15">
        <w:r>
          <w:rPr>
            <w:rStyle w:val="Hyperlink"/>
            <w:vertAlign w:val="superscript"/>
          </w:rPr>
          <w:t xml:space="preserve">15</w:t>
        </w:r>
      </w:hyperlink>
      <w:bookmarkEnd w:id="112"/>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bookmarkStart w:id="113" w:name="ref-07-16"/>
      <w:hyperlink w:anchor="nota-07-16">
        <w:r>
          <w:rPr>
            <w:rStyle w:val="Hyperlink"/>
            <w:vertAlign w:val="superscript"/>
          </w:rPr>
          <w:t xml:space="preserve">16</w:t>
        </w:r>
      </w:hyperlink>
      <w:bookmarkEnd w:id="113"/>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bookmarkStart w:id="114" w:name="ref-07-17"/>
      <w:hyperlink w:anchor="nota-07-17">
        <w:r>
          <w:rPr>
            <w:rStyle w:val="Hyperlink"/>
            <w:vertAlign w:val="superscript"/>
          </w:rPr>
          <w:t xml:space="preserve">17</w:t>
        </w:r>
      </w:hyperlink>
      <w:bookmarkEnd w:id="114"/>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y se presenta como una manera de motivar. No me refiero a cualquier práctica que use elementos de juego, que muchos maestros han usado siempre con sentido, sino a una gamificación que organiza la actividad mediante recompensas externas, clasificaciones y presión por completar: aplicaciones que dan y quitan puntos por la conducta o que convierten las preguntas de clase en concursos con ranking.</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bookmarkStart w:id="115" w:name="ref-07-18"/>
      <w:hyperlink w:anchor="nota-07-18">
        <w:r>
          <w:rPr>
            <w:rStyle w:val="Hyperlink"/>
            <w:vertAlign w:val="superscript"/>
          </w:rPr>
          <w:t xml:space="preserve">18</w:t>
        </w:r>
      </w:hyperlink>
      <w:bookmarkEnd w:id="115"/>
      <w:r>
        <w:t xml:space="preserve"> </w:t>
      </w:r>
      <w:r>
        <w:t xml:space="preserve">Las recompensas variables, la respuesta inmediata y la ausencia de pausas son los mismos recursos que usan las redes sociales y, en versión más suave, algunas herramientas de gamificación escolar. Cuando el premio se convierte en la razón principal para participar, la actividad corre el riesgo de valer solo por la recompensa. Un chico que lee únicamente para sumar puntos aprende sobre todo a sumar puntos, como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bookmarkStart w:id="116" w:name="ref-07-19"/>
      <w:hyperlink w:anchor="nota-07-19">
        <w:r>
          <w:rPr>
            <w:rStyle w:val="Hyperlink"/>
            <w:vertAlign w:val="superscript"/>
          </w:rPr>
          <w:t xml:space="preserve">19</w:t>
        </w:r>
      </w:hyperlink>
      <w:bookmarkEnd w:id="116"/>
      <w:r>
        <w:t xml:space="preserve"> </w:t>
      </w:r>
      <w:r>
        <w:t xml:space="preserve">Se juega por jugar, y por eso abre un espacio donde las reglas del mundo ordinario quedan en suspenso. Esa gamificación copia la forma del juego y puede quitarle lo esencial: cuando todo cuenta para algo, ya no se juega por jugar. Como el sofista que vendía apariencia de sabiduría, corre el riesgo de vender apariencia de juego.</w:t>
      </w:r>
    </w:p>
    <w:p>
      <w:r>
        <w:pict>
          <v:rect style="width:0;height:1.5pt" o:hralign="center" o:hrstd="t" o:hr="t"/>
        </w:pict>
      </w:r>
    </w:p>
    <w:p>
      <w:pPr>
        <w:pStyle w:val="FirstParagraph"/>
      </w:pPr>
      <w:r>
        <w:t xml:space="preserve">Lo que no tiene precio, decía la vieja distinción de las artes liberales,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7"/>
    <w:bookmarkStart w:id="131"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bookmarkStart w:id="118" w:name="ref-08-1"/>
      <w:hyperlink w:anchor="nota-08-1">
        <w:r>
          <w:rPr>
            <w:rStyle w:val="Hyperlink"/>
            <w:vertAlign w:val="superscript"/>
          </w:rPr>
          <w:t xml:space="preserve">1</w:t>
        </w:r>
      </w:hyperlink>
      <w:bookmarkEnd w:id="118"/>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cualquier resistencia que valga la pena.</w:t>
      </w:r>
    </w:p>
    <w:p>
      <w:r>
        <w:pict>
          <v:rect style="width:0;height:1.5pt" o:hralign="center" o:hrstd="t" o:hr="t"/>
        </w:pict>
      </w:r>
    </w:p>
    <w:p>
      <w:pPr>
        <w:pStyle w:val="FirstParagraph"/>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bookmarkStart w:id="119" w:name="ref-08-2"/>
      <w:hyperlink w:anchor="nota-08-2">
        <w:r>
          <w:rPr>
            <w:rStyle w:val="Hyperlink"/>
            <w:vertAlign w:val="superscript"/>
          </w:rPr>
          <w:t xml:space="preserve">2</w:t>
        </w:r>
      </w:hyperlink>
      <w:bookmarkEnd w:id="119"/>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bookmarkStart w:id="120" w:name="ref-08-3"/>
      <w:hyperlink w:anchor="nota-08-3">
        <w:r>
          <w:rPr>
            <w:rStyle w:val="Hyperlink"/>
            <w:vertAlign w:val="superscript"/>
          </w:rPr>
          <w:t xml:space="preserve">3</w:t>
        </w:r>
      </w:hyperlink>
      <w:bookmarkEnd w:id="120"/>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bookmarkStart w:id="121" w:name="ref-08-4"/>
      <w:hyperlink w:anchor="nota-08-4">
        <w:r>
          <w:rPr>
            <w:rStyle w:val="Hyperlink"/>
            <w:vertAlign w:val="superscript"/>
          </w:rPr>
          <w:t xml:space="preserve">4</w:t>
        </w:r>
      </w:hyperlink>
      <w:bookmarkEnd w:id="121"/>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bookmarkStart w:id="122" w:name="ref-08-5"/>
      <w:hyperlink w:anchor="nota-08-5">
        <w:r>
          <w:rPr>
            <w:rStyle w:val="Hyperlink"/>
            <w:vertAlign w:val="superscript"/>
          </w:rPr>
          <w:t xml:space="preserve">5</w:t>
        </w:r>
      </w:hyperlink>
      <w:bookmarkEnd w:id="122"/>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r>
        <w:pict>
          <v:rect style="width:0;height:1.5pt" o:hralign="center" o:hrstd="t" o:hr="t"/>
        </w:pict>
      </w:r>
    </w:p>
    <w:p>
      <w:pPr>
        <w:pStyle w:val="FirstParagraph"/>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bookmarkStart w:id="123" w:name="ref-08-6"/>
      <w:hyperlink w:anchor="nota-08-6">
        <w:r>
          <w:rPr>
            <w:rStyle w:val="Hyperlink"/>
            <w:vertAlign w:val="superscript"/>
          </w:rPr>
          <w:t xml:space="preserve">6</w:t>
        </w:r>
      </w:hyperlink>
      <w:bookmarkEnd w:id="123"/>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r>
        <w:pict>
          <v:rect style="width:0;height:1.5pt" o:hralign="center" o:hrstd="t" o:hr="t"/>
        </w:pict>
      </w:r>
    </w:p>
    <w:p>
      <w:pPr>
        <w:pStyle w:val="FirstParagraph"/>
      </w:pPr>
      <w:r>
        <w:t xml:space="preserve">La mayoría de las resistencias son mucho menos espectaculares. Foucault llamó «contraconductas» a las maneras de comportarse que se apartan de cómo se pretende conducirnos.</w:t>
      </w:r>
      <w:bookmarkStart w:id="124" w:name="ref-08-7"/>
      <w:hyperlink w:anchor="nota-08-7">
        <w:r>
          <w:rPr>
            <w:rStyle w:val="Hyperlink"/>
            <w:vertAlign w:val="superscript"/>
          </w:rPr>
          <w:t xml:space="preserve">7</w:t>
        </w:r>
      </w:hyperlink>
      <w:bookmarkEnd w:id="124"/>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bookmarkStart w:id="125" w:name="ref-08-8"/>
      <w:hyperlink w:anchor="nota-08-8">
        <w:r>
          <w:rPr>
            <w:rStyle w:val="Hyperlink"/>
            <w:vertAlign w:val="superscript"/>
          </w:rPr>
          <w:t xml:space="preserve">8</w:t>
        </w:r>
      </w:hyperlink>
      <w:bookmarkEnd w:id="125"/>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r>
        <w:pict>
          <v:rect style="width:0;height:1.5pt" o:hralign="center" o:hrstd="t" o:hr="t"/>
        </w:pict>
      </w:r>
    </w:p>
    <w:p>
      <w:pPr>
        <w:pStyle w:val="FirstParagraph"/>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bookmarkStart w:id="126" w:name="ref-08-9"/>
      <w:hyperlink w:anchor="nota-08-9">
        <w:r>
          <w:rPr>
            <w:rStyle w:val="Hyperlink"/>
            <w:vertAlign w:val="superscript"/>
          </w:rPr>
          <w:t xml:space="preserve">9</w:t>
        </w:r>
      </w:hyperlink>
      <w:bookmarkEnd w:id="126"/>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bookmarkStart w:id="127" w:name="ref-08-10"/>
      <w:hyperlink w:anchor="nota-08-10">
        <w:r>
          <w:rPr>
            <w:rStyle w:val="Hyperlink"/>
            <w:vertAlign w:val="superscript"/>
          </w:rPr>
          <w:t xml:space="preserve">10</w:t>
        </w:r>
      </w:hyperlink>
      <w:bookmarkEnd w:id="127"/>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bookmarkStart w:id="128" w:name="ref-08-11"/>
      <w:hyperlink w:anchor="nota-08-11">
        <w:r>
          <w:rPr>
            <w:rStyle w:val="Hyperlink"/>
            <w:vertAlign w:val="superscript"/>
          </w:rPr>
          <w:t xml:space="preserve">11</w:t>
        </w:r>
      </w:hyperlink>
      <w:bookmarkEnd w:id="128"/>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bookmarkStart w:id="129" w:name="ref-08-12"/>
      <w:hyperlink w:anchor="nota-08-12">
        <w:r>
          <w:rPr>
            <w:rStyle w:val="Hyperlink"/>
            <w:vertAlign w:val="superscript"/>
          </w:rPr>
          <w:t xml:space="preserve">12</w:t>
        </w:r>
      </w:hyperlink>
      <w:bookmarkEnd w:id="129"/>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r>
        <w:pict>
          <v:rect style="width:0;height:1.5pt" o:hralign="center" o:hrstd="t" o:hr="t"/>
        </w:pict>
      </w:r>
    </w:p>
    <w:p>
      <w:pPr>
        <w:pStyle w:val="FirstParagraph"/>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 ranking.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bookmarkStart w:id="130" w:name="ref-08-13"/>
      <w:hyperlink w:anchor="nota-08-13">
        <w:r>
          <w:rPr>
            <w:rStyle w:val="Hyperlink"/>
            <w:vertAlign w:val="superscript"/>
          </w:rPr>
          <w:t xml:space="preserve">13</w:t>
        </w:r>
      </w:hyperlink>
      <w:bookmarkEnd w:id="130"/>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se convierta en un indicador de compromiso o de esfuerzo.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que se deriva de las tres operaciones del capítulo 2: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r>
        <w:pict>
          <v:rect style="width:0;height:1.5pt" o:hralign="center" o:hrstd="t" o:hr="t"/>
        </w:pict>
      </w:r>
    </w:p>
    <w:p>
      <w:pPr>
        <w:pStyle w:val="FirstParagraph"/>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1"/>
    <w:bookmarkStart w:id="132"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que separa un saber utilizado para conducir nuestra conducta de un conocimiento que nos permite interrogar esa conducción.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r>
        <w:pict>
          <v:rect style="width:0;height:1.5pt" o:hralign="center" o:hrstd="t" o:hr="t"/>
        </w:pict>
      </w:r>
    </w:p>
    <w:p>
      <w:pPr>
        <w:pStyle w:val="FirstParagraph"/>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 ranking, la notificación y la inteligencia artificial generativa se están redefiniendo cuatro palabras que la escuela ha tenido largamente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r>
        <w:pict>
          <v:rect style="width:0;height:1.5pt" o:hralign="center" o:hrstd="t" o:hr="t"/>
        </w:pict>
      </w:r>
    </w:p>
    <w:p>
      <w:pPr>
        <w:pStyle w:val="FirstParagraph"/>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r>
        <w:pict>
          <v:rect style="width:0;height:1.5pt" o:hralign="center" o:hrstd="t" o:hr="t"/>
        </w:pict>
      </w:r>
    </w:p>
    <w:p>
      <w:pPr>
        <w:pStyle w:val="FirstParagraph"/>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recuperar también el derecho a hacer algo que no tenga que dejar un registro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2"/>
    <w:bookmarkStart w:id="244" w:name="notas"/>
    <w:p>
      <w:pPr>
        <w:pStyle w:val="Heading1"/>
      </w:pPr>
      <w:r>
        <w:t xml:space="preserve">Notas</w:t>
      </w:r>
    </w:p>
    <w:bookmarkStart w:id="141" w:name="el-sello-en-la-cera-1"/>
    <w:p>
      <w:pPr>
        <w:pStyle w:val="Heading2"/>
      </w:pPr>
      <w:r>
        <w:t xml:space="preserve">1. El sello en la cera</w:t>
      </w:r>
    </w:p>
    <w:p>
      <w:pPr>
        <w:pStyle w:val="FirstParagraph"/>
      </w:pPr>
      <w:bookmarkStart w:id="133" w:name="nota-01-1"/>
      <w:hyperlink w:anchor="ref-01-1">
        <w:r>
          <w:rPr>
            <w:rStyle w:val="Hyperlink"/>
          </w:rPr>
          <w:t xml:space="preserve">1</w:t>
        </w:r>
      </w:hyperlink>
      <w:bookmarkEnd w:id="133"/>
      <w:r>
        <w:t xml:space="preserve">. Platón (ca. 369 a. e. c./1988),</w:t>
      </w:r>
      <w:r>
        <w:t xml:space="preserve"> </w:t>
      </w:r>
      <w:r>
        <w:rPr>
          <w:iCs/>
          <w:i/>
        </w:rPr>
        <w:t xml:space="preserve">Teeteto</w:t>
      </w:r>
      <w:r>
        <w:t xml:space="preserve">, 191c-d.</w:t>
      </w:r>
    </w:p>
    <w:p>
      <w:pPr>
        <w:pStyle w:val="BodyText"/>
      </w:pPr>
      <w:bookmarkStart w:id="134" w:name="nota-01-2"/>
      <w:hyperlink w:anchor="ref-01-2">
        <w:r>
          <w:rPr>
            <w:rStyle w:val="Hyperlink"/>
          </w:rPr>
          <w:t xml:space="preserve">2</w:t>
        </w:r>
      </w:hyperlink>
      <w:bookmarkEnd w:id="134"/>
      <w:r>
        <w:t xml:space="preserve">. Aristóteles (ca. 335-323 a. e. c./1988),</w:t>
      </w:r>
      <w:r>
        <w:t xml:space="preserve"> </w:t>
      </w:r>
      <w:r>
        <w:rPr>
          <w:iCs/>
          <w:i/>
        </w:rPr>
        <w:t xml:space="preserve">Política</w:t>
      </w:r>
      <w:r>
        <w:t xml:space="preserve">, I, 2, 1252b29-30.</w:t>
      </w:r>
    </w:p>
    <w:p>
      <w:pPr>
        <w:pStyle w:val="BodyText"/>
      </w:pPr>
      <w:bookmarkStart w:id="135" w:name="nota-01-3"/>
      <w:hyperlink w:anchor="ref-01-3">
        <w:r>
          <w:rPr>
            <w:rStyle w:val="Hyperlink"/>
          </w:rPr>
          <w:t xml:space="preserve">3</w:t>
        </w:r>
      </w:hyperlink>
      <w:bookmarkEnd w:id="135"/>
      <w:r>
        <w:t xml:space="preserve">. Aristóteles (ca. 335-323 a. e. c./1985),</w:t>
      </w:r>
      <w:r>
        <w:t xml:space="preserve"> </w:t>
      </w:r>
      <w:r>
        <w:rPr>
          <w:iCs/>
          <w:i/>
        </w:rPr>
        <w:t xml:space="preserve">Ética nicomáquea</w:t>
      </w:r>
      <w:r>
        <w:t xml:space="preserve">, II, 1, 1103a33-b2.</w:t>
      </w:r>
    </w:p>
    <w:p>
      <w:pPr>
        <w:pStyle w:val="BodyText"/>
      </w:pPr>
      <w:bookmarkStart w:id="136" w:name="nota-01-4"/>
      <w:hyperlink w:anchor="ref-01-4">
        <w:r>
          <w:rPr>
            <w:rStyle w:val="Hyperlink"/>
          </w:rPr>
          <w:t xml:space="preserve">4</w:t>
        </w:r>
      </w:hyperlink>
      <w:bookmarkEnd w:id="136"/>
      <w:r>
        <w:t xml:space="preserve">. Durkheim (1922/1975), cap. 1.</w:t>
      </w:r>
    </w:p>
    <w:p>
      <w:pPr>
        <w:pStyle w:val="BodyText"/>
      </w:pPr>
      <w:bookmarkStart w:id="137" w:name="nota-01-5"/>
      <w:hyperlink w:anchor="ref-01-5">
        <w:r>
          <w:rPr>
            <w:rStyle w:val="Hyperlink"/>
          </w:rPr>
          <w:t xml:space="preserve">5</w:t>
        </w:r>
      </w:hyperlink>
      <w:bookmarkEnd w:id="137"/>
      <w:r>
        <w:t xml:space="preserve">. Platón (ca. 399-390 a. e. c./1981),</w:t>
      </w:r>
      <w:r>
        <w:t xml:space="preserve"> </w:t>
      </w:r>
      <w:r>
        <w:rPr>
          <w:iCs/>
          <w:i/>
        </w:rPr>
        <w:t xml:space="preserve">Apología</w:t>
      </w:r>
      <w:r>
        <w:t xml:space="preserve">, 38a.</w:t>
      </w:r>
    </w:p>
    <w:p>
      <w:pPr>
        <w:pStyle w:val="BodyText"/>
      </w:pPr>
      <w:bookmarkStart w:id="138" w:name="nota-01-6"/>
      <w:hyperlink w:anchor="ref-01-6">
        <w:r>
          <w:rPr>
            <w:rStyle w:val="Hyperlink"/>
          </w:rPr>
          <w:t xml:space="preserve">6</w:t>
        </w:r>
      </w:hyperlink>
      <w:bookmarkEnd w:id="138"/>
      <w:r>
        <w:t xml:space="preserve">. Aristóteles (ca. 335-323 a. e. c./1988),</w:t>
      </w:r>
      <w:r>
        <w:t xml:space="preserve"> </w:t>
      </w:r>
      <w:r>
        <w:rPr>
          <w:iCs/>
          <w:i/>
        </w:rPr>
        <w:t xml:space="preserve">Política</w:t>
      </w:r>
      <w:r>
        <w:t xml:space="preserve">, I, 13, 1260a12-13.</w:t>
      </w:r>
    </w:p>
    <w:p>
      <w:pPr>
        <w:pStyle w:val="BodyText"/>
      </w:pPr>
      <w:bookmarkStart w:id="139" w:name="nota-01-7"/>
      <w:hyperlink w:anchor="ref-01-7">
        <w:r>
          <w:rPr>
            <w:rStyle w:val="Hyperlink"/>
          </w:rPr>
          <w:t xml:space="preserve">7</w:t>
        </w:r>
      </w:hyperlink>
      <w:bookmarkEnd w:id="139"/>
      <w:r>
        <w:t xml:space="preserve">. Diógenes Laercio (ca. siglo III/2007), VI, 96-98.</w:t>
      </w:r>
    </w:p>
    <w:p>
      <w:pPr>
        <w:pStyle w:val="BodyText"/>
      </w:pPr>
      <w:bookmarkStart w:id="140" w:name="nota-01-8"/>
      <w:hyperlink w:anchor="ref-01-8">
        <w:r>
          <w:rPr>
            <w:rStyle w:val="Hyperlink"/>
          </w:rPr>
          <w:t xml:space="preserve">8</w:t>
        </w:r>
      </w:hyperlink>
      <w:bookmarkEnd w:id="140"/>
      <w:r>
        <w:t xml:space="preserve">. Platón (ca. 385-370 a. e. c./1986a),</w:t>
      </w:r>
      <w:r>
        <w:t xml:space="preserve"> </w:t>
      </w:r>
      <w:r>
        <w:rPr>
          <w:iCs/>
          <w:i/>
        </w:rPr>
        <w:t xml:space="preserve">Banquete</w:t>
      </w:r>
      <w:r>
        <w:t xml:space="preserve">, 201d-212a.</w:t>
      </w:r>
    </w:p>
    <w:bookmarkEnd w:id="141"/>
    <w:bookmarkStart w:id="151" w:name="una-red-sin-dueño-1"/>
    <w:p>
      <w:pPr>
        <w:pStyle w:val="Heading2"/>
      </w:pPr>
      <w:r>
        <w:t xml:space="preserve">2. Una red sin dueño</w:t>
      </w:r>
    </w:p>
    <w:p>
      <w:pPr>
        <w:pStyle w:val="FirstParagraph"/>
      </w:pPr>
      <w:bookmarkStart w:id="142" w:name="nota-02-1"/>
      <w:hyperlink w:anchor="ref-02-1">
        <w:r>
          <w:rPr>
            <w:rStyle w:val="Hyperlink"/>
          </w:rPr>
          <w:t xml:space="preserve">1</w:t>
        </w:r>
      </w:hyperlink>
      <w:bookmarkEnd w:id="142"/>
      <w:r>
        <w:t xml:space="preserve">. Foucault (1977/1985). Cito la traducción incluida en Agamben (2006/2014).</w:t>
      </w:r>
    </w:p>
    <w:p>
      <w:pPr>
        <w:pStyle w:val="BodyText"/>
      </w:pPr>
      <w:bookmarkStart w:id="143" w:name="nota-02-2"/>
      <w:hyperlink w:anchor="ref-02-2">
        <w:r>
          <w:rPr>
            <w:rStyle w:val="Hyperlink"/>
          </w:rPr>
          <w:t xml:space="preserve">2</w:t>
        </w:r>
      </w:hyperlink>
      <w:bookmarkEnd w:id="143"/>
      <w:r>
        <w:t xml:space="preserve">. Foucault (1976/2008), cap. IV, «Método».</w:t>
      </w:r>
    </w:p>
    <w:p>
      <w:pPr>
        <w:pStyle w:val="BodyText"/>
      </w:pPr>
      <w:bookmarkStart w:id="144" w:name="nota-02-3"/>
      <w:hyperlink w:anchor="ref-02-3">
        <w:r>
          <w:rPr>
            <w:rStyle w:val="Hyperlink"/>
          </w:rPr>
          <w:t xml:space="preserve">3</w:t>
        </w:r>
      </w:hyperlink>
      <w:bookmarkEnd w:id="144"/>
      <w:r>
        <w:t xml:space="preserve">. Foucault (1975/2002), tercera parte, cap. 1, «Los cuerpos dóciles».</w:t>
      </w:r>
    </w:p>
    <w:p>
      <w:pPr>
        <w:pStyle w:val="BodyText"/>
      </w:pPr>
      <w:bookmarkStart w:id="145" w:name="nota-02-4"/>
      <w:hyperlink w:anchor="ref-02-4">
        <w:r>
          <w:rPr>
            <w:rStyle w:val="Hyperlink"/>
          </w:rPr>
          <w:t xml:space="preserve">4</w:t>
        </w:r>
      </w:hyperlink>
      <w:bookmarkEnd w:id="145"/>
      <w:r>
        <w:t xml:space="preserve">. Agamben (2006/2014).</w:t>
      </w:r>
    </w:p>
    <w:p>
      <w:pPr>
        <w:pStyle w:val="BodyText"/>
      </w:pPr>
      <w:bookmarkStart w:id="146" w:name="nota-02-5"/>
      <w:hyperlink w:anchor="ref-02-5">
        <w:r>
          <w:rPr>
            <w:rStyle w:val="Hyperlink"/>
          </w:rPr>
          <w:t xml:space="preserve">5</w:t>
        </w:r>
      </w:hyperlink>
      <w:bookmarkEnd w:id="146"/>
      <w:r>
        <w:t xml:space="preserve">. Agamben (2007/2008), cap. 2.</w:t>
      </w:r>
    </w:p>
    <w:p>
      <w:pPr>
        <w:pStyle w:val="BodyText"/>
      </w:pPr>
      <w:bookmarkStart w:id="147" w:name="nota-02-6"/>
      <w:hyperlink w:anchor="ref-02-6">
        <w:r>
          <w:rPr>
            <w:rStyle w:val="Hyperlink"/>
          </w:rPr>
          <w:t xml:space="preserve">6</w:t>
        </w:r>
      </w:hyperlink>
      <w:bookmarkEnd w:id="147"/>
      <w:r>
        <w:t xml:space="preserve">. Constitución Española (1978), art. 27.2; Ley 20.370 (2009), art. 2.</w:t>
      </w:r>
    </w:p>
    <w:p>
      <w:pPr>
        <w:pStyle w:val="BodyText"/>
      </w:pPr>
      <w:bookmarkStart w:id="148" w:name="nota-02-7"/>
      <w:hyperlink w:anchor="ref-02-7">
        <w:r>
          <w:rPr>
            <w:rStyle w:val="Hyperlink"/>
          </w:rPr>
          <w:t xml:space="preserve">7</w:t>
        </w:r>
      </w:hyperlink>
      <w:bookmarkEnd w:id="148"/>
      <w:r>
        <w:t xml:space="preserve">. Biesta (2006), cap. 1, y Biesta (2010).</w:t>
      </w:r>
    </w:p>
    <w:p>
      <w:pPr>
        <w:pStyle w:val="BodyText"/>
      </w:pPr>
      <w:bookmarkStart w:id="149" w:name="nota-02-8"/>
      <w:hyperlink w:anchor="ref-02-8">
        <w:r>
          <w:rPr>
            <w:rStyle w:val="Hyperlink"/>
          </w:rPr>
          <w:t xml:space="preserve">8</w:t>
        </w:r>
      </w:hyperlink>
      <w:bookmarkEnd w:id="149"/>
      <w:r>
        <w:t xml:space="preserve">. Agamben (2005), «Elogio de la profanación».</w:t>
      </w:r>
    </w:p>
    <w:p>
      <w:pPr>
        <w:pStyle w:val="BodyText"/>
      </w:pPr>
      <w:bookmarkStart w:id="150" w:name="nota-02-9"/>
      <w:hyperlink w:anchor="ref-02-9">
        <w:r>
          <w:rPr>
            <w:rStyle w:val="Hyperlink"/>
          </w:rPr>
          <w:t xml:space="preserve">9</w:t>
        </w:r>
      </w:hyperlink>
      <w:bookmarkEnd w:id="150"/>
      <w:r>
        <w:t xml:space="preserve">. Deleuze (1989/1990).</w:t>
      </w:r>
    </w:p>
    <w:bookmarkEnd w:id="151"/>
    <w:bookmarkStart w:id="164" w:name="el-alma-prisión-del-cuerpo-1"/>
    <w:p>
      <w:pPr>
        <w:pStyle w:val="Heading2"/>
      </w:pPr>
      <w:r>
        <w:t xml:space="preserve">3. El alma, prisión del cuerpo</w:t>
      </w:r>
    </w:p>
    <w:p>
      <w:pPr>
        <w:pStyle w:val="FirstParagraph"/>
      </w:pPr>
      <w:bookmarkStart w:id="152" w:name="nota-03-1"/>
      <w:hyperlink w:anchor="ref-03-1">
        <w:r>
          <w:rPr>
            <w:rStyle w:val="Hyperlink"/>
          </w:rPr>
          <w:t xml:space="preserve">1</w:t>
        </w:r>
      </w:hyperlink>
      <w:bookmarkEnd w:id="152"/>
      <w:r>
        <w:t xml:space="preserve">. Kant (1803/1983), introducción; en alemán, Kant (1803/1923), pp. 441-442. Las lecciones las publicó en 1803 su alumno Friedrich Theodor Rink, y los especialistas discuten hasta qué punto reproducen fielmente las palabras de Kant.</w:t>
      </w:r>
    </w:p>
    <w:p>
      <w:pPr>
        <w:pStyle w:val="BodyText"/>
      </w:pPr>
      <w:bookmarkStart w:id="153" w:name="nota-03-2"/>
      <w:hyperlink w:anchor="ref-03-2">
        <w:r>
          <w:rPr>
            <w:rStyle w:val="Hyperlink"/>
          </w:rPr>
          <w:t xml:space="preserve">2</w:t>
        </w:r>
      </w:hyperlink>
      <w:bookmarkEnd w:id="153"/>
      <w:r>
        <w:t xml:space="preserve">. Platón (ca. 385-370 a. e. c./1986a),</w:t>
      </w:r>
      <w:r>
        <w:t xml:space="preserve"> </w:t>
      </w:r>
      <w:r>
        <w:rPr>
          <w:iCs/>
          <w:i/>
        </w:rPr>
        <w:t xml:space="preserve">Fedón</w:t>
      </w:r>
      <w:r>
        <w:t xml:space="preserve">, 65a-d.</w:t>
      </w:r>
    </w:p>
    <w:p>
      <w:pPr>
        <w:pStyle w:val="BodyText"/>
      </w:pPr>
      <w:bookmarkStart w:id="154" w:name="nota-03-3"/>
      <w:hyperlink w:anchor="ref-03-3">
        <w:r>
          <w:rPr>
            <w:rStyle w:val="Hyperlink"/>
          </w:rPr>
          <w:t xml:space="preserve">3</w:t>
        </w:r>
      </w:hyperlink>
      <w:bookmarkEnd w:id="154"/>
      <w:r>
        <w:t xml:space="preserve">. Aristóteles (ca. 350 a. e. c./1978), II, 1, 412a27-b9, y II, 2, 414a19-22.</w:t>
      </w:r>
    </w:p>
    <w:p>
      <w:pPr>
        <w:pStyle w:val="BodyText"/>
      </w:pPr>
      <w:bookmarkStart w:id="155" w:name="nota-03-4"/>
      <w:hyperlink w:anchor="ref-03-4">
        <w:r>
          <w:rPr>
            <w:rStyle w:val="Hyperlink"/>
          </w:rPr>
          <w:t xml:space="preserve">4</w:t>
        </w:r>
      </w:hyperlink>
      <w:bookmarkEnd w:id="155"/>
      <w:r>
        <w:t xml:space="preserve">. Descartes (1643-1649/1999): carta de Isabel de Bohemia de 6/16 de mayo de 1643 y respuesta de Descartes de 28 de junio de 1643.</w:t>
      </w:r>
    </w:p>
    <w:p>
      <w:pPr>
        <w:pStyle w:val="BodyText"/>
      </w:pPr>
      <w:bookmarkStart w:id="156" w:name="nota-03-5"/>
      <w:hyperlink w:anchor="ref-03-5">
        <w:r>
          <w:rPr>
            <w:rStyle w:val="Hyperlink"/>
          </w:rPr>
          <w:t xml:space="preserve">5</w:t>
        </w:r>
      </w:hyperlink>
      <w:bookmarkEnd w:id="156"/>
      <w:r>
        <w:t xml:space="preserve">. Foucault (1975/2002), tercera parte, cap. 1, donde está también la fórmula sobre utilidad y obediencia.</w:t>
      </w:r>
    </w:p>
    <w:p>
      <w:pPr>
        <w:pStyle w:val="BodyText"/>
      </w:pPr>
      <w:bookmarkStart w:id="157" w:name="nota-03-6"/>
      <w:hyperlink w:anchor="ref-03-6">
        <w:r>
          <w:rPr>
            <w:rStyle w:val="Hyperlink"/>
          </w:rPr>
          <w:t xml:space="preserve">6</w:t>
        </w:r>
      </w:hyperlink>
      <w:bookmarkEnd w:id="157"/>
      <w:r>
        <w:t xml:space="preserve">. Foucault (1975/2002), primera parte, cap. 1.</w:t>
      </w:r>
    </w:p>
    <w:p>
      <w:pPr>
        <w:pStyle w:val="BodyText"/>
      </w:pPr>
      <w:bookmarkStart w:id="158" w:name="nota-03-7"/>
      <w:hyperlink w:anchor="ref-03-7">
        <w:r>
          <w:rPr>
            <w:rStyle w:val="Hyperlink"/>
          </w:rPr>
          <w:t xml:space="preserve">7</w:t>
        </w:r>
      </w:hyperlink>
      <w:bookmarkEnd w:id="158"/>
      <w:r>
        <w:t xml:space="preserve">. Fraser (1981). La crítica de Habermas, en Habermas (1985/2008), caps. IX y X.</w:t>
      </w:r>
    </w:p>
    <w:p>
      <w:pPr>
        <w:pStyle w:val="BodyText"/>
      </w:pPr>
      <w:bookmarkStart w:id="159" w:name="nota-03-8"/>
      <w:hyperlink w:anchor="ref-03-8">
        <w:r>
          <w:rPr>
            <w:rStyle w:val="Hyperlink"/>
          </w:rPr>
          <w:t xml:space="preserve">8</w:t>
        </w:r>
      </w:hyperlink>
      <w:bookmarkEnd w:id="159"/>
      <w:r>
        <w:t xml:space="preserve">. Pasolini (1976/1997), sección «Gennariello».</w:t>
      </w:r>
    </w:p>
    <w:p>
      <w:pPr>
        <w:pStyle w:val="BodyText"/>
      </w:pPr>
      <w:bookmarkStart w:id="160" w:name="nota-03-9"/>
      <w:hyperlink w:anchor="ref-03-9">
        <w:r>
          <w:rPr>
            <w:rStyle w:val="Hyperlink"/>
          </w:rPr>
          <w:t xml:space="preserve">9</w:t>
        </w:r>
      </w:hyperlink>
      <w:bookmarkEnd w:id="160"/>
      <w:r>
        <w:t xml:space="preserve">. Spinoza (1677/2011), III, proposición 2, escolio.</w:t>
      </w:r>
    </w:p>
    <w:p>
      <w:pPr>
        <w:pStyle w:val="BodyText"/>
      </w:pPr>
      <w:bookmarkStart w:id="161" w:name="nota-03-10"/>
      <w:hyperlink w:anchor="ref-03-10">
        <w:r>
          <w:rPr>
            <w:rStyle w:val="Hyperlink"/>
          </w:rPr>
          <w:t xml:space="preserve">10</w:t>
        </w:r>
      </w:hyperlink>
      <w:bookmarkEnd w:id="161"/>
      <w:r>
        <w:t xml:space="preserve">. Spinoza (1670/2014), prefacio.</w:t>
      </w:r>
    </w:p>
    <w:p>
      <w:pPr>
        <w:pStyle w:val="BodyText"/>
      </w:pPr>
      <w:bookmarkStart w:id="162" w:name="nota-03-11"/>
      <w:hyperlink w:anchor="ref-03-11">
        <w:r>
          <w:rPr>
            <w:rStyle w:val="Hyperlink"/>
          </w:rPr>
          <w:t xml:space="preserve">11</w:t>
        </w:r>
      </w:hyperlink>
      <w:bookmarkEnd w:id="162"/>
      <w:r>
        <w:t xml:space="preserve">. La Boétie (1576/2008).</w:t>
      </w:r>
    </w:p>
    <w:p>
      <w:pPr>
        <w:pStyle w:val="BodyText"/>
      </w:pPr>
      <w:bookmarkStart w:id="163" w:name="nota-03-12"/>
      <w:hyperlink w:anchor="ref-03-12">
        <w:r>
          <w:rPr>
            <w:rStyle w:val="Hyperlink"/>
          </w:rPr>
          <w:t xml:space="preserve">12</w:t>
        </w:r>
      </w:hyperlink>
      <w:bookmarkEnd w:id="163"/>
      <w:r>
        <w:t xml:space="preserve">. Biesta (2015).</w:t>
      </w:r>
    </w:p>
    <w:bookmarkEnd w:id="164"/>
    <w:bookmarkStart w:id="177" w:name="escultores-de-sí-mismos-1"/>
    <w:p>
      <w:pPr>
        <w:pStyle w:val="Heading2"/>
      </w:pPr>
      <w:r>
        <w:t xml:space="preserve">4. Escultores de sí mismos</w:t>
      </w:r>
    </w:p>
    <w:p>
      <w:pPr>
        <w:pStyle w:val="FirstParagraph"/>
      </w:pPr>
      <w:bookmarkStart w:id="165" w:name="nota-04-1"/>
      <w:hyperlink w:anchor="ref-04-1">
        <w:r>
          <w:rPr>
            <w:rStyle w:val="Hyperlink"/>
          </w:rPr>
          <w:t xml:space="preserve">1</w:t>
        </w:r>
      </w:hyperlink>
      <w:bookmarkEnd w:id="165"/>
      <w:r>
        <w:t xml:space="preserve">. Pico della Mirandola (1496/1988).</w:t>
      </w:r>
    </w:p>
    <w:p>
      <w:pPr>
        <w:pStyle w:val="BodyText"/>
      </w:pPr>
      <w:bookmarkStart w:id="166" w:name="nota-04-2"/>
      <w:hyperlink w:anchor="ref-04-2">
        <w:r>
          <w:rPr>
            <w:rStyle w:val="Hyperlink"/>
          </w:rPr>
          <w:t xml:space="preserve">2</w:t>
        </w:r>
      </w:hyperlink>
      <w:bookmarkEnd w:id="166"/>
      <w:r>
        <w:t xml:space="preserve">. Gadamer (1960/1977), primera parte, cap. 1, sobre el concepto de formación.</w:t>
      </w:r>
    </w:p>
    <w:p>
      <w:pPr>
        <w:pStyle w:val="BodyText"/>
      </w:pPr>
      <w:bookmarkStart w:id="167" w:name="nota-04-3"/>
      <w:hyperlink w:anchor="ref-04-3">
        <w:r>
          <w:rPr>
            <w:rStyle w:val="Hyperlink"/>
          </w:rPr>
          <w:t xml:space="preserve">3</w:t>
        </w:r>
      </w:hyperlink>
      <w:bookmarkEnd w:id="167"/>
      <w:r>
        <w:t xml:space="preserve">. Rousseau (1762/2011), libro V.</w:t>
      </w:r>
    </w:p>
    <w:p>
      <w:pPr>
        <w:pStyle w:val="BodyText"/>
      </w:pPr>
      <w:bookmarkStart w:id="168" w:name="nota-04-4"/>
      <w:hyperlink w:anchor="ref-04-4">
        <w:r>
          <w:rPr>
            <w:rStyle w:val="Hyperlink"/>
          </w:rPr>
          <w:t xml:space="preserve">4</w:t>
        </w:r>
      </w:hyperlink>
      <w:bookmarkEnd w:id="168"/>
      <w:r>
        <w:t xml:space="preserve">. Pizan (ca. 1405/1995), primera parte, caps. 1-2.</w:t>
      </w:r>
    </w:p>
    <w:p>
      <w:pPr>
        <w:pStyle w:val="BodyText"/>
      </w:pPr>
      <w:bookmarkStart w:id="169" w:name="nota-04-5"/>
      <w:hyperlink w:anchor="ref-04-5">
        <w:r>
          <w:rPr>
            <w:rStyle w:val="Hyperlink"/>
          </w:rPr>
          <w:t xml:space="preserve">5</w:t>
        </w:r>
      </w:hyperlink>
      <w:bookmarkEnd w:id="169"/>
      <w:r>
        <w:t xml:space="preserve">. Wollstonecraft (1792/2018), caps. 5 y 12.</w:t>
      </w:r>
    </w:p>
    <w:p>
      <w:pPr>
        <w:pStyle w:val="BodyText"/>
      </w:pPr>
      <w:bookmarkStart w:id="170" w:name="nota-04-6"/>
      <w:hyperlink w:anchor="ref-04-6">
        <w:r>
          <w:rPr>
            <w:rStyle w:val="Hyperlink"/>
          </w:rPr>
          <w:t xml:space="preserve">6</w:t>
        </w:r>
      </w:hyperlink>
      <w:bookmarkEnd w:id="170"/>
      <w:r>
        <w:t xml:space="preserve">. Kant (1784/2004). La paradoja de la libertad bajo coacción, en Kant (1803/1983), introducción.</w:t>
      </w:r>
    </w:p>
    <w:p>
      <w:pPr>
        <w:pStyle w:val="BodyText"/>
      </w:pPr>
      <w:bookmarkStart w:id="171" w:name="nota-04-7"/>
      <w:hyperlink w:anchor="ref-04-7">
        <w:r>
          <w:rPr>
            <w:rStyle w:val="Hyperlink"/>
          </w:rPr>
          <w:t xml:space="preserve">7</w:t>
        </w:r>
      </w:hyperlink>
      <w:bookmarkEnd w:id="171"/>
      <w:r>
        <w:t xml:space="preserve">. Foucault (2004/2007), lección del 14 de marzo de 1979.</w:t>
      </w:r>
    </w:p>
    <w:p>
      <w:pPr>
        <w:pStyle w:val="BodyText"/>
      </w:pPr>
      <w:bookmarkStart w:id="172" w:name="nota-04-8"/>
      <w:hyperlink w:anchor="ref-04-8">
        <w:r>
          <w:rPr>
            <w:rStyle w:val="Hyperlink"/>
          </w:rPr>
          <w:t xml:space="preserve">8</w:t>
        </w:r>
      </w:hyperlink>
      <w:bookmarkEnd w:id="172"/>
      <w:r>
        <w:t xml:space="preserve">. Han (2010/2012).</w:t>
      </w:r>
    </w:p>
    <w:p>
      <w:pPr>
        <w:pStyle w:val="BodyText"/>
      </w:pPr>
      <w:bookmarkStart w:id="173" w:name="nota-04-9"/>
      <w:hyperlink w:anchor="ref-04-9">
        <w:r>
          <w:rPr>
            <w:rStyle w:val="Hyperlink"/>
          </w:rPr>
          <w:t xml:space="preserve">9</w:t>
        </w:r>
      </w:hyperlink>
      <w:bookmarkEnd w:id="173"/>
      <w:r>
        <w:t xml:space="preserve">. Black y Wiliam (1998).</w:t>
      </w:r>
    </w:p>
    <w:p>
      <w:pPr>
        <w:pStyle w:val="BodyText"/>
      </w:pPr>
      <w:bookmarkStart w:id="174" w:name="nota-04-10"/>
      <w:hyperlink w:anchor="ref-04-10">
        <w:r>
          <w:rPr>
            <w:rStyle w:val="Hyperlink"/>
          </w:rPr>
          <w:t xml:space="preserve">10</w:t>
        </w:r>
      </w:hyperlink>
      <w:bookmarkEnd w:id="174"/>
      <w:r>
        <w:t xml:space="preserve">. Atasay (2014).</w:t>
      </w:r>
    </w:p>
    <w:p>
      <w:pPr>
        <w:pStyle w:val="BodyText"/>
      </w:pPr>
      <w:bookmarkStart w:id="175" w:name="nota-04-11"/>
      <w:hyperlink w:anchor="ref-04-11">
        <w:r>
          <w:rPr>
            <w:rStyle w:val="Hyperlink"/>
          </w:rPr>
          <w:t xml:space="preserve">11</w:t>
        </w:r>
      </w:hyperlink>
      <w:bookmarkEnd w:id="175"/>
      <w:r>
        <w:t xml:space="preserve">. Ball (2003).</w:t>
      </w:r>
    </w:p>
    <w:p>
      <w:pPr>
        <w:pStyle w:val="BodyText"/>
      </w:pPr>
      <w:bookmarkStart w:id="176" w:name="nota-04-12"/>
      <w:hyperlink w:anchor="ref-04-12">
        <w:r>
          <w:rPr>
            <w:rStyle w:val="Hyperlink"/>
          </w:rPr>
          <w:t xml:space="preserve">12</w:t>
        </w:r>
      </w:hyperlink>
      <w:bookmarkEnd w:id="176"/>
      <w:r>
        <w:t xml:space="preserve">. Entrevistas semiestructuradas realizadas por el autor en febrero de 2025, para su investigación doctoral, a cinco especialistas y cuatro docentes de secundaria de Cataluña y Chile. Las personas entrevistadas dieron su consentimiento informado y se citan sin nombres.</w:t>
      </w:r>
    </w:p>
    <w:bookmarkEnd w:id="177"/>
    <w:bookmarkStart w:id="193" w:name="ser-visto-1"/>
    <w:p>
      <w:pPr>
        <w:pStyle w:val="Heading2"/>
      </w:pPr>
      <w:r>
        <w:t xml:space="preserve">5. Ser visto</w:t>
      </w:r>
    </w:p>
    <w:p>
      <w:pPr>
        <w:pStyle w:val="FirstParagraph"/>
      </w:pPr>
      <w:bookmarkStart w:id="178" w:name="nota-05-1"/>
      <w:hyperlink w:anchor="ref-05-1">
        <w:r>
          <w:rPr>
            <w:rStyle w:val="Hyperlink"/>
          </w:rPr>
          <w:t xml:space="preserve">1</w:t>
        </w:r>
      </w:hyperlink>
      <w:bookmarkEnd w:id="178"/>
      <w:r>
        <w:t xml:space="preserve">. Agustín de Hipona (ca. 389/1947).</w:t>
      </w:r>
    </w:p>
    <w:p>
      <w:pPr>
        <w:pStyle w:val="BodyText"/>
      </w:pPr>
      <w:bookmarkStart w:id="179" w:name="nota-05-2"/>
      <w:hyperlink w:anchor="ref-05-2">
        <w:r>
          <w:rPr>
            <w:rStyle w:val="Hyperlink"/>
          </w:rPr>
          <w:t xml:space="preserve">2</w:t>
        </w:r>
      </w:hyperlink>
      <w:bookmarkEnd w:id="179"/>
      <w:r>
        <w:t xml:space="preserve">. Foucault (2004/2006), lecciones de febrero de 1978.</w:t>
      </w:r>
    </w:p>
    <w:p>
      <w:pPr>
        <w:pStyle w:val="BodyText"/>
      </w:pPr>
      <w:bookmarkStart w:id="180" w:name="nota-05-3"/>
      <w:hyperlink w:anchor="ref-05-3">
        <w:r>
          <w:rPr>
            <w:rStyle w:val="Hyperlink"/>
          </w:rPr>
          <w:t xml:space="preserve">3</w:t>
        </w:r>
      </w:hyperlink>
      <w:bookmarkEnd w:id="180"/>
      <w:r>
        <w:t xml:space="preserve">. Foucault (1975/2002), tercera parte, cap. 3, «El panoptismo».</w:t>
      </w:r>
    </w:p>
    <w:p>
      <w:pPr>
        <w:pStyle w:val="BodyText"/>
      </w:pPr>
      <w:bookmarkStart w:id="181" w:name="nota-05-4"/>
      <w:hyperlink w:anchor="ref-05-4">
        <w:r>
          <w:rPr>
            <w:rStyle w:val="Hyperlink"/>
          </w:rPr>
          <w:t xml:space="preserve">4</w:t>
        </w:r>
      </w:hyperlink>
      <w:bookmarkEnd w:id="181"/>
      <w:r>
        <w:t xml:space="preserve">. Foucault (1975/2002), tercera parte, cap. 2, «Los medios del buen encauzamiento».</w:t>
      </w:r>
    </w:p>
    <w:p>
      <w:pPr>
        <w:pStyle w:val="BodyText"/>
      </w:pPr>
      <w:bookmarkStart w:id="182" w:name="nota-05-5"/>
      <w:hyperlink w:anchor="ref-05-5">
        <w:r>
          <w:rPr>
            <w:rStyle w:val="Hyperlink"/>
          </w:rPr>
          <w:t xml:space="preserve">5</w:t>
        </w:r>
      </w:hyperlink>
      <w:bookmarkEnd w:id="182"/>
      <w:r>
        <w:t xml:space="preserve">. Williamson (2017).</w:t>
      </w:r>
    </w:p>
    <w:p>
      <w:pPr>
        <w:pStyle w:val="BodyText"/>
      </w:pPr>
      <w:bookmarkStart w:id="183" w:name="nota-05-6"/>
      <w:hyperlink w:anchor="ref-05-6">
        <w:r>
          <w:rPr>
            <w:rStyle w:val="Hyperlink"/>
          </w:rPr>
          <w:t xml:space="preserve">6</w:t>
        </w:r>
      </w:hyperlink>
      <w:bookmarkEnd w:id="183"/>
      <w:r>
        <w:t xml:space="preserve">. Entrevistas realizadas por el autor en febrero de 2025 (véanse las notas del capítulo 4). Hablan un profesor de un liceo público chileno y dos docentes universitarios chilenos.</w:t>
      </w:r>
    </w:p>
    <w:p>
      <w:pPr>
        <w:pStyle w:val="BodyText"/>
      </w:pPr>
      <w:bookmarkStart w:id="184" w:name="nota-05-7"/>
      <w:hyperlink w:anchor="ref-05-7">
        <w:r>
          <w:rPr>
            <w:rStyle w:val="Hyperlink"/>
          </w:rPr>
          <w:t xml:space="preserve">7</w:t>
        </w:r>
      </w:hyperlink>
      <w:bookmarkEnd w:id="184"/>
      <w:r>
        <w:t xml:space="preserve">. La afirmación institucional, en Purdue University (2013); el sistema, en Arnold y Pistilli (2012). Las críticas, en Caulfield (2013a, 2013b) y Feldstein (2013); la simulación de Alfred Essa la recoge Straumsheim (2013). Es un dato institucional, no un efecto demostrado.</w:t>
      </w:r>
    </w:p>
    <w:p>
      <w:pPr>
        <w:pStyle w:val="BodyText"/>
      </w:pPr>
      <w:bookmarkStart w:id="185" w:name="nota-05-8"/>
      <w:hyperlink w:anchor="ref-05-8">
        <w:r>
          <w:rPr>
            <w:rStyle w:val="Hyperlink"/>
          </w:rPr>
          <w:t xml:space="preserve">8</w:t>
        </w:r>
      </w:hyperlink>
      <w:bookmarkEnd w:id="185"/>
      <w:r>
        <w:t xml:space="preserve">. Georgia State University (s. f., 2017) y NPR (2016). Son datos y valoraciones de la propia institución, no evaluaciones independientes.</w:t>
      </w:r>
    </w:p>
    <w:p>
      <w:pPr>
        <w:pStyle w:val="BodyText"/>
      </w:pPr>
      <w:bookmarkStart w:id="186" w:name="nota-05-9"/>
      <w:hyperlink w:anchor="ref-05-9">
        <w:r>
          <w:rPr>
            <w:rStyle w:val="Hyperlink"/>
          </w:rPr>
          <w:t xml:space="preserve">9</w:t>
        </w:r>
      </w:hyperlink>
      <w:bookmarkEnd w:id="186"/>
      <w:r>
        <w:t xml:space="preserve">. 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p>
      <w:pPr>
        <w:pStyle w:val="BodyText"/>
      </w:pPr>
      <w:bookmarkStart w:id="187" w:name="nota-05-10"/>
      <w:hyperlink w:anchor="ref-05-10">
        <w:r>
          <w:rPr>
            <w:rStyle w:val="Hyperlink"/>
          </w:rPr>
          <w:t xml:space="preserve">10</w:t>
        </w:r>
      </w:hyperlink>
      <w:bookmarkEnd w:id="187"/>
      <w:r>
        <w:t xml:space="preserve">. Datatilsynet (2022a, 2022b, 2022c) para Helsingør (expediente 2020-431-0061), y Datatilsynet (2024a, 2024b) para los cincuenta y tres municipios.</w:t>
      </w:r>
    </w:p>
    <w:p>
      <w:pPr>
        <w:pStyle w:val="BodyText"/>
      </w:pPr>
      <w:bookmarkStart w:id="188" w:name="nota-05-11"/>
      <w:hyperlink w:anchor="ref-05-11">
        <w:r>
          <w:rPr>
            <w:rStyle w:val="Hyperlink"/>
          </w:rPr>
          <w:t xml:space="preserve">11</w:t>
        </w:r>
      </w:hyperlink>
      <w:bookmarkEnd w:id="188"/>
      <w:r>
        <w:t xml:space="preserve">. 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p>
      <w:pPr>
        <w:pStyle w:val="BodyText"/>
      </w:pPr>
      <w:bookmarkStart w:id="189" w:name="nota-05-12"/>
      <w:hyperlink w:anchor="ref-05-12">
        <w:r>
          <w:rPr>
            <w:rStyle w:val="Hyperlink"/>
          </w:rPr>
          <w:t xml:space="preserve">12</w:t>
        </w:r>
      </w:hyperlink>
      <w:bookmarkEnd w:id="189"/>
      <w:r>
        <w:t xml:space="preserve">. Deleuze (1990/1995), «Post-scriptum sobre las sociedades de control».</w:t>
      </w:r>
    </w:p>
    <w:p>
      <w:pPr>
        <w:pStyle w:val="BodyText"/>
      </w:pPr>
      <w:bookmarkStart w:id="190" w:name="nota-05-13"/>
      <w:hyperlink w:anchor="ref-05-13">
        <w:r>
          <w:rPr>
            <w:rStyle w:val="Hyperlink"/>
          </w:rPr>
          <w:t xml:space="preserve">13</w:t>
        </w:r>
      </w:hyperlink>
      <w:bookmarkEnd w:id="190"/>
      <w:r>
        <w:t xml:space="preserve">. Zuboff (2019/2020), primera parte.</w:t>
      </w:r>
    </w:p>
    <w:p>
      <w:pPr>
        <w:pStyle w:val="BodyText"/>
      </w:pPr>
      <w:bookmarkStart w:id="191" w:name="nota-05-14"/>
      <w:hyperlink w:anchor="ref-05-14">
        <w:r>
          <w:rPr>
            <w:rStyle w:val="Hyperlink"/>
          </w:rPr>
          <w:t xml:space="preserve">14</w:t>
        </w:r>
      </w:hyperlink>
      <w:bookmarkEnd w:id="191"/>
      <w:r>
        <w:t xml:space="preserve">. Reglamento (UE) 2024/1689 (2024), art. 5.1.f y anexo III, punto 3. El aplazamiento procede del Reglamento (UE) 2026/1744 (2026), que modifica las fechas de aplicación del art. 113 del Reglamento de IA; se publicó en el</w:t>
      </w:r>
      <w:r>
        <w:t xml:space="preserve"> </w:t>
      </w:r>
      <w:r>
        <w:rPr>
          <w:iCs/>
          <w:i/>
        </w:rPr>
        <w:t xml:space="preserve">Diario Oficial</w:t>
      </w:r>
      <w:r>
        <w:t xml:space="preserve"> </w:t>
      </w:r>
      <w:r>
        <w:t xml:space="preserve">el 24 de julio de 2026 y entró en vigor el 27 de julio.</w:t>
      </w:r>
    </w:p>
    <w:p>
      <w:pPr>
        <w:pStyle w:val="BodyText"/>
      </w:pPr>
      <w:bookmarkStart w:id="192" w:name="nota-05-15"/>
      <w:hyperlink w:anchor="ref-05-15">
        <w:r>
          <w:rPr>
            <w:rStyle w:val="Hyperlink"/>
          </w:rPr>
          <w:t xml:space="preserve">15</w:t>
        </w:r>
      </w:hyperlink>
      <w:bookmarkEnd w:id="192"/>
      <w:r>
        <w:t xml:space="preserve">. Arendt (1961/1996), «La crisis en la educación».</w:t>
      </w:r>
    </w:p>
    <w:bookmarkEnd w:id="193"/>
    <w:bookmarkStart w:id="209" w:name="la-memoria-fuera-de-nosotros-1"/>
    <w:p>
      <w:pPr>
        <w:pStyle w:val="Heading2"/>
      </w:pPr>
      <w:r>
        <w:t xml:space="preserve">6. La memoria fuera de nosotros</w:t>
      </w:r>
    </w:p>
    <w:p>
      <w:pPr>
        <w:pStyle w:val="FirstParagraph"/>
      </w:pPr>
      <w:bookmarkStart w:id="194" w:name="nota-06-1"/>
      <w:hyperlink w:anchor="ref-06-1">
        <w:r>
          <w:rPr>
            <w:rStyle w:val="Hyperlink"/>
          </w:rPr>
          <w:t xml:space="preserve">1</w:t>
        </w:r>
      </w:hyperlink>
      <w:bookmarkEnd w:id="194"/>
      <w:r>
        <w:t xml:space="preserve">. Platón (ca. 385-370 a. e. c./1986a),</w:t>
      </w:r>
      <w:r>
        <w:t xml:space="preserve"> </w:t>
      </w:r>
      <w:r>
        <w:rPr>
          <w:iCs/>
          <w:i/>
        </w:rPr>
        <w:t xml:space="preserve">Fedro</w:t>
      </w:r>
      <w:r>
        <w:t xml:space="preserve">, 274c-275b.</w:t>
      </w:r>
    </w:p>
    <w:p>
      <w:pPr>
        <w:pStyle w:val="BodyText"/>
      </w:pPr>
      <w:bookmarkStart w:id="195" w:name="nota-06-2"/>
      <w:hyperlink w:anchor="ref-06-2">
        <w:r>
          <w:rPr>
            <w:rStyle w:val="Hyperlink"/>
          </w:rPr>
          <w:t xml:space="preserve">2</w:t>
        </w:r>
      </w:hyperlink>
      <w:bookmarkEnd w:id="195"/>
      <w:r>
        <w:t xml:space="preserve">. Derrida (1972/1975), «La farmacia de Platón».</w:t>
      </w:r>
    </w:p>
    <w:p>
      <w:pPr>
        <w:pStyle w:val="BodyText"/>
      </w:pPr>
      <w:bookmarkStart w:id="196" w:name="nota-06-3"/>
      <w:hyperlink w:anchor="ref-06-3">
        <w:r>
          <w:rPr>
            <w:rStyle w:val="Hyperlink"/>
          </w:rPr>
          <w:t xml:space="preserve">3</w:t>
        </w:r>
      </w:hyperlink>
      <w:bookmarkEnd w:id="196"/>
      <w:r>
        <w:t xml:space="preserve">. Stiegler (1994/2002) y Stiegler (2010/2015).</w:t>
      </w:r>
    </w:p>
    <w:p>
      <w:pPr>
        <w:pStyle w:val="BodyText"/>
      </w:pPr>
      <w:bookmarkStart w:id="197" w:name="nota-06-4"/>
      <w:hyperlink w:anchor="ref-06-4">
        <w:r>
          <w:rPr>
            <w:rStyle w:val="Hyperlink"/>
          </w:rPr>
          <w:t xml:space="preserve">4</w:t>
        </w:r>
      </w:hyperlink>
      <w:bookmarkEnd w:id="197"/>
      <w:r>
        <w:t xml:space="preserve">. Comenio (1657/1986), caps. XIII y XIV.</w:t>
      </w:r>
    </w:p>
    <w:p>
      <w:pPr>
        <w:pStyle w:val="BodyText"/>
      </w:pPr>
      <w:bookmarkStart w:id="198" w:name="nota-06-5"/>
      <w:hyperlink w:anchor="ref-06-5">
        <w:r>
          <w:rPr>
            <w:rStyle w:val="Hyperlink"/>
          </w:rPr>
          <w:t xml:space="preserve">5</w:t>
        </w:r>
      </w:hyperlink>
      <w:bookmarkEnd w:id="198"/>
      <w:r>
        <w:t xml:space="preserve">. Simondon (1958/2007), introducción.</w:t>
      </w:r>
    </w:p>
    <w:p>
      <w:pPr>
        <w:pStyle w:val="BodyText"/>
      </w:pPr>
      <w:bookmarkStart w:id="199" w:name="nota-06-6"/>
      <w:hyperlink w:anchor="ref-06-6">
        <w:r>
          <w:rPr>
            <w:rStyle w:val="Hyperlink"/>
          </w:rPr>
          <w:t xml:space="preserve">6</w:t>
        </w:r>
      </w:hyperlink>
      <w:bookmarkEnd w:id="199"/>
      <w:r>
        <w:t xml:space="preserve">. Heidegger (1954/1994), «La pregunta por la técnica», y Heidegger (1959/1989).</w:t>
      </w:r>
    </w:p>
    <w:p>
      <w:pPr>
        <w:pStyle w:val="BodyText"/>
      </w:pPr>
      <w:bookmarkStart w:id="200" w:name="nota-06-7"/>
      <w:hyperlink w:anchor="ref-06-7">
        <w:r>
          <w:rPr>
            <w:rStyle w:val="Hyperlink"/>
          </w:rPr>
          <w:t xml:space="preserve">7</w:t>
        </w:r>
      </w:hyperlink>
      <w:bookmarkEnd w:id="200"/>
      <w:r>
        <w:t xml:space="preserve">. OECD (2015), p. 3. Los datos son de PISA 2012 y muestran asociaciones, no efectos causales.</w:t>
      </w:r>
    </w:p>
    <w:p>
      <w:pPr>
        <w:pStyle w:val="BodyText"/>
      </w:pPr>
      <w:bookmarkStart w:id="201" w:name="nota-06-8"/>
      <w:hyperlink w:anchor="ref-06-8">
        <w:r>
          <w:rPr>
            <w:rStyle w:val="Hyperlink"/>
          </w:rPr>
          <w:t xml:space="preserve">8</w:t>
        </w:r>
      </w:hyperlink>
      <w:bookmarkEnd w:id="201"/>
      <w:r>
        <w:t xml:space="preserve">. OECD (2023a, 2023b), con datos de PISA 2022 para alumnos de quince años; la comparación del ocio digital en la escuela, en OECD (2024). Todas las diferencias están ajustadas por perfil socioeconómico.</w:t>
      </w:r>
    </w:p>
    <w:p>
      <w:pPr>
        <w:pStyle w:val="BodyText"/>
      </w:pPr>
      <w:bookmarkStart w:id="202" w:name="nota-06-9"/>
      <w:hyperlink w:anchor="ref-06-9">
        <w:r>
          <w:rPr>
            <w:rStyle w:val="Hyperlink"/>
          </w:rPr>
          <w:t xml:space="preserve">9</w:t>
        </w:r>
      </w:hyperlink>
      <w:bookmarkEnd w:id="202"/>
      <w:r>
        <w:t xml:space="preserve">. UNESCO (2023a), mensajes clave y recomendaciones.</w:t>
      </w:r>
    </w:p>
    <w:p>
      <w:pPr>
        <w:pStyle w:val="BodyText"/>
      </w:pPr>
      <w:bookmarkStart w:id="203" w:name="nota-06-10"/>
      <w:hyperlink w:anchor="ref-06-10">
        <w:r>
          <w:rPr>
            <w:rStyle w:val="Hyperlink"/>
          </w:rPr>
          <w:t xml:space="preserve">10</w:t>
        </w:r>
      </w:hyperlink>
      <w:bookmarkEnd w:id="203"/>
      <w:r>
        <w:t xml:space="preserve">. Sobre los cierres, United Nations (2020); sobre el alcance de la enseñanza a distancia, UNICEF (2020a, 2020b). Es una estimación del alcance potencial que UNICEF considera optimista.</w:t>
      </w:r>
    </w:p>
    <w:p>
      <w:pPr>
        <w:pStyle w:val="BodyText"/>
      </w:pPr>
      <w:bookmarkStart w:id="204" w:name="nota-06-11"/>
      <w:hyperlink w:anchor="ref-06-11">
        <w:r>
          <w:rPr>
            <w:rStyle w:val="Hyperlink"/>
          </w:rPr>
          <w:t xml:space="preserve">11</w:t>
        </w:r>
      </w:hyperlink>
      <w:bookmarkEnd w:id="204"/>
      <w:r>
        <w:t xml:space="preserve">. Liang et al. (2023). La muestra es pequeña y los detectores son de 2023.</w:t>
      </w:r>
    </w:p>
    <w:p>
      <w:pPr>
        <w:pStyle w:val="BodyText"/>
      </w:pPr>
      <w:bookmarkStart w:id="205" w:name="nota-06-12"/>
      <w:hyperlink w:anchor="ref-06-12">
        <w:r>
          <w:rPr>
            <w:rStyle w:val="Hyperlink"/>
          </w:rPr>
          <w:t xml:space="preserve">12</w:t>
        </w:r>
      </w:hyperlink>
      <w:bookmarkEnd w:id="205"/>
      <w:r>
        <w:t xml:space="preserve">. Coley (2023).</w:t>
      </w:r>
    </w:p>
    <w:p>
      <w:pPr>
        <w:pStyle w:val="BodyText"/>
      </w:pPr>
      <w:bookmarkStart w:id="206" w:name="nota-06-13"/>
      <w:hyperlink w:anchor="ref-06-13">
        <w:r>
          <w:rPr>
            <w:rStyle w:val="Hyperlink"/>
          </w:rPr>
          <w:t xml:space="preserve">13</w:t>
        </w:r>
      </w:hyperlink>
      <w:bookmarkEnd w:id="206"/>
      <w:r>
        <w:t xml:space="preserve">. Bastani et al. (2025). Experimento de campo aleatorizado por aulas, con unos cincuenta grupos de 9.º a 11.º grado.</w:t>
      </w:r>
    </w:p>
    <w:p>
      <w:pPr>
        <w:pStyle w:val="BodyText"/>
      </w:pPr>
      <w:bookmarkStart w:id="207" w:name="nota-06-14"/>
      <w:hyperlink w:anchor="ref-06-14">
        <w:r>
          <w:rPr>
            <w:rStyle w:val="Hyperlink"/>
          </w:rPr>
          <w:t xml:space="preserve">14</w:t>
        </w:r>
      </w:hyperlink>
      <w:bookmarkEnd w:id="207"/>
      <w:r>
        <w:t xml:space="preserve">. Miao y Holmes (2023) y UNESCO (2023b). La guía propone la edad mínima; no la impone.</w:t>
      </w:r>
    </w:p>
    <w:p>
      <w:pPr>
        <w:pStyle w:val="BodyText"/>
      </w:pPr>
      <w:bookmarkStart w:id="208" w:name="nota-06-15"/>
      <w:hyperlink w:anchor="ref-06-15">
        <w:r>
          <w:rPr>
            <w:rStyle w:val="Hyperlink"/>
          </w:rPr>
          <w:t xml:space="preserve">15</w:t>
        </w:r>
      </w:hyperlink>
      <w:bookmarkEnd w:id="208"/>
      <w:r>
        <w:t xml:space="preserve">. Crawford (2021/2022).</w:t>
      </w:r>
    </w:p>
    <w:bookmarkEnd w:id="209"/>
    <w:bookmarkStart w:id="229" w:name="lo-que-no-tiene-precio-1"/>
    <w:p>
      <w:pPr>
        <w:pStyle w:val="Heading2"/>
      </w:pPr>
      <w:r>
        <w:t xml:space="preserve">7. Lo que no tiene precio</w:t>
      </w:r>
    </w:p>
    <w:p>
      <w:pPr>
        <w:pStyle w:val="FirstParagraph"/>
      </w:pPr>
      <w:bookmarkStart w:id="210" w:name="nota-07-1"/>
      <w:hyperlink w:anchor="ref-07-1">
        <w:r>
          <w:rPr>
            <w:rStyle w:val="Hyperlink"/>
          </w:rPr>
          <w:t xml:space="preserve">1</w:t>
        </w:r>
      </w:hyperlink>
      <w:bookmarkEnd w:id="210"/>
      <w:r>
        <w:t xml:space="preserve">. Cicerón (44 a. e. c./2001), I, 150-151.</w:t>
      </w:r>
    </w:p>
    <w:p>
      <w:pPr>
        <w:pStyle w:val="BodyText"/>
      </w:pPr>
      <w:bookmarkStart w:id="211" w:name="nota-07-2"/>
      <w:hyperlink w:anchor="ref-07-2">
        <w:r>
          <w:rPr>
            <w:rStyle w:val="Hyperlink"/>
          </w:rPr>
          <w:t xml:space="preserve">2</w:t>
        </w:r>
      </w:hyperlink>
      <w:bookmarkEnd w:id="211"/>
      <w:r>
        <w:t xml:space="preserve">. 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p>
      <w:pPr>
        <w:pStyle w:val="BodyText"/>
      </w:pPr>
      <w:bookmarkStart w:id="212" w:name="nota-07-3"/>
      <w:hyperlink w:anchor="ref-07-3">
        <w:r>
          <w:rPr>
            <w:rStyle w:val="Hyperlink"/>
          </w:rPr>
          <w:t xml:space="preserve">3</w:t>
        </w:r>
      </w:hyperlink>
      <w:bookmarkEnd w:id="212"/>
      <w:r>
        <w:t xml:space="preserve">. Freire (1970/2005), cap. 2.</w:t>
      </w:r>
    </w:p>
    <w:p>
      <w:pPr>
        <w:pStyle w:val="BodyText"/>
      </w:pPr>
      <w:bookmarkStart w:id="213" w:name="nota-07-4"/>
      <w:hyperlink w:anchor="ref-07-4">
        <w:r>
          <w:rPr>
            <w:rStyle w:val="Hyperlink"/>
          </w:rPr>
          <w:t xml:space="preserve">4</w:t>
        </w:r>
      </w:hyperlink>
      <w:bookmarkEnd w:id="213"/>
      <w:r>
        <w:t xml:space="preserve">. Valenzuela et al. (2014).</w:t>
      </w:r>
    </w:p>
    <w:p>
      <w:pPr>
        <w:pStyle w:val="BodyText"/>
      </w:pPr>
      <w:bookmarkStart w:id="214" w:name="nota-07-5"/>
      <w:hyperlink w:anchor="ref-07-5">
        <w:r>
          <w:rPr>
            <w:rStyle w:val="Hyperlink"/>
          </w:rPr>
          <w:t xml:space="preserve">5</w:t>
        </w:r>
      </w:hyperlink>
      <w:bookmarkEnd w:id="214"/>
      <w:r>
        <w:t xml:space="preserve">. Ley 21.728 (2025). Las cifras de beneficiarios y el calendario de pagos, en Meganoticias (2025); la cifra de docentes fallecidos es del Colegio de Profesores.</w:t>
      </w:r>
    </w:p>
    <w:p>
      <w:pPr>
        <w:pStyle w:val="BodyText"/>
      </w:pPr>
      <w:bookmarkStart w:id="215" w:name="nota-07-6"/>
      <w:hyperlink w:anchor="ref-07-6">
        <w:r>
          <w:rPr>
            <w:rStyle w:val="Hyperlink"/>
          </w:rPr>
          <w:t xml:space="preserve">6</w:t>
        </w:r>
      </w:hyperlink>
      <w:bookmarkEnd w:id="215"/>
      <w:r>
        <w:t xml:space="preserve">. Ley 20.845 (2015), Ley 20.903 (2016) y Ley 21.040 (2017).</w:t>
      </w:r>
    </w:p>
    <w:p>
      <w:pPr>
        <w:pStyle w:val="BodyText"/>
      </w:pPr>
      <w:bookmarkStart w:id="216" w:name="nota-07-7"/>
      <w:hyperlink w:anchor="ref-07-7">
        <w:r>
          <w:rPr>
            <w:rStyle w:val="Hyperlink"/>
          </w:rPr>
          <w:t xml:space="preserve">7</w:t>
        </w:r>
      </w:hyperlink>
      <w:bookmarkEnd w:id="216"/>
      <w:r>
        <w:t xml:space="preserve">. El Mostrador (2026) y Universidad de Chile (2026). Cito la presentación pública del estudio; el informe completo no estaba disponible cuando cerré el libro.</w:t>
      </w:r>
    </w:p>
    <w:p>
      <w:pPr>
        <w:pStyle w:val="BodyText"/>
      </w:pPr>
      <w:bookmarkStart w:id="217" w:name="nota-07-8"/>
      <w:hyperlink w:anchor="ref-07-8">
        <w:r>
          <w:rPr>
            <w:rStyle w:val="Hyperlink"/>
          </w:rPr>
          <w:t xml:space="preserve">8</w:t>
        </w:r>
      </w:hyperlink>
      <w:bookmarkEnd w:id="217"/>
      <w:r>
        <w:t xml:space="preserve">. Sobre los servicios locales, Ministerio de Educación de Chile (2026) y Diario Estrategia (2026); sobre el crédito, The Clinic (2025), con datos de la Tesorería de junio de 2025. Son cifras que cambian deprisa.</w:t>
      </w:r>
    </w:p>
    <w:p>
      <w:pPr>
        <w:pStyle w:val="BodyText"/>
      </w:pPr>
      <w:bookmarkStart w:id="218" w:name="nota-07-9"/>
      <w:hyperlink w:anchor="ref-07-9">
        <w:r>
          <w:rPr>
            <w:rStyle w:val="Hyperlink"/>
          </w:rPr>
          <w:t xml:space="preserve">9</w:t>
        </w:r>
      </w:hyperlink>
      <w:bookmarkEnd w:id="218"/>
      <w:r>
        <w:t xml:space="preserve">. Sandel (2012/2013), cap. 2.</w:t>
      </w:r>
    </w:p>
    <w:p>
      <w:pPr>
        <w:pStyle w:val="BodyText"/>
      </w:pPr>
      <w:bookmarkStart w:id="219" w:name="nota-07-10"/>
      <w:hyperlink w:anchor="ref-07-10">
        <w:r>
          <w:rPr>
            <w:rStyle w:val="Hyperlink"/>
          </w:rPr>
          <w:t xml:space="preserve">10</w:t>
        </w:r>
      </w:hyperlink>
      <w:bookmarkEnd w:id="219"/>
      <w:r>
        <w:t xml:space="preserve">. Comunidad de Madrid (s. f.).</w:t>
      </w:r>
    </w:p>
    <w:p>
      <w:pPr>
        <w:pStyle w:val="BodyText"/>
      </w:pPr>
      <w:bookmarkStart w:id="220" w:name="nota-07-11"/>
      <w:hyperlink w:anchor="ref-07-11">
        <w:r>
          <w:rPr>
            <w:rStyle w:val="Hyperlink"/>
          </w:rPr>
          <w:t xml:space="preserve">11</w:t>
        </w:r>
      </w:hyperlink>
      <w:bookmarkEnd w:id="220"/>
      <w:r>
        <w:t xml:space="preserve">. Google (s. f.-a, s. f.-b), condiciones vigentes en 2026. Es la descripción contractual del propio proveedor.</w:t>
      </w:r>
    </w:p>
    <w:p>
      <w:pPr>
        <w:pStyle w:val="BodyText"/>
      </w:pPr>
      <w:bookmarkStart w:id="221" w:name="nota-07-12"/>
      <w:hyperlink w:anchor="ref-07-12">
        <w:r>
          <w:rPr>
            <w:rStyle w:val="Hyperlink"/>
          </w:rPr>
          <w:t xml:space="preserve">12</w:t>
        </w:r>
      </w:hyperlink>
      <w:bookmarkEnd w:id="221"/>
      <w:r>
        <w:t xml:space="preserve">. Rivera-Vargas et al. (2023), del que soy coautor. Las entrevistas de 2025 se describen en las notas del capítulo 4.</w:t>
      </w:r>
    </w:p>
    <w:p>
      <w:pPr>
        <w:pStyle w:val="BodyText"/>
      </w:pPr>
      <w:bookmarkStart w:id="222" w:name="nota-07-13"/>
      <w:hyperlink w:anchor="ref-07-13">
        <w:r>
          <w:rPr>
            <w:rStyle w:val="Hyperlink"/>
          </w:rPr>
          <w:t xml:space="preserve">13</w:t>
        </w:r>
      </w:hyperlink>
      <w:bookmarkEnd w:id="222"/>
      <w:r>
        <w:t xml:space="preserve">. Ministère de l’Éducation nationale (2022).</w:t>
      </w:r>
    </w:p>
    <w:p>
      <w:pPr>
        <w:pStyle w:val="BodyText"/>
      </w:pPr>
      <w:bookmarkStart w:id="223" w:name="nota-07-14"/>
      <w:hyperlink w:anchor="ref-07-14">
        <w:r>
          <w:rPr>
            <w:rStyle w:val="Hyperlink"/>
          </w:rPr>
          <w:t xml:space="preserve">14</w:t>
        </w:r>
      </w:hyperlink>
      <w:bookmarkEnd w:id="223"/>
      <w:r>
        <w:t xml:space="preserve">. Ajuntament de Barcelona (s. f.).</w:t>
      </w:r>
    </w:p>
    <w:p>
      <w:pPr>
        <w:pStyle w:val="BodyText"/>
      </w:pPr>
      <w:bookmarkStart w:id="224" w:name="nota-07-15"/>
      <w:hyperlink w:anchor="ref-07-15">
        <w:r>
          <w:rPr>
            <w:rStyle w:val="Hyperlink"/>
          </w:rPr>
          <w:t xml:space="preserve">15</w:t>
        </w:r>
      </w:hyperlink>
      <w:bookmarkEnd w:id="224"/>
      <w:r>
        <w:t xml:space="preserve">. Stallman (2002/2004).</w:t>
      </w:r>
    </w:p>
    <w:p>
      <w:pPr>
        <w:pStyle w:val="BodyText"/>
      </w:pPr>
      <w:bookmarkStart w:id="225" w:name="nota-07-16"/>
      <w:hyperlink w:anchor="ref-07-16">
        <w:r>
          <w:rPr>
            <w:rStyle w:val="Hyperlink"/>
          </w:rPr>
          <w:t xml:space="preserve">16</w:t>
        </w:r>
      </w:hyperlink>
      <w:bookmarkEnd w:id="225"/>
      <w:r>
        <w:t xml:space="preserve">. van Dijk (2020).</w:t>
      </w:r>
    </w:p>
    <w:p>
      <w:pPr>
        <w:pStyle w:val="BodyText"/>
      </w:pPr>
      <w:bookmarkStart w:id="226" w:name="nota-07-17"/>
      <w:hyperlink w:anchor="ref-07-17">
        <w:r>
          <w:rPr>
            <w:rStyle w:val="Hyperlink"/>
          </w:rPr>
          <w:t xml:space="preserve">17</w:t>
        </w:r>
      </w:hyperlink>
      <w:bookmarkEnd w:id="226"/>
      <w:r>
        <w:t xml:space="preserve">. Benjamin (2019).</w:t>
      </w:r>
    </w:p>
    <w:p>
      <w:pPr>
        <w:pStyle w:val="BodyText"/>
      </w:pPr>
      <w:bookmarkStart w:id="227" w:name="nota-07-18"/>
      <w:hyperlink w:anchor="ref-07-18">
        <w:r>
          <w:rPr>
            <w:rStyle w:val="Hyperlink"/>
          </w:rPr>
          <w:t xml:space="preserve">18</w:t>
        </w:r>
      </w:hyperlink>
      <w:bookmarkEnd w:id="227"/>
      <w:r>
        <w:t xml:space="preserve">. Schüll (2012).</w:t>
      </w:r>
    </w:p>
    <w:p>
      <w:pPr>
        <w:pStyle w:val="BodyText"/>
      </w:pPr>
      <w:bookmarkStart w:id="228" w:name="nota-07-19"/>
      <w:hyperlink w:anchor="ref-07-19">
        <w:r>
          <w:rPr>
            <w:rStyle w:val="Hyperlink"/>
          </w:rPr>
          <w:t xml:space="preserve">19</w:t>
        </w:r>
      </w:hyperlink>
      <w:bookmarkEnd w:id="228"/>
      <w:r>
        <w:t xml:space="preserve">. Huizinga (1938/2012), cap. 1.</w:t>
      </w:r>
    </w:p>
    <w:bookmarkEnd w:id="229"/>
    <w:bookmarkStart w:id="243" w:name="tiempo-libre-1"/>
    <w:p>
      <w:pPr>
        <w:pStyle w:val="Heading2"/>
      </w:pPr>
      <w:r>
        <w:t xml:space="preserve">8. Tiempo libre</w:t>
      </w:r>
    </w:p>
    <w:p>
      <w:pPr>
        <w:pStyle w:val="FirstParagraph"/>
      </w:pPr>
      <w:bookmarkStart w:id="230" w:name="nota-08-1"/>
      <w:hyperlink w:anchor="ref-08-1">
        <w:r>
          <w:rPr>
            <w:rStyle w:val="Hyperlink"/>
          </w:rPr>
          <w:t xml:space="preserve">1</w:t>
        </w:r>
      </w:hyperlink>
      <w:bookmarkEnd w:id="230"/>
      <w:r>
        <w:t xml:space="preserve">. Masschelein y Simons (2012/2014).</w:t>
      </w:r>
    </w:p>
    <w:p>
      <w:pPr>
        <w:pStyle w:val="BodyText"/>
      </w:pPr>
      <w:bookmarkStart w:id="231" w:name="nota-08-2"/>
      <w:hyperlink w:anchor="ref-08-2">
        <w:r>
          <w:rPr>
            <w:rStyle w:val="Hyperlink"/>
          </w:rPr>
          <w:t xml:space="preserve">2</w:t>
        </w:r>
      </w:hyperlink>
      <w:bookmarkEnd w:id="231"/>
      <w:r>
        <w:t xml:space="preserve">. UNESCO (2023a); Global Education Monitoring Report (2025), para el dato de 2024; sobre Cataluña, VilaWeb (2025).</w:t>
      </w:r>
    </w:p>
    <w:p>
      <w:pPr>
        <w:pStyle w:val="BodyText"/>
      </w:pPr>
      <w:bookmarkStart w:id="232" w:name="nota-08-3"/>
      <w:hyperlink w:anchor="ref-08-3">
        <w:r>
          <w:rPr>
            <w:rStyle w:val="Hyperlink"/>
          </w:rPr>
          <w:t xml:space="preserve">3</w:t>
        </w:r>
      </w:hyperlink>
      <w:bookmarkEnd w:id="232"/>
      <w:r>
        <w:t xml:space="preserve">. USMOV (s. f.). El proyecto, financiado por la Agencia Estatal de Investigación (PID2019-108041RB-I00), estudió el uso del móvil en institutos españoles entre 2020 y 2022.</w:t>
      </w:r>
    </w:p>
    <w:p>
      <w:pPr>
        <w:pStyle w:val="BodyText"/>
      </w:pPr>
      <w:bookmarkStart w:id="233" w:name="nota-08-4"/>
      <w:hyperlink w:anchor="ref-08-4">
        <w:r>
          <w:rPr>
            <w:rStyle w:val="Hyperlink"/>
          </w:rPr>
          <w:t xml:space="preserve">4</w:t>
        </w:r>
      </w:hyperlink>
      <w:bookmarkEnd w:id="233"/>
      <w:r>
        <w:t xml:space="preserve">. Foucault (1976/2008), cap. IV, «Método».</w:t>
      </w:r>
    </w:p>
    <w:p>
      <w:pPr>
        <w:pStyle w:val="BodyText"/>
      </w:pPr>
      <w:bookmarkStart w:id="234" w:name="nota-08-5"/>
      <w:hyperlink w:anchor="ref-08-5">
        <w:r>
          <w:rPr>
            <w:rStyle w:val="Hyperlink"/>
          </w:rPr>
          <w:t xml:space="preserve">5</w:t>
        </w:r>
      </w:hyperlink>
      <w:bookmarkEnd w:id="234"/>
      <w:r>
        <w:t xml:space="preserve">. Foucault (1990/1995). Es la conferencia pronunciada ante la Sociedad Francesa de Filosofía el 27 de mayo de 1978.</w:t>
      </w:r>
    </w:p>
    <w:p>
      <w:pPr>
        <w:pStyle w:val="BodyText"/>
      </w:pPr>
      <w:bookmarkStart w:id="235" w:name="nota-08-6"/>
      <w:hyperlink w:anchor="ref-08-6">
        <w:r>
          <w:rPr>
            <w:rStyle w:val="Hyperlink"/>
          </w:rPr>
          <w:t xml:space="preserve">6</w:t>
        </w:r>
      </w:hyperlink>
      <w:bookmarkEnd w:id="235"/>
      <w:r>
        <w:t xml:space="preserve">. Ofqual (2020) y Department for Education y Ofqual (2020). La rebaja se mide respecto de la nota propuesta por el centro.</w:t>
      </w:r>
    </w:p>
    <w:p>
      <w:pPr>
        <w:pStyle w:val="BodyText"/>
      </w:pPr>
      <w:bookmarkStart w:id="236" w:name="nota-08-7"/>
      <w:hyperlink w:anchor="ref-08-7">
        <w:r>
          <w:rPr>
            <w:rStyle w:val="Hyperlink"/>
          </w:rPr>
          <w:t xml:space="preserve">7</w:t>
        </w:r>
      </w:hyperlink>
      <w:bookmarkEnd w:id="236"/>
      <w:r>
        <w:t xml:space="preserve">. Foucault (2004/2006), lección del 1 de marzo de 1978.</w:t>
      </w:r>
    </w:p>
    <w:p>
      <w:pPr>
        <w:pStyle w:val="BodyText"/>
      </w:pPr>
      <w:bookmarkStart w:id="237" w:name="nota-08-8"/>
      <w:hyperlink w:anchor="ref-08-8">
        <w:r>
          <w:rPr>
            <w:rStyle w:val="Hyperlink"/>
          </w:rPr>
          <w:t xml:space="preserve">8</w:t>
        </w:r>
      </w:hyperlink>
      <w:bookmarkEnd w:id="237"/>
      <w:r>
        <w:t xml:space="preserve">. Certeau (1980/2000).</w:t>
      </w:r>
    </w:p>
    <w:p>
      <w:pPr>
        <w:pStyle w:val="BodyText"/>
      </w:pPr>
      <w:bookmarkStart w:id="238" w:name="nota-08-9"/>
      <w:hyperlink w:anchor="ref-08-9">
        <w:r>
          <w:rPr>
            <w:rStyle w:val="Hyperlink"/>
          </w:rPr>
          <w:t xml:space="preserve">9</w:t>
        </w:r>
      </w:hyperlink>
      <w:bookmarkEnd w:id="238"/>
      <w:r>
        <w:t xml:space="preserve">. Noddings (2005).</w:t>
      </w:r>
    </w:p>
    <w:p>
      <w:pPr>
        <w:pStyle w:val="BodyText"/>
      </w:pPr>
      <w:bookmarkStart w:id="239" w:name="nota-08-10"/>
      <w:hyperlink w:anchor="ref-08-10">
        <w:r>
          <w:rPr>
            <w:rStyle w:val="Hyperlink"/>
          </w:rPr>
          <w:t xml:space="preserve">10</w:t>
        </w:r>
      </w:hyperlink>
      <w:bookmarkEnd w:id="239"/>
      <w:r>
        <w:t xml:space="preserve">. Benjamin (1936/2008), sección VIII.</w:t>
      </w:r>
    </w:p>
    <w:p>
      <w:pPr>
        <w:pStyle w:val="BodyText"/>
      </w:pPr>
      <w:bookmarkStart w:id="240" w:name="nota-08-11"/>
      <w:hyperlink w:anchor="ref-08-11">
        <w:r>
          <w:rPr>
            <w:rStyle w:val="Hyperlink"/>
          </w:rPr>
          <w:t xml:space="preserve">11</w:t>
        </w:r>
      </w:hyperlink>
      <w:bookmarkEnd w:id="240"/>
      <w:r>
        <w:t xml:space="preserve">. hooks (1994/2021), introducción.</w:t>
      </w:r>
    </w:p>
    <w:p>
      <w:pPr>
        <w:pStyle w:val="BodyText"/>
      </w:pPr>
      <w:bookmarkStart w:id="241" w:name="nota-08-12"/>
      <w:hyperlink w:anchor="ref-08-12">
        <w:r>
          <w:rPr>
            <w:rStyle w:val="Hyperlink"/>
          </w:rPr>
          <w:t xml:space="preserve">12</w:t>
        </w:r>
      </w:hyperlink>
      <w:bookmarkEnd w:id="241"/>
      <w:r>
        <w:t xml:space="preserve">. Garcés (2013, 2020).</w:t>
      </w:r>
    </w:p>
    <w:p>
      <w:pPr>
        <w:pStyle w:val="BodyText"/>
      </w:pPr>
      <w:bookmarkStart w:id="242" w:name="nota-08-13"/>
      <w:hyperlink w:anchor="ref-08-13">
        <w:r>
          <w:rPr>
            <w:rStyle w:val="Hyperlink"/>
          </w:rPr>
          <w:t xml:space="preserve">13</w:t>
        </w:r>
      </w:hyperlink>
      <w:bookmarkEnd w:id="242"/>
      <w:r>
        <w:t xml:space="preserve">. Reglamento (UE) 2016/679 (2016), art. 22.</w:t>
      </w:r>
    </w:p>
    <w:bookmarkEnd w:id="243"/>
    <w:bookmarkEnd w:id="244"/>
    <w:bookmarkStart w:id="245"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Alma</w:t>
      </w:r>
      <w:r>
        <w:t xml:space="preserve"> </w:t>
      </w:r>
      <w:r>
        <w:t xml:space="preserve">(prólogo, 1 y 3). En este libro no designa una sustancia separada del cuerpo. Es el nombre antiguo de aquello que la educación aspira a formar: una manera de percibir, de desear, de juzgar y de relacionarse con otros. El libro la encuentra en varios sentidos, como ideal de persona, como interioridad, como producto de las disciplinas y como relación consigo mismo.</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245"/>
    <w:bookmarkStart w:id="248"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246"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246"/>
    <w:bookmarkStart w:id="247"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 https://ajuntament.barcelona.cat/innovaciodemocratica/es/suite-educativa-dd-digitalizacion-democratica</w:t>
      </w:r>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 https://doi.org/10.1145/2330601.2330666</w:t>
      </w:r>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 https://doi.org/10.1057/sub.2014.12</w:t>
      </w:r>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 https://doi.org/10.1080/0268093022000043065</w:t>
      </w:r>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 https://doi.org/10.1073/pnas.2422633122</w:t>
      </w:r>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 https://doi.org/10.1111/ejed.12109</w:t>
      </w:r>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 https://hapgood.us/2013/09/26/why-the-course-signals-math-does-not-add-up/</w:t>
      </w:r>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 https://hapgood.us/2013/09/26/a-simple-less-mathematical-way-to-understand-the-course-signals-issue/</w:t>
      </w:r>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 https://www.vanderbilt.edu/brightspace/2023/08/16/guidance-on-ai-detection-and-why-were-disabling-turnitins-ai-detector/</w:t>
      </w:r>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 https://www.comunidad.madrid/servicios/educacion/educamadrid</w:t>
      </w:r>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 https://www.boe.es/eli/es/c/1978/12/27/(1)/con</w:t>
      </w:r>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 https://www.datatilsynet.dk/afgoerelser/afgoerelser/2022/jul/datatilsynet-nedlaegger-behandlingsforbud-i-chromebook-sag-</w:t>
      </w:r>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 https://www.datatilsynet.dk/afgoerelser/afgoerelser/2022/aug/datatilsynet-fastholder-forbud-i-chromebook-sag</w:t>
      </w:r>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 https://www.datatilsynet.dk/presse-og-nyheder/nyhedsarkiv/2022/sep/chromebooks-datatilsynet-suspenderer-forbud-og-giver-paabud-om-lovliggoerelse-</w:t>
      </w:r>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 https://www.lovguiden.dk/dokument/datatilsynet/30-01-2024-datatilsynet-udsteder-paabud-til-53-kommuner-i-den-landsdaekkende-chromebook-sag</w:t>
      </w:r>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 https://www.datatilsynet.dk/presse-og-nyheder/nyhedsarkiv/2024/jul/chromebook-sagen-kommunerne-efterlever-datatilsynets-seneste-paabud-</w:t>
      </w:r>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 http://data.europa.eu/eli/dec_impl/2023/1795/oj</w:t>
      </w:r>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 https://www.gov.uk/government/news/gcse-and-a-level-students-to-receive-centre-assessment-grades</w:t>
      </w:r>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 https://www.diarioestrategia.cl/texto-diario/mostrar/6038115/proyecto-ajusta-instalacion-slep-pasa-sala</w:t>
      </w:r>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 https://www.elmostrador.cl/noticias/pais/2026/07/15/estudio-del-ciae-vincula-ley-de-inclusion-y-sae-con-historica-baja-de-segregacion-escolar/</w:t>
      </w:r>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 https://eliterate.us/course-signals-effectiveness-data-appears-meaningless-care/</w:t>
      </w:r>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 https://revistas.um.es/daimon/article/view/7261 (Obra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 https://success.gsu.edu/gps-advising/</w:t>
      </w:r>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 https://news.gsu.edu/2017/03/16/georgia-state-student-success-data/</w:t>
      </w:r>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 https://world-education-blog.org/2025/01/23/to-ban-or-not-to-ban-monitoring-countries-regulations-on-smartphone-use-in-school/</w:t>
      </w:r>
    </w:p>
    <w:p>
      <w:pPr>
        <w:numPr>
          <w:ilvl w:val="0"/>
          <w:numId w:val="1002"/>
        </w:numPr>
        <w:pStyle w:val="Compact"/>
      </w:pPr>
      <w:r>
        <w:t xml:space="preserve">Google. (s. f.-a).</w:t>
      </w:r>
      <w:r>
        <w:t xml:space="preserve"> </w:t>
      </w:r>
      <w:r>
        <w:rPr>
          <w:iCs/>
          <w:i/>
        </w:rPr>
        <w:t xml:space="preserve">Google Workspace for Education terms of service</w:t>
      </w:r>
      <w:r>
        <w:t xml:space="preserve">. https://workspace.google.com/terms/education_terms.html</w:t>
      </w:r>
    </w:p>
    <w:p>
      <w:pPr>
        <w:numPr>
          <w:ilvl w:val="0"/>
          <w:numId w:val="1002"/>
        </w:numPr>
        <w:pStyle w:val="Compact"/>
      </w:pPr>
      <w:r>
        <w:t xml:space="preserve">Google. (s. f.-b).</w:t>
      </w:r>
      <w:r>
        <w:t xml:space="preserve"> </w:t>
      </w:r>
      <w:r>
        <w:rPr>
          <w:iCs/>
          <w:i/>
        </w:rPr>
        <w:t xml:space="preserve">Google Workspace for Education privacy notice</w:t>
      </w:r>
      <w:r>
        <w:t xml:space="preserve">. https://workspace.google.com/terms/education_privacy.html</w:t>
      </w:r>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 https://doi.org/10.18665/sr.221053</w:t>
      </w:r>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 https://www.bcn.cl/leychile/navegar?idLey=20370</w:t>
      </w:r>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 https://www.bcn.cl/leychile/navegar?idLey=20845</w:t>
      </w:r>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 https://www.bcn.cl/leychile/navegar?idLey=20903</w:t>
      </w:r>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 https://www.bcn.cl/leychile/navegar?idLey=21040</w:t>
      </w:r>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 https://www.bcn.cl/leychile/navegar?idLey=21728</w:t>
      </w:r>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 https://doi.org/10.1016/j.patter.2023.100779</w:t>
      </w:r>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 https://www.meganoticias.cl/nacional/474482-deuda-historica-ley-presidente-boric-proceso-de-pago-brk-31-01-2025.html</w:t>
      </w:r>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 https://doi.org/10.54675/EWZM9535</w:t>
      </w:r>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 https://questions.assemblee-nationale.fr/q16/16-971QE.htm</w:t>
      </w:r>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 https://www.mineduc.cl/mas-del-50-del-nuevo-sistema-de-educacion-publica-instalado-10-slep-inician-su-administracion-educacional/</w:t>
      </w:r>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 https://www.npr.org/sections/ed/2016/10/30/499200614/how-one-university-used-big-data-to-boost-graduation-rates</w:t>
      </w:r>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 https://doi.org/10.1787/9789264239555-en</w:t>
      </w:r>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 https://doi.org/10.1787/a97db61c-en</w:t>
      </w:r>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 https://www.oecd.org/en/about/news/press-releases/2023/12/decline-in-educational-performance-only-partly-attributable-to-the-covid-19-pandemic.html</w:t>
      </w:r>
    </w:p>
    <w:p>
      <w:pPr>
        <w:numPr>
          <w:ilvl w:val="0"/>
          <w:numId w:val="1002"/>
        </w:numPr>
        <w:pStyle w:val="Compact"/>
      </w:pPr>
      <w:r>
        <w:t xml:space="preserve">OECD. (2024).</w:t>
      </w:r>
      <w:r>
        <w:t xml:space="preserve"> </w:t>
      </w:r>
      <w:r>
        <w:rPr>
          <w:iCs/>
          <w:i/>
        </w:rPr>
        <w:t xml:space="preserve">Students, digital devices and success</w:t>
      </w:r>
      <w:r>
        <w:t xml:space="preserve">. OECD Publishing. https://www.oecd.org/content/dam/oecd/en/publications/reports/2024/05/students-digital-devices-and-success_621829ff/9e4c0624-en.pdf</w:t>
      </w:r>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 https://www.gov.uk/government/publications/awarding-gcse-as-a-levels-in-summer-2020-interim-report</w:t>
      </w:r>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 https://www.purdue.edu/uns/PurdueToday/archive/2013/09-September/130925PurdueToday.htm</w:t>
      </w:r>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 http://data.europa.eu/eli/reg/2016/679/oj</w:t>
      </w:r>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 http://data.europa.eu/eli/reg/2024/1689/oj</w:t>
      </w:r>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de 24 de julio de 2026. http://data.europa.eu/eli/reg/2026/1744/oj</w:t>
      </w:r>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 http://diposit.ub.edu/dspace/handle/2445/192941</w:t>
      </w:r>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 https://sr.ithaka.org/wp-content/uploads/2021/06/SR_Report-MAAPS-Evaluation-Findings-After-Four-Years-062421.pdf</w:t>
      </w:r>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 https://sr.ithaka.org/publications/maaps-advising-experiment-evaluation-6-years/</w:t>
      </w:r>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 https://www.insidehighered.com/news/2013/11/06/researchers-cast-doubt-about-early-warning-systems-effect-retention</w:t>
      </w:r>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 https://www.theclinic.cl/2025/09/26/el-66-de-los-deudores-del-cae-se-encuentran-morosos-por-mas-de-tres-cuotas-impagas-y-en-mas-de-la-mitad-de-los-casos-el-estado-tuvo-que-hacerse-cargo-de-la-deuda/</w:t>
      </w:r>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 https://curia.europa.eu/juris/liste.jsf?num=C-362/14</w:t>
      </w:r>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 https://curia.europa.eu/juris/liste.jsf?num=C-311/18</w:t>
      </w:r>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 https://eur-lex.europa.eu/eli/C/2025/6610/oj</w:t>
      </w:r>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 https://curia.europa.eu/juris/liste.jsf?num=T-553/23</w:t>
      </w:r>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r>
        <w:t xml:space="preserve">https://doi.org/10.54676/UZQV8501</w:t>
      </w:r>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 https://www.unesco.org/en/articles/unesco-governments-must-quickly-regulate-generative-ai-schools</w:t>
      </w:r>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 https://data.unicef.org/resources/remote-learning-reachability-factsheet/</w:t>
      </w:r>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 https://www.unicef.org/press-releases/covid-19-least-third-worlds-schoolchildren-unable-access-remote-learning-during</w:t>
      </w:r>
    </w:p>
    <w:p>
      <w:pPr>
        <w:numPr>
          <w:ilvl w:val="0"/>
          <w:numId w:val="1002"/>
        </w:numPr>
        <w:pStyle w:val="Compact"/>
      </w:pPr>
      <w:r>
        <w:t xml:space="preserve">United Nations. (2020).</w:t>
      </w:r>
      <w:r>
        <w:t xml:space="preserve"> </w:t>
      </w:r>
      <w:r>
        <w:rPr>
          <w:iCs/>
          <w:i/>
        </w:rPr>
        <w:t xml:space="preserve">Policy brief: Education during COVID-19 and beyond</w:t>
      </w:r>
      <w:r>
        <w:t xml:space="preserve">. https://www.un.org/development/desa/dspd/wp-content/uploads/sites/22/2020/08/sg_policy_brief_covid-19_and_education_august_2020.pdf</w:t>
      </w:r>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 https://uchile.cl/noticias/242425/expertos-debaten-baja-de-la-segregacion-escolar-y-modificaciones-al-sae</w:t>
      </w:r>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 https://doi.org/10.1080/02680939.2013.806995</w:t>
      </w:r>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 https://www.vilaweb.cat/noticies/prohibicio-total-educacio-elimina-mobils-tauletes-rellotges/</w:t>
      </w:r>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r>
        <w:pict>
          <v:rect style="width:0;height:1.5pt" o:hralign="center" o:hrstd="t" o:hr="t"/>
        </w:pict>
      </w:r>
    </w:p>
    <w:p>
      <w:pPr>
        <w:pStyle w:val="FirstParagraph"/>
      </w:pPr>
      <w:r>
        <w:t xml:space="preserve">Algunas de las ideas de este libro las trabajé antes en una investigación doctoral dirigida por Marina Garcés y Raquel Miño, con la tutoría de Josep Maria Esquirol. Les agradezco la lectura atenta y la libertad.</w:t>
      </w:r>
    </w:p>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dc:language>
  <cp:keywords/>
  <dcterms:created xsi:type="dcterms:W3CDTF">2026-10-13T11:38:36Z</dcterms:created>
  <dcterms:modified xsi:type="dcterms:W3CDTF">2026-10-13T11:38:36Z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ies>
</file>