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social media to generative AI: A scoping review of critical digital literacy in formal education, 2016–2026</w:t>
      </w:r>
    </w:p>
    <w:p>
      <w:pPr>
        <w:pStyle w:val="Heading2"/>
      </w:pPr>
      <w:r>
        <w:t xml:space="preserve">Abstract</w:t>
      </w:r>
    </w:p>
    <w:p>
      <w:pPr/>
      <w:r>
        <w:t xml:space="preserve">Critical digital literacy (CDL) asks learners to read digital technologies as sites of power and not only as tools. This scoping review maps how research on CDL in formal education developed between 2016 and 2026. Following PRISMA-ScR, I searched Scopus for journal articles and reviews in English and Spanish and screened 469 records in two independent passes, one based on titles and one on abstracts and author keywords, resolving disagreements with an explicit decision rule (κ = 0.51). The 135 included studies were charted by language, country, educational level, design, theoretical tradition and object of critique. Output grew by an estimated 21% a year between 2016 and 2025 (95% CI 11–31%), and 52 studies appeared in 2026 alone. The object of critique shifted: artificial intelligence, mostly generative, was absent before 2020 and appears in 43% of the studies published in 2024–2026; work on algorithms, data and platforms rose from 6% to 32%, while attention to social media held steady. Media literacy and multiliteracies, the dominant frames of the early years, lost ground. Research is concentrated in higher education (41%) and teacher education (29%), and early childhood and primary education account for 7%. Qualitative and conceptual designs predominate, and only 26 studies describe an intervention. Studies written in Spanish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digital competence; generative artificial intelligence; platforms; scoping review; teacher education</w:t>
      </w:r>
    </w:p>
    <w:p>
      <w:pPr>
        <w:pStyle w:val="Heading2"/>
      </w:pPr>
      <w:r>
        <w:t xml:space="preserve">Context and implications</w:t>
      </w:r>
    </w:p>
    <w:p>
      <w:pPr/>
      <w:r>
        <w:rPr>
          <w:b/>
        </w:rPr>
        <w:t xml:space="preserve">Rationale for this study.</w:t>
      </w:r>
      <w:r>
        <w:t xml:space="preserve"> Schools and universities now teach through platforms and AI systems they neither design nor control. Earlier reviews of critical digital literacy covered a single educational level or country, and most predate generative AI.</w:t>
      </w:r>
    </w:p>
    <w:p>
      <w:pPr/>
      <w:r>
        <w:rPr>
          <w:b/>
        </w:rPr>
        <w:t xml:space="preserve">Why the new findings matter.</w:t>
      </w:r>
      <w:r>
        <w:t xml:space="preserve"> The review documents a field that is growing fast and following each new technology, but that is concentrated in universities and teacher education and rarely tests what learners actually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would benefit from an explicit dimension on who owns educational platforms, what data they collect and whose interests they serve.</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are valuable, and both include a critical element, but "critical" there mostly means judging whether a source is reliable. The weight of the frameworks falls on operational skill, safety and employability. A growing body of work argues that this leaves out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include a critical component, but they define it narrowly. In DigComp 2.2, being critical means evaluating the credibility and reliability of information and sources (Vuorikari et al., 2022). Checking a source matters, yet it treats the information environment as given. CDL goes a step further and asks how that environment is built and governed.</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No protocol was registered in advance. To compensate, every decision in the review was made reproducible: the search string, the 469 records, both screening passes, the adjudication rule, the coding dictionaries and the code that applies them are openly available [link removed for anonymous review].</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r>
              <w:t xml:space="preserve">Criterion</w:t>
            </w:r>
          </w:p>
        </w:tc>
        <w:tc>
          <w:tcPr>
            <w:tcW w:w="3249" w:type="dxa"/>
            <w:shd w:val="clear" w:color="auto" w:fill="F2F2F2"/>
          </w:tcPr>
          <w:p>
            <w:pPr/>
            <w:r>
              <w:t xml:space="preserve">Included</w:t>
            </w:r>
          </w:p>
        </w:tc>
        <w:tc>
          <w:tcPr>
            <w:tcW w:w="3777" w:type="dxa"/>
            <w:shd w:val="clear" w:color="auto" w:fill="F2F2F2"/>
          </w:tcPr>
          <w:p>
            <w:pPr/>
            <w:r>
              <w:t xml:space="preserve">Excluded</w:t>
            </w:r>
          </w:p>
        </w:tc>
      </w:tr>
      <w:tr>
        <w:tc>
          <w:tcPr>
            <w:tcW w:w="2334" w:type="dxa"/>
          </w:tcPr>
          <w:p>
            <w:pPr/>
            <w:r>
              <w:t xml:space="preserve">Concept</w:t>
            </w:r>
          </w:p>
        </w:tc>
        <w:tc>
          <w:tcPr>
            <w:tcW w:w="3249" w:type="dxa"/>
          </w:tcPr>
          <w:p>
            <w:pPr/>
            <w:r>
              <w:t xml:space="preserve">CDL as defined in this review is a central focus of the study</w:t>
            </w:r>
          </w:p>
        </w:tc>
        <w:tc>
          <w:tcPr>
            <w:tcW w:w="3777" w:type="dxa"/>
          </w:tcPr>
          <w:p>
            <w:pPr/>
            <w:r>
              <w:t xml:space="preserve">CDL is mentioned in passing; "critical" means only checking sources or generic critical thinking</w:t>
            </w:r>
          </w:p>
        </w:tc>
      </w:tr>
      <w:tr>
        <w:tc>
          <w:tcPr>
            <w:tcW w:w="2334" w:type="dxa"/>
          </w:tcPr>
          <w:p>
            <w:pPr/>
            <w:r>
              <w:t xml:space="preserve">Context</w:t>
            </w:r>
          </w:p>
        </w:tc>
        <w:tc>
          <w:tcPr>
            <w:tcW w:w="3249" w:type="dxa"/>
          </w:tcPr>
          <w:p>
            <w:pPr/>
            <w:r>
              <w:t xml:space="preserve">Formal education: early childhood, primary, secondary, higher education, initial and in-service teacher education</w:t>
            </w:r>
          </w:p>
        </w:tc>
        <w:tc>
          <w:tcPr>
            <w:tcW w:w="3777" w:type="dxa"/>
          </w:tcPr>
          <w:p>
            <w:pPr/>
            <w:r>
              <w:t xml:space="preserve">Families, public libraries, communities or organisations with no link to an educational institution; informal learning</w:t>
            </w:r>
          </w:p>
        </w:tc>
      </w:tr>
      <w:tr>
        <w:tc>
          <w:tcPr>
            <w:tcW w:w="2334" w:type="dxa"/>
          </w:tcPr>
          <w:p>
            <w:pPr/>
            <w:r>
              <w:t xml:space="preserve">Source</w:t>
            </w:r>
          </w:p>
        </w:tc>
        <w:tc>
          <w:tcPr>
            <w:tcW w:w="3249" w:type="dxa"/>
          </w:tcPr>
          <w:p>
            <w:pPr/>
            <w:r>
              <w:t xml:space="preserve">Peer-reviewed journal articles and reviews</w:t>
            </w:r>
          </w:p>
        </w:tc>
        <w:tc>
          <w:tcPr>
            <w:tcW w:w="3777" w:type="dxa"/>
          </w:tcPr>
          <w:p>
            <w:pPr/>
            <w:r>
              <w:t xml:space="preserve">Book reviews, editorials, conference proceedings</w:t>
            </w:r>
          </w:p>
        </w:tc>
      </w:tr>
      <w:tr>
        <w:tc>
          <w:tcPr>
            <w:tcW w:w="2334" w:type="dxa"/>
          </w:tcPr>
          <w:p>
            <w:pPr/>
            <w:r>
              <w:t xml:space="preserve">Period and language</w:t>
            </w:r>
          </w:p>
        </w:tc>
        <w:tc>
          <w:tcPr>
            <w:tcW w:w="3249" w:type="dxa"/>
          </w:tcPr>
          <w:p>
            <w:pPr/>
            <w:r>
              <w:t xml:space="preserve">2016–2026; English or Spanish</w:t>
            </w:r>
          </w:p>
        </w:tc>
        <w:tc>
          <w:tcPr>
            <w:tcW w:w="3777" w:type="dxa"/>
          </w:tcPr>
          <w:p>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p>
        </w:tc>
        <w:tc>
          <w:tcPr>
            <w:tcW w:w="2698" w:type="dxa"/>
            <w:shd w:val="clear" w:color="auto" w:fill="F2F2F2"/>
          </w:tcPr>
          <w:p>
            <w:pPr/>
            <w:r>
              <w:t xml:space="preserve">Pass 2: include</w:t>
            </w:r>
          </w:p>
        </w:tc>
        <w:tc>
          <w:tcPr>
            <w:tcW w:w="2757" w:type="dxa"/>
            <w:shd w:val="clear" w:color="auto" w:fill="F2F2F2"/>
          </w:tcPr>
          <w:p>
            <w:pPr/>
            <w:r>
              <w:t xml:space="preserve">Pass 2: exclude</w:t>
            </w:r>
          </w:p>
        </w:tc>
        <w:tc>
          <w:tcPr>
            <w:tcW w:w="1146" w:type="dxa"/>
            <w:shd w:val="clear" w:color="auto" w:fill="F2F2F2"/>
          </w:tcPr>
          <w:p>
            <w:pPr/>
            <w:r>
              <w:t xml:space="preserve">Total</w:t>
            </w:r>
          </w:p>
        </w:tc>
      </w:tr>
      <w:tr>
        <w:tc>
          <w:tcPr>
            <w:tcW w:w="2757" w:type="dxa"/>
          </w:tcPr>
          <w:p>
            <w:pPr/>
            <w:r>
              <w:t xml:space="preserve">Pass 1: include</w:t>
            </w:r>
          </w:p>
        </w:tc>
        <w:tc>
          <w:tcPr>
            <w:tcW w:w="2698" w:type="dxa"/>
          </w:tcPr>
          <w:p>
            <w:pPr/>
            <w:r>
              <w:t xml:space="preserve">85</w:t>
            </w:r>
          </w:p>
        </w:tc>
        <w:tc>
          <w:tcPr>
            <w:tcW w:w="2757" w:type="dxa"/>
          </w:tcPr>
          <w:p>
            <w:pPr/>
            <w:r>
              <w:t xml:space="preserve">44</w:t>
            </w:r>
          </w:p>
        </w:tc>
        <w:tc>
          <w:tcPr>
            <w:tcW w:w="1146" w:type="dxa"/>
          </w:tcPr>
          <w:p>
            <w:pPr/>
            <w:r>
              <w:t xml:space="preserve">129</w:t>
            </w:r>
          </w:p>
        </w:tc>
      </w:tr>
      <w:tr>
        <w:tc>
          <w:tcPr>
            <w:tcW w:w="2757" w:type="dxa"/>
          </w:tcPr>
          <w:p>
            <w:pPr/>
            <w:r>
              <w:t xml:space="preserve">Pass 1: exclude</w:t>
            </w:r>
          </w:p>
        </w:tc>
        <w:tc>
          <w:tcPr>
            <w:tcW w:w="2698" w:type="dxa"/>
          </w:tcPr>
          <w:p>
            <w:pPr/>
            <w:r>
              <w:t xml:space="preserve">50</w:t>
            </w:r>
          </w:p>
        </w:tc>
        <w:tc>
          <w:tcPr>
            <w:tcW w:w="2757" w:type="dxa"/>
          </w:tcPr>
          <w:p>
            <w:pPr/>
            <w:r>
              <w:t xml:space="preserve">290</w:t>
            </w:r>
          </w:p>
        </w:tc>
        <w:tc>
          <w:tcPr>
            <w:tcW w:w="1146" w:type="dxa"/>
          </w:tcPr>
          <w:p>
            <w:pPr/>
            <w:r>
              <w:t xml:space="preserve">340</w:t>
            </w:r>
          </w:p>
        </w:tc>
      </w:tr>
      <w:tr>
        <w:tc>
          <w:tcPr>
            <w:tcW w:w="2757" w:type="dxa"/>
          </w:tcPr>
          <w:p>
            <w:pPr/>
            <w:r>
              <w:t xml:space="preserve">Total</w:t>
            </w:r>
          </w:p>
        </w:tc>
        <w:tc>
          <w:tcPr>
            <w:tcW w:w="2698" w:type="dxa"/>
          </w:tcPr>
          <w:p>
            <w:pPr/>
            <w:r>
              <w:t xml:space="preserve">135</w:t>
            </w:r>
          </w:p>
        </w:tc>
        <w:tc>
          <w:tcPr>
            <w:tcW w:w="2757" w:type="dxa"/>
          </w:tcPr>
          <w:p>
            <w:pPr/>
            <w:r>
              <w:t xml:space="preserve">334</w:t>
            </w:r>
          </w:p>
        </w:tc>
        <w:tc>
          <w:tcPr>
            <w:tcW w:w="1146" w:type="dxa"/>
          </w:tcPr>
          <w:p>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r>
              <w:t xml:space="preserve">Outcome</w:t>
            </w:r>
          </w:p>
        </w:tc>
        <w:tc>
          <w:tcPr>
            <w:tcW w:w="1292" w:type="dxa"/>
            <w:shd w:val="clear" w:color="auto" w:fill="F2F2F2"/>
          </w:tcPr>
          <w:p>
            <w:pPr/>
            <w:r>
              <w:t xml:space="preserve">Records</w:t>
            </w:r>
          </w:p>
        </w:tc>
        <w:tc>
          <w:tcPr>
            <w:tcW w:w="2107" w:type="dxa"/>
            <w:shd w:val="clear" w:color="auto" w:fill="F2F2F2"/>
          </w:tcPr>
          <w:p>
            <w:pPr/>
            <w:r>
              <w:t xml:space="preserve">Final decision</w:t>
            </w:r>
          </w:p>
        </w:tc>
      </w:tr>
      <w:tr>
        <w:tc>
          <w:tcPr>
            <w:tcW w:w="5959" w:type="dxa"/>
          </w:tcPr>
          <w:p>
            <w:pPr/>
            <w:r>
              <w:t xml:space="preserve">Both passes include</w:t>
            </w:r>
          </w:p>
        </w:tc>
        <w:tc>
          <w:tcPr>
            <w:tcW w:w="1292" w:type="dxa"/>
          </w:tcPr>
          <w:p>
            <w:pPr/>
            <w:r>
              <w:t xml:space="preserve">85</w:t>
            </w:r>
          </w:p>
        </w:tc>
        <w:tc>
          <w:tcPr>
            <w:tcW w:w="2107" w:type="dxa"/>
          </w:tcPr>
          <w:p>
            <w:pPr/>
            <w:r>
              <w:t xml:space="preserve">Included</w:t>
            </w:r>
          </w:p>
        </w:tc>
      </w:tr>
      <w:tr>
        <w:tc>
          <w:tcPr>
            <w:tcW w:w="5959" w:type="dxa"/>
          </w:tcPr>
          <w:p>
            <w:pPr/>
            <w:r>
              <w:t xml:space="preserve">Both passes exclude</w:t>
            </w:r>
          </w:p>
        </w:tc>
        <w:tc>
          <w:tcPr>
            <w:tcW w:w="1292" w:type="dxa"/>
          </w:tcPr>
          <w:p>
            <w:pPr/>
            <w:r>
              <w:t xml:space="preserve">290</w:t>
            </w:r>
          </w:p>
        </w:tc>
        <w:tc>
          <w:tcPr>
            <w:tcW w:w="2107" w:type="dxa"/>
          </w:tcPr>
          <w:p>
            <w:pPr/>
            <w:r>
              <w:t xml:space="preserve">Excluded</w:t>
            </w:r>
          </w:p>
        </w:tc>
      </w:tr>
      <w:tr>
        <w:tc>
          <w:tcPr>
            <w:tcW w:w="5959" w:type="dxa"/>
          </w:tcPr>
          <w:p>
            <w:pPr/>
            <w:r>
              <w:t xml:space="preserve">Disagreement; title names CDL</w:t>
            </w:r>
          </w:p>
        </w:tc>
        <w:tc>
          <w:tcPr>
            <w:tcW w:w="1292" w:type="dxa"/>
          </w:tcPr>
          <w:p>
            <w:pPr/>
            <w:r>
              <w:t xml:space="preserve">22</w:t>
            </w:r>
          </w:p>
        </w:tc>
        <w:tc>
          <w:tcPr>
            <w:tcW w:w="2107" w:type="dxa"/>
          </w:tcPr>
          <w:p>
            <w:pPr/>
            <w:r>
              <w:t xml:space="preserve">Included</w:t>
            </w:r>
          </w:p>
        </w:tc>
      </w:tr>
      <w:tr>
        <w:tc>
          <w:tcPr>
            <w:tcW w:w="5959" w:type="dxa"/>
          </w:tcPr>
          <w:p>
            <w:pPr/>
            <w:r>
              <w:t xml:space="preserve">Disagreement; title refers to a digital technology and at least two of K, A, P</w:t>
            </w:r>
          </w:p>
        </w:tc>
        <w:tc>
          <w:tcPr>
            <w:tcW w:w="1292" w:type="dxa"/>
          </w:tcPr>
          <w:p>
            <w:pPr/>
            <w:r>
              <w:t xml:space="preserve">28</w:t>
            </w:r>
          </w:p>
        </w:tc>
        <w:tc>
          <w:tcPr>
            <w:tcW w:w="2107" w:type="dxa"/>
          </w:tcPr>
          <w:p>
            <w:pPr/>
            <w:r>
              <w:t xml:space="preserve">Included</w:t>
            </w:r>
          </w:p>
        </w:tc>
      </w:tr>
      <w:tr>
        <w:tc>
          <w:tcPr>
            <w:tcW w:w="5959" w:type="dxa"/>
          </w:tcPr>
          <w:p>
            <w:pPr/>
            <w:r>
              <w:t xml:space="preserve">Disagreement; insufficient evidence</w:t>
            </w:r>
          </w:p>
        </w:tc>
        <w:tc>
          <w:tcPr>
            <w:tcW w:w="1292" w:type="dxa"/>
          </w:tcPr>
          <w:p>
            <w:pPr/>
            <w:r>
              <w:t xml:space="preserve">38</w:t>
            </w:r>
          </w:p>
        </w:tc>
        <w:tc>
          <w:tcPr>
            <w:tcW w:w="2107" w:type="dxa"/>
          </w:tcPr>
          <w:p>
            <w:pPr/>
            <w:r>
              <w:t xml:space="preserve">Excluded</w:t>
            </w:r>
          </w:p>
        </w:tc>
      </w:tr>
      <w:tr>
        <w:tc>
          <w:tcPr>
            <w:tcW w:w="5959" w:type="dxa"/>
          </w:tcPr>
          <w:p>
            <w:pPr/>
            <w:r>
              <w:t xml:space="preserve">Disagreement; excluded in pass 1 for context or document type</w:t>
            </w:r>
          </w:p>
        </w:tc>
        <w:tc>
          <w:tcPr>
            <w:tcW w:w="1292" w:type="dxa"/>
          </w:tcPr>
          <w:p>
            <w:pPr/>
            <w:r>
              <w:t xml:space="preserve">6</w:t>
            </w:r>
          </w:p>
        </w:tc>
        <w:tc>
          <w:tcPr>
            <w:tcW w:w="2107" w:type="dxa"/>
          </w:tcPr>
          <w:p>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That the passes include the same number of records (135) is a coincidence of the marginal totals, not of the records themselves.</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3951514"/>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3951514"/>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and adjudication,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r>
              <w:t xml:space="preserve">Category</w:t>
            </w:r>
          </w:p>
        </w:tc>
        <w:tc>
          <w:tcPr>
            <w:tcW w:w="1196" w:type="dxa"/>
            <w:shd w:val="clear" w:color="auto" w:fill="F2F2F2"/>
          </w:tcPr>
          <w:p>
            <w:pPr/>
            <w:r>
              <w:t xml:space="preserve">2016–2019 (n = 18)</w:t>
            </w:r>
          </w:p>
        </w:tc>
        <w:tc>
          <w:tcPr>
            <w:tcW w:w="1220" w:type="dxa"/>
            <w:shd w:val="clear" w:color="auto" w:fill="F2F2F2"/>
          </w:tcPr>
          <w:p>
            <w:pPr/>
            <w:r>
              <w:t xml:space="preserve">2020–2023 (n = 35)</w:t>
            </w:r>
          </w:p>
        </w:tc>
        <w:tc>
          <w:tcPr>
            <w:tcW w:w="1328" w:type="dxa"/>
            <w:shd w:val="clear" w:color="auto" w:fill="F2F2F2"/>
          </w:tcPr>
          <w:p>
            <w:pPr/>
            <w:r>
              <w:t xml:space="preserve">2024–2026 (n = 82)</w:t>
            </w:r>
          </w:p>
        </w:tc>
        <w:tc>
          <w:tcPr>
            <w:tcW w:w="1288"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2580" w:type="dxa"/>
          </w:tcPr>
          <w:p>
            <w:pPr/>
            <w:r>
              <w:rPr>
                <w:b/>
              </w:rPr>
              <w:t xml:space="preserve">Educational level</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Early childhood and primary</w:t>
            </w:r>
          </w:p>
        </w:tc>
        <w:tc>
          <w:tcPr>
            <w:tcW w:w="1196" w:type="dxa"/>
          </w:tcPr>
          <w:p>
            <w:pPr/>
            <w:r>
              <w:t xml:space="preserve">2 (11.1)</w:t>
            </w:r>
          </w:p>
        </w:tc>
        <w:tc>
          <w:tcPr>
            <w:tcW w:w="1220" w:type="dxa"/>
          </w:tcPr>
          <w:p>
            <w:pPr/>
            <w:r>
              <w:t xml:space="preserve">3 (8.6)</w:t>
            </w:r>
          </w:p>
        </w:tc>
        <w:tc>
          <w:tcPr>
            <w:tcW w:w="1328" w:type="dxa"/>
          </w:tcPr>
          <w:p>
            <w:pPr/>
            <w:r>
              <w:t xml:space="preserve">5 (6.1)</w:t>
            </w:r>
          </w:p>
        </w:tc>
        <w:tc>
          <w:tcPr>
            <w:tcW w:w="1288" w:type="dxa"/>
          </w:tcPr>
          <w:p>
            <w:pPr/>
            <w:r>
              <w:t xml:space="preserve">10 (7.4)</w:t>
            </w:r>
          </w:p>
        </w:tc>
        <w:tc>
          <w:tcPr>
            <w:tcW w:w="1027" w:type="dxa"/>
          </w:tcPr>
          <w:p>
            <w:pPr/>
            <w:r>
              <w:t xml:space="preserve">−0.80</w:t>
            </w:r>
          </w:p>
        </w:tc>
        <w:tc>
          <w:tcPr>
            <w:tcW w:w="720" w:type="dxa"/>
          </w:tcPr>
          <w:p>
            <w:pPr/>
            <w:r>
              <w:t xml:space="preserve">.426</w:t>
            </w:r>
          </w:p>
        </w:tc>
      </w:tr>
      <w:tr>
        <w:tc>
          <w:tcPr>
            <w:tcW w:w="2580" w:type="dxa"/>
          </w:tcPr>
          <w:p>
            <w:pPr/>
            <w:r>
              <w:t xml:space="preserve">Secondary</w:t>
            </w:r>
          </w:p>
        </w:tc>
        <w:tc>
          <w:tcPr>
            <w:tcW w:w="1196" w:type="dxa"/>
          </w:tcPr>
          <w:p>
            <w:pPr/>
            <w:r>
              <w:t xml:space="preserve">8 (44.4)</w:t>
            </w:r>
          </w:p>
        </w:tc>
        <w:tc>
          <w:tcPr>
            <w:tcW w:w="1220" w:type="dxa"/>
          </w:tcPr>
          <w:p>
            <w:pPr/>
            <w:r>
              <w:t xml:space="preserve">7 (20.0)</w:t>
            </w:r>
          </w:p>
        </w:tc>
        <w:tc>
          <w:tcPr>
            <w:tcW w:w="1328" w:type="dxa"/>
          </w:tcPr>
          <w:p>
            <w:pPr/>
            <w:r>
              <w:t xml:space="preserve">14 (17.1)</w:t>
            </w:r>
          </w:p>
        </w:tc>
        <w:tc>
          <w:tcPr>
            <w:tcW w:w="1288" w:type="dxa"/>
          </w:tcPr>
          <w:p>
            <w:pPr/>
            <w:r>
              <w:t xml:space="preserve">29 (21.5)</w:t>
            </w:r>
          </w:p>
        </w:tc>
        <w:tc>
          <w:tcPr>
            <w:tcW w:w="1027" w:type="dxa"/>
          </w:tcPr>
          <w:p>
            <w:pPr/>
            <w:r>
              <w:t xml:space="preserve">−2.26</w:t>
            </w:r>
          </w:p>
        </w:tc>
        <w:tc>
          <w:tcPr>
            <w:tcW w:w="720" w:type="dxa"/>
          </w:tcPr>
          <w:p>
            <w:pPr/>
            <w:r>
              <w:t xml:space="preserve">.024</w:t>
            </w:r>
          </w:p>
        </w:tc>
      </w:tr>
      <w:tr>
        <w:tc>
          <w:tcPr>
            <w:tcW w:w="2580" w:type="dxa"/>
          </w:tcPr>
          <w:p>
            <w:pPr/>
            <w:r>
              <w:t xml:space="preserve">Higher education</w:t>
            </w:r>
          </w:p>
        </w:tc>
        <w:tc>
          <w:tcPr>
            <w:tcW w:w="1196" w:type="dxa"/>
          </w:tcPr>
          <w:p>
            <w:pPr/>
            <w:r>
              <w:t xml:space="preserve">6 (33.3)</w:t>
            </w:r>
          </w:p>
        </w:tc>
        <w:tc>
          <w:tcPr>
            <w:tcW w:w="1220" w:type="dxa"/>
          </w:tcPr>
          <w:p>
            <w:pPr/>
            <w:r>
              <w:t xml:space="preserve">11 (31.4)</w:t>
            </w:r>
          </w:p>
        </w:tc>
        <w:tc>
          <w:tcPr>
            <w:tcW w:w="1328" w:type="dxa"/>
          </w:tcPr>
          <w:p>
            <w:pPr/>
            <w:r>
              <w:t xml:space="preserve">38 (46.3)</w:t>
            </w:r>
          </w:p>
        </w:tc>
        <w:tc>
          <w:tcPr>
            <w:tcW w:w="1288" w:type="dxa"/>
          </w:tcPr>
          <w:p>
            <w:pPr/>
            <w:r>
              <w:t xml:space="preserve">55 (40.7)</w:t>
            </w:r>
          </w:p>
        </w:tc>
        <w:tc>
          <w:tcPr>
            <w:tcW w:w="1027" w:type="dxa"/>
          </w:tcPr>
          <w:p>
            <w:pPr/>
            <w:r>
              <w:t xml:space="preserve">1.45</w:t>
            </w:r>
          </w:p>
        </w:tc>
        <w:tc>
          <w:tcPr>
            <w:tcW w:w="720" w:type="dxa"/>
          </w:tcPr>
          <w:p>
            <w:pPr/>
            <w:r>
              <w:t xml:space="preserve">.149</w:t>
            </w:r>
          </w:p>
        </w:tc>
      </w:tr>
      <w:tr>
        <w:tc>
          <w:tcPr>
            <w:tcW w:w="2580" w:type="dxa"/>
          </w:tcPr>
          <w:p>
            <w:pPr/>
            <w:r>
              <w:t xml:space="preserve">Teacher education</w:t>
            </w:r>
          </w:p>
        </w:tc>
        <w:tc>
          <w:tcPr>
            <w:tcW w:w="1196" w:type="dxa"/>
          </w:tcPr>
          <w:p>
            <w:pPr/>
            <w:r>
              <w:t xml:space="preserve">5 (27.8)</w:t>
            </w:r>
          </w:p>
        </w:tc>
        <w:tc>
          <w:tcPr>
            <w:tcW w:w="1220" w:type="dxa"/>
          </w:tcPr>
          <w:p>
            <w:pPr/>
            <w:r>
              <w:t xml:space="preserve">14 (40.0)</w:t>
            </w:r>
          </w:p>
        </w:tc>
        <w:tc>
          <w:tcPr>
            <w:tcW w:w="1328" w:type="dxa"/>
          </w:tcPr>
          <w:p>
            <w:pPr/>
            <w:r>
              <w:t xml:space="preserve">20 (24.4)</w:t>
            </w:r>
          </w:p>
        </w:tc>
        <w:tc>
          <w:tcPr>
            <w:tcW w:w="1288" w:type="dxa"/>
          </w:tcPr>
          <w:p>
            <w:pPr/>
            <w:r>
              <w:t xml:space="preserve">39 (28.9)</w:t>
            </w:r>
          </w:p>
        </w:tc>
        <w:tc>
          <w:tcPr>
            <w:tcW w:w="1027" w:type="dxa"/>
          </w:tcPr>
          <w:p>
            <w:pPr/>
            <w:r>
              <w:t xml:space="preserve">−0.92</w:t>
            </w:r>
          </w:p>
        </w:tc>
        <w:tc>
          <w:tcPr>
            <w:tcW w:w="720" w:type="dxa"/>
          </w:tcPr>
          <w:p>
            <w:pPr/>
            <w:r>
              <w:t xml:space="preserve">.356</w:t>
            </w:r>
          </w:p>
        </w:tc>
      </w:tr>
      <w:tr>
        <w:tc>
          <w:tcPr>
            <w:tcW w:w="2580" w:type="dxa"/>
          </w:tcPr>
          <w:p>
            <w:pPr/>
            <w:r>
              <w:rPr>
                <w:b/>
              </w:rPr>
              <w:t xml:space="preserve">Design</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Qualitative</w:t>
            </w:r>
          </w:p>
        </w:tc>
        <w:tc>
          <w:tcPr>
            <w:tcW w:w="1196" w:type="dxa"/>
          </w:tcPr>
          <w:p>
            <w:pPr/>
            <w:r>
              <w:t xml:space="preserve">6 (33.3)</w:t>
            </w:r>
          </w:p>
        </w:tc>
        <w:tc>
          <w:tcPr>
            <w:tcW w:w="1220" w:type="dxa"/>
          </w:tcPr>
          <w:p>
            <w:pPr/>
            <w:r>
              <w:t xml:space="preserve">9 (25.7)</w:t>
            </w:r>
          </w:p>
        </w:tc>
        <w:tc>
          <w:tcPr>
            <w:tcW w:w="1328" w:type="dxa"/>
          </w:tcPr>
          <w:p>
            <w:pPr/>
            <w:r>
              <w:t xml:space="preserve">48 (58.5)</w:t>
            </w:r>
          </w:p>
        </w:tc>
        <w:tc>
          <w:tcPr>
            <w:tcW w:w="1288" w:type="dxa"/>
          </w:tcPr>
          <w:p>
            <w:pPr/>
            <w:r>
              <w:t xml:space="preserve">63 (46.7)</w:t>
            </w:r>
          </w:p>
        </w:tc>
        <w:tc>
          <w:tcPr>
            <w:tcW w:w="1027" w:type="dxa"/>
          </w:tcPr>
          <w:p>
            <w:pPr/>
            <w:r>
              <w:t xml:space="preserve">2.91</w:t>
            </w:r>
          </w:p>
        </w:tc>
        <w:tc>
          <w:tcPr>
            <w:tcW w:w="720" w:type="dxa"/>
          </w:tcPr>
          <w:p>
            <w:pPr/>
            <w:r>
              <w:t xml:space="preserve">.004</w:t>
            </w:r>
          </w:p>
        </w:tc>
      </w:tr>
      <w:tr>
        <w:tc>
          <w:tcPr>
            <w:tcW w:w="2580" w:type="dxa"/>
          </w:tcPr>
          <w:p>
            <w:pPr/>
            <w:r>
              <w:t xml:space="preserve">Quantitative</w:t>
            </w:r>
          </w:p>
        </w:tc>
        <w:tc>
          <w:tcPr>
            <w:tcW w:w="1196" w:type="dxa"/>
          </w:tcPr>
          <w:p>
            <w:pPr/>
            <w:r>
              <w:t xml:space="preserve">1 (5.6)</w:t>
            </w:r>
          </w:p>
        </w:tc>
        <w:tc>
          <w:tcPr>
            <w:tcW w:w="1220" w:type="dxa"/>
          </w:tcPr>
          <w:p>
            <w:pPr/>
            <w:r>
              <w:t xml:space="preserve">7 (20.0)</w:t>
            </w:r>
          </w:p>
        </w:tc>
        <w:tc>
          <w:tcPr>
            <w:tcW w:w="1328" w:type="dxa"/>
          </w:tcPr>
          <w:p>
            <w:pPr/>
            <w:r>
              <w:t xml:space="preserve">23 (28.0)</w:t>
            </w:r>
          </w:p>
        </w:tc>
        <w:tc>
          <w:tcPr>
            <w:tcW w:w="1288" w:type="dxa"/>
          </w:tcPr>
          <w:p>
            <w:pPr/>
            <w:r>
              <w:t xml:space="preserve">31 (23.0)</w:t>
            </w:r>
          </w:p>
        </w:tc>
        <w:tc>
          <w:tcPr>
            <w:tcW w:w="1027" w:type="dxa"/>
          </w:tcPr>
          <w:p>
            <w:pPr/>
            <w:r>
              <w:t xml:space="preserve">2.08</w:t>
            </w:r>
          </w:p>
        </w:tc>
        <w:tc>
          <w:tcPr>
            <w:tcW w:w="720" w:type="dxa"/>
          </w:tcPr>
          <w:p>
            <w:pPr/>
            <w:r>
              <w:t xml:space="preserve">.038</w:t>
            </w:r>
          </w:p>
        </w:tc>
      </w:tr>
      <w:tr>
        <w:tc>
          <w:tcPr>
            <w:tcW w:w="2580" w:type="dxa"/>
          </w:tcPr>
          <w:p>
            <w:pPr/>
            <w:r>
              <w:t xml:space="preserve">Conceptual or theoretical</w:t>
            </w:r>
          </w:p>
        </w:tc>
        <w:tc>
          <w:tcPr>
            <w:tcW w:w="1196" w:type="dxa"/>
          </w:tcPr>
          <w:p>
            <w:pPr/>
            <w:r>
              <w:t xml:space="preserve">3 (16.7)</w:t>
            </w:r>
          </w:p>
        </w:tc>
        <w:tc>
          <w:tcPr>
            <w:tcW w:w="1220" w:type="dxa"/>
          </w:tcPr>
          <w:p>
            <w:pPr/>
            <w:r>
              <w:t xml:space="preserve">6 (17.1)</w:t>
            </w:r>
          </w:p>
        </w:tc>
        <w:tc>
          <w:tcPr>
            <w:tcW w:w="1328" w:type="dxa"/>
          </w:tcPr>
          <w:p>
            <w:pPr/>
            <w:r>
              <w:t xml:space="preserve">18 (22.0)</w:t>
            </w:r>
          </w:p>
        </w:tc>
        <w:tc>
          <w:tcPr>
            <w:tcW w:w="1288" w:type="dxa"/>
          </w:tcPr>
          <w:p>
            <w:pPr/>
            <w:r>
              <w:t xml:space="preserve">27 (20.0)</w:t>
            </w:r>
          </w:p>
        </w:tc>
        <w:tc>
          <w:tcPr>
            <w:tcW w:w="1027" w:type="dxa"/>
          </w:tcPr>
          <w:p>
            <w:pPr/>
            <w:r>
              <w:t xml:space="preserve">0.66</w:t>
            </w:r>
          </w:p>
        </w:tc>
        <w:tc>
          <w:tcPr>
            <w:tcW w:w="720" w:type="dxa"/>
          </w:tcPr>
          <w:p>
            <w:pPr/>
            <w:r>
              <w:t xml:space="preserve">.510</w:t>
            </w:r>
          </w:p>
        </w:tc>
      </w:tr>
      <w:tr>
        <w:tc>
          <w:tcPr>
            <w:tcW w:w="2580" w:type="dxa"/>
          </w:tcPr>
          <w:p>
            <w:pPr/>
            <w:r>
              <w:t xml:space="preserve">Intervention or designed teaching</w:t>
            </w:r>
          </w:p>
        </w:tc>
        <w:tc>
          <w:tcPr>
            <w:tcW w:w="1196" w:type="dxa"/>
          </w:tcPr>
          <w:p>
            <w:pPr/>
            <w:r>
              <w:t xml:space="preserve">4 (22.2)</w:t>
            </w:r>
          </w:p>
        </w:tc>
        <w:tc>
          <w:tcPr>
            <w:tcW w:w="1220" w:type="dxa"/>
          </w:tcPr>
          <w:p>
            <w:pPr/>
            <w:r>
              <w:t xml:space="preserve">9 (25.7)</w:t>
            </w:r>
          </w:p>
        </w:tc>
        <w:tc>
          <w:tcPr>
            <w:tcW w:w="1328" w:type="dxa"/>
          </w:tcPr>
          <w:p>
            <w:pPr/>
            <w:r>
              <w:t xml:space="preserve">13 (15.9)</w:t>
            </w:r>
          </w:p>
        </w:tc>
        <w:tc>
          <w:tcPr>
            <w:tcW w:w="1288" w:type="dxa"/>
          </w:tcPr>
          <w:p>
            <w:pPr/>
            <w:r>
              <w:t xml:space="preserve">26 (19.3)</w:t>
            </w:r>
          </w:p>
        </w:tc>
        <w:tc>
          <w:tcPr>
            <w:tcW w:w="1027" w:type="dxa"/>
          </w:tcPr>
          <w:p>
            <w:pPr/>
            <w:r>
              <w:t xml:space="preserve">−1.01</w:t>
            </w:r>
          </w:p>
        </w:tc>
        <w:tc>
          <w:tcPr>
            <w:tcW w:w="720" w:type="dxa"/>
          </w:tcPr>
          <w:p>
            <w:pPr/>
            <w:r>
              <w:t xml:space="preserve">.312</w:t>
            </w:r>
          </w:p>
        </w:tc>
      </w:tr>
      <w:tr>
        <w:tc>
          <w:tcPr>
            <w:tcW w:w="2580" w:type="dxa"/>
          </w:tcPr>
          <w:p>
            <w:pPr/>
            <w:r>
              <w:t xml:space="preserve">Literature review</w:t>
            </w:r>
          </w:p>
        </w:tc>
        <w:tc>
          <w:tcPr>
            <w:tcW w:w="1196" w:type="dxa"/>
          </w:tcPr>
          <w:p>
            <w:pPr/>
            <w:r>
              <w:t xml:space="preserve">0 (0.0)</w:t>
            </w:r>
          </w:p>
        </w:tc>
        <w:tc>
          <w:tcPr>
            <w:tcW w:w="1220" w:type="dxa"/>
          </w:tcPr>
          <w:p>
            <w:pPr/>
            <w:r>
              <w:t xml:space="preserve">1 (2.9)</w:t>
            </w:r>
          </w:p>
        </w:tc>
        <w:tc>
          <w:tcPr>
            <w:tcW w:w="1328" w:type="dxa"/>
          </w:tcPr>
          <w:p>
            <w:pPr/>
            <w:r>
              <w:t xml:space="preserve">11 (13.4)</w:t>
            </w:r>
          </w:p>
        </w:tc>
        <w:tc>
          <w:tcPr>
            <w:tcW w:w="1288" w:type="dxa"/>
          </w:tcPr>
          <w:p>
            <w:pPr/>
            <w:r>
              <w:t xml:space="preserve">12 (8.9)</w:t>
            </w:r>
          </w:p>
        </w:tc>
        <w:tc>
          <w:tcPr>
            <w:tcW w:w="1027" w:type="dxa"/>
          </w:tcPr>
          <w:p>
            <w:pPr/>
            <w:r>
              <w:t xml:space="preserve">2.24</w:t>
            </w:r>
          </w:p>
        </w:tc>
        <w:tc>
          <w:tcPr>
            <w:tcW w:w="720" w:type="dxa"/>
          </w:tcPr>
          <w:p>
            <w:pPr/>
            <w:r>
              <w:t xml:space="preserve">.025</w:t>
            </w:r>
          </w:p>
        </w:tc>
      </w:tr>
      <w:tr>
        <w:tc>
          <w:tcPr>
            <w:tcW w:w="2580" w:type="dxa"/>
          </w:tcPr>
          <w:p>
            <w:pPr/>
            <w:r>
              <w:rPr>
                <w:b/>
              </w:rPr>
              <w:t xml:space="preserve">Language</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Spanish</w:t>
            </w:r>
          </w:p>
        </w:tc>
        <w:tc>
          <w:tcPr>
            <w:tcW w:w="1196" w:type="dxa"/>
          </w:tcPr>
          <w:p>
            <w:pPr/>
            <w:r>
              <w:t xml:space="preserve">0 (0.0)</w:t>
            </w:r>
          </w:p>
        </w:tc>
        <w:tc>
          <w:tcPr>
            <w:tcW w:w="1220" w:type="dxa"/>
          </w:tcPr>
          <w:p>
            <w:pPr/>
            <w:r>
              <w:t xml:space="preserve">2 (5.7)</w:t>
            </w:r>
          </w:p>
        </w:tc>
        <w:tc>
          <w:tcPr>
            <w:tcW w:w="1328" w:type="dxa"/>
          </w:tcPr>
          <w:p>
            <w:pPr/>
            <w:r>
              <w:t xml:space="preserve">17 (20.7)</w:t>
            </w:r>
          </w:p>
        </w:tc>
        <w:tc>
          <w:tcPr>
            <w:tcW w:w="1288" w:type="dxa"/>
          </w:tcPr>
          <w:p>
            <w:pPr/>
            <w:r>
              <w:t xml:space="preserve">19 (14.1)</w:t>
            </w:r>
          </w:p>
        </w:tc>
        <w:tc>
          <w:tcPr>
            <w:tcW w:w="1027" w:type="dxa"/>
          </w:tcPr>
          <w:p>
            <w:pPr/>
            <w:r>
              <w:t xml:space="preserve">2.75</w:t>
            </w:r>
          </w:p>
        </w:tc>
        <w:tc>
          <w:tcPr>
            <w:tcW w:w="720" w:type="dxa"/>
          </w:tcPr>
          <w:p>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theoretical base of the field changed as the field grew (Table 4). In 2016–2019, nine of the 18 studies drew on media literacy and nine on multiliteracies or the New Literacy Studies, often in combination. That weight owes much to a single journal: 7 of the 18 studies from the period, including 7 of the 9 framed by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r>
              <w:t xml:space="preserve">Tradition</w:t>
            </w:r>
          </w:p>
        </w:tc>
        <w:tc>
          <w:tcPr>
            <w:tcW w:w="1095" w:type="dxa"/>
            <w:shd w:val="clear" w:color="auto" w:fill="F2F2F2"/>
          </w:tcPr>
          <w:p>
            <w:pPr/>
            <w:r>
              <w:t xml:space="preserve">2016–2019 (n = 18)</w:t>
            </w:r>
          </w:p>
        </w:tc>
        <w:tc>
          <w:tcPr>
            <w:tcW w:w="1131" w:type="dxa"/>
            <w:shd w:val="clear" w:color="auto" w:fill="F2F2F2"/>
          </w:tcPr>
          <w:p>
            <w:pPr/>
            <w:r>
              <w:t xml:space="preserve">2020–2023 (n = 35)</w:t>
            </w:r>
          </w:p>
        </w:tc>
        <w:tc>
          <w:tcPr>
            <w:tcW w:w="1185" w:type="dxa"/>
            <w:shd w:val="clear" w:color="auto" w:fill="F2F2F2"/>
          </w:tcPr>
          <w:p>
            <w:pPr/>
            <w:r>
              <w:t xml:space="preserve">2024–2026 (n = 82)</w:t>
            </w:r>
          </w:p>
        </w:tc>
        <w:tc>
          <w:tcPr>
            <w:tcW w:w="1161"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3040" w:type="dxa"/>
          </w:tcPr>
          <w:p>
            <w:pPr/>
            <w:r>
              <w:t xml:space="preserve">Media literacy and educommunication</w:t>
            </w:r>
          </w:p>
        </w:tc>
        <w:tc>
          <w:tcPr>
            <w:tcW w:w="1095" w:type="dxa"/>
          </w:tcPr>
          <w:p>
            <w:pPr/>
            <w:r>
              <w:t xml:space="preserve">9 (50.0)</w:t>
            </w:r>
          </w:p>
        </w:tc>
        <w:tc>
          <w:tcPr>
            <w:tcW w:w="1131" w:type="dxa"/>
          </w:tcPr>
          <w:p>
            <w:pPr/>
            <w:r>
              <w:t xml:space="preserve">5 (14.3)</w:t>
            </w:r>
          </w:p>
        </w:tc>
        <w:tc>
          <w:tcPr>
            <w:tcW w:w="1185" w:type="dxa"/>
          </w:tcPr>
          <w:p>
            <w:pPr/>
            <w:r>
              <w:t xml:space="preserve">11 (13.4)</w:t>
            </w:r>
          </w:p>
        </w:tc>
        <w:tc>
          <w:tcPr>
            <w:tcW w:w="1161" w:type="dxa"/>
          </w:tcPr>
          <w:p>
            <w:pPr/>
            <w:r>
              <w:t xml:space="preserve">25 (18.5)</w:t>
            </w:r>
          </w:p>
        </w:tc>
        <w:tc>
          <w:tcPr>
            <w:tcW w:w="1027" w:type="dxa"/>
          </w:tcPr>
          <w:p>
            <w:pPr/>
            <w:r>
              <w:t xml:space="preserve">−3.04</w:t>
            </w:r>
          </w:p>
        </w:tc>
        <w:tc>
          <w:tcPr>
            <w:tcW w:w="720" w:type="dxa"/>
          </w:tcPr>
          <w:p>
            <w:pPr/>
            <w:r>
              <w:t xml:space="preserve">.002</w:t>
            </w:r>
          </w:p>
        </w:tc>
      </w:tr>
      <w:tr>
        <w:tc>
          <w:tcPr>
            <w:tcW w:w="3040" w:type="dxa"/>
          </w:tcPr>
          <w:p>
            <w:pPr/>
            <w:r>
              <w:t xml:space="preserve">Multiliteracies and New Literacy Studies</w:t>
            </w:r>
          </w:p>
        </w:tc>
        <w:tc>
          <w:tcPr>
            <w:tcW w:w="1095" w:type="dxa"/>
          </w:tcPr>
          <w:p>
            <w:pPr/>
            <w:r>
              <w:t xml:space="preserve">9 (50.0)</w:t>
            </w:r>
          </w:p>
        </w:tc>
        <w:tc>
          <w:tcPr>
            <w:tcW w:w="1131" w:type="dxa"/>
          </w:tcPr>
          <w:p>
            <w:pPr/>
            <w:r>
              <w:t xml:space="preserve">6 (17.1)</w:t>
            </w:r>
          </w:p>
        </w:tc>
        <w:tc>
          <w:tcPr>
            <w:tcW w:w="1185" w:type="dxa"/>
          </w:tcPr>
          <w:p>
            <w:pPr/>
            <w:r>
              <w:t xml:space="preserve">15 (18.3)</w:t>
            </w:r>
          </w:p>
        </w:tc>
        <w:tc>
          <w:tcPr>
            <w:tcW w:w="1161" w:type="dxa"/>
          </w:tcPr>
          <w:p>
            <w:pPr/>
            <w:r>
              <w:t xml:space="preserve">30 (22.2)</w:t>
            </w:r>
          </w:p>
        </w:tc>
        <w:tc>
          <w:tcPr>
            <w:tcW w:w="1027" w:type="dxa"/>
          </w:tcPr>
          <w:p>
            <w:pPr/>
            <w:r>
              <w:t xml:space="preserve">−2.37</w:t>
            </w:r>
          </w:p>
        </w:tc>
        <w:tc>
          <w:tcPr>
            <w:tcW w:w="720" w:type="dxa"/>
          </w:tcPr>
          <w:p>
            <w:pPr/>
            <w:r>
              <w:t xml:space="preserve">.018</w:t>
            </w:r>
          </w:p>
        </w:tc>
      </w:tr>
      <w:tr>
        <w:tc>
          <w:tcPr>
            <w:tcW w:w="3040" w:type="dxa"/>
          </w:tcPr>
          <w:p>
            <w:pPr/>
            <w:r>
              <w:t xml:space="preserve">Digital citizenship</w:t>
            </w:r>
          </w:p>
        </w:tc>
        <w:tc>
          <w:tcPr>
            <w:tcW w:w="1095" w:type="dxa"/>
          </w:tcPr>
          <w:p>
            <w:pPr/>
            <w:r>
              <w:t xml:space="preserve">1 (5.6)</w:t>
            </w:r>
          </w:p>
        </w:tc>
        <w:tc>
          <w:tcPr>
            <w:tcW w:w="1131" w:type="dxa"/>
          </w:tcPr>
          <w:p>
            <w:pPr/>
            <w:r>
              <w:t xml:space="preserve">12 (34.3)</w:t>
            </w:r>
          </w:p>
        </w:tc>
        <w:tc>
          <w:tcPr>
            <w:tcW w:w="1185" w:type="dxa"/>
          </w:tcPr>
          <w:p>
            <w:pPr/>
            <w:r>
              <w:t xml:space="preserve">8 (9.8)</w:t>
            </w:r>
          </w:p>
        </w:tc>
        <w:tc>
          <w:tcPr>
            <w:tcW w:w="1161" w:type="dxa"/>
          </w:tcPr>
          <w:p>
            <w:pPr/>
            <w:r>
              <w:t xml:space="preserve">21 (15.6)</w:t>
            </w:r>
          </w:p>
        </w:tc>
        <w:tc>
          <w:tcPr>
            <w:tcW w:w="1027" w:type="dxa"/>
          </w:tcPr>
          <w:p>
            <w:pPr/>
            <w:r>
              <w:t xml:space="preserve">−0.98</w:t>
            </w:r>
          </w:p>
        </w:tc>
        <w:tc>
          <w:tcPr>
            <w:tcW w:w="720" w:type="dxa"/>
          </w:tcPr>
          <w:p>
            <w:pPr/>
            <w:r>
              <w:t xml:space="preserve">.329</w:t>
            </w:r>
          </w:p>
        </w:tc>
      </w:tr>
      <w:tr>
        <w:tc>
          <w:tcPr>
            <w:tcW w:w="3040" w:type="dxa"/>
          </w:tcPr>
          <w:p>
            <w:pPr/>
            <w:r>
              <w:t xml:space="preserve">Race, gender and decolonial perspectives</w:t>
            </w:r>
          </w:p>
        </w:tc>
        <w:tc>
          <w:tcPr>
            <w:tcW w:w="1095" w:type="dxa"/>
          </w:tcPr>
          <w:p>
            <w:pPr/>
            <w:r>
              <w:t xml:space="preserve">2 (11.1)</w:t>
            </w:r>
          </w:p>
        </w:tc>
        <w:tc>
          <w:tcPr>
            <w:tcW w:w="1131" w:type="dxa"/>
          </w:tcPr>
          <w:p>
            <w:pPr/>
            <w:r>
              <w:t xml:space="preserve">4 (11.4)</w:t>
            </w:r>
          </w:p>
        </w:tc>
        <w:tc>
          <w:tcPr>
            <w:tcW w:w="1185" w:type="dxa"/>
          </w:tcPr>
          <w:p>
            <w:pPr/>
            <w:r>
              <w:t xml:space="preserve">14 (17.1)</w:t>
            </w:r>
          </w:p>
        </w:tc>
        <w:tc>
          <w:tcPr>
            <w:tcW w:w="1161" w:type="dxa"/>
          </w:tcPr>
          <w:p>
            <w:pPr/>
            <w:r>
              <w:t xml:space="preserve">20 (14.8)</w:t>
            </w:r>
          </w:p>
        </w:tc>
        <w:tc>
          <w:tcPr>
            <w:tcW w:w="1027" w:type="dxa"/>
          </w:tcPr>
          <w:p>
            <w:pPr/>
            <w:r>
              <w:t xml:space="preserve">0.85</w:t>
            </w:r>
          </w:p>
        </w:tc>
        <w:tc>
          <w:tcPr>
            <w:tcW w:w="720" w:type="dxa"/>
          </w:tcPr>
          <w:p>
            <w:pPr/>
            <w:r>
              <w:t xml:space="preserve">.396</w:t>
            </w:r>
          </w:p>
        </w:tc>
      </w:tr>
      <w:tr>
        <w:tc>
          <w:tcPr>
            <w:tcW w:w="3040" w:type="dxa"/>
          </w:tcPr>
          <w:p>
            <w:pPr/>
            <w:r>
              <w:t xml:space="preserve">Critical pedagogy (Freirean)</w:t>
            </w:r>
          </w:p>
        </w:tc>
        <w:tc>
          <w:tcPr>
            <w:tcW w:w="1095" w:type="dxa"/>
          </w:tcPr>
          <w:p>
            <w:pPr/>
            <w:r>
              <w:t xml:space="preserve">1 (5.6)</w:t>
            </w:r>
          </w:p>
        </w:tc>
        <w:tc>
          <w:tcPr>
            <w:tcW w:w="1131" w:type="dxa"/>
          </w:tcPr>
          <w:p>
            <w:pPr/>
            <w:r>
              <w:t xml:space="preserve">3 (8.6)</w:t>
            </w:r>
          </w:p>
        </w:tc>
        <w:tc>
          <w:tcPr>
            <w:tcW w:w="1185" w:type="dxa"/>
          </w:tcPr>
          <w:p>
            <w:pPr/>
            <w:r>
              <w:t xml:space="preserve">12 (14.6)</w:t>
            </w:r>
          </w:p>
        </w:tc>
        <w:tc>
          <w:tcPr>
            <w:tcW w:w="1161" w:type="dxa"/>
          </w:tcPr>
          <w:p>
            <w:pPr/>
            <w:r>
              <w:t xml:space="preserve">16 (11.9)</w:t>
            </w:r>
          </w:p>
        </w:tc>
        <w:tc>
          <w:tcPr>
            <w:tcW w:w="1027" w:type="dxa"/>
          </w:tcPr>
          <w:p>
            <w:pPr/>
            <w:r>
              <w:t xml:space="preserve">1.27</w:t>
            </w:r>
          </w:p>
        </w:tc>
        <w:tc>
          <w:tcPr>
            <w:tcW w:w="720" w:type="dxa"/>
          </w:tcPr>
          <w:p>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[second author],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[second author], 2019), use social media as a site for multimodal critical digital literacy in higher education (Talib, 2018), or follow how adolescents negotiate privacy on Instagram (González-Villa &amp; [second author], 2026). Work on platforms and data includes critical data literacy for academic development (Atenas et al., 2023), the experiences of primary school pupils in platformised schools (Moreno-González et al., 2026), algorithm-aware writing pedagogies in English for academic purposes (Wang &amp; [second author],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[second author], 2026) and bias in AI-supported lesson planning (Zagami, 2026), or propose frameworks and scales for critical AI literacy (Bozkurt et al., 2026; Stewart &amp; [second author],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r>
              <w:t xml:space="preserve">Category</w:t>
            </w:r>
          </w:p>
        </w:tc>
        <w:tc>
          <w:tcPr>
            <w:tcW w:w="1305" w:type="dxa"/>
            <w:shd w:val="clear" w:color="auto" w:fill="F2F2F2"/>
          </w:tcPr>
          <w:p>
            <w:pPr/>
            <w:r>
              <w:t xml:space="preserve">Dictionary</w:t>
            </w:r>
          </w:p>
        </w:tc>
        <w:tc>
          <w:tcPr>
            <w:tcW w:w="1418" w:type="dxa"/>
            <w:shd w:val="clear" w:color="auto" w:fill="F2F2F2"/>
          </w:tcPr>
          <w:p>
            <w:pPr/>
            <w:r>
              <w:t xml:space="preserve">2016–2019 (n = 18)</w:t>
            </w:r>
          </w:p>
        </w:tc>
        <w:tc>
          <w:tcPr>
            <w:tcW w:w="1441" w:type="dxa"/>
            <w:shd w:val="clear" w:color="auto" w:fill="F2F2F2"/>
          </w:tcPr>
          <w:p>
            <w:pPr/>
            <w:r>
              <w:t xml:space="preserve">2020–2023 (n = 35)</w:t>
            </w:r>
          </w:p>
        </w:tc>
        <w:tc>
          <w:tcPr>
            <w:tcW w:w="1578" w:type="dxa"/>
            <w:shd w:val="clear" w:color="auto" w:fill="F2F2F2"/>
          </w:tcPr>
          <w:p>
            <w:pPr/>
            <w:r>
              <w:t xml:space="preserve">2024–2026 (n = 82)</w:t>
            </w:r>
          </w:p>
        </w:tc>
        <w:tc>
          <w:tcPr>
            <w:tcW w:w="1027" w:type="dxa"/>
            <w:shd w:val="clear" w:color="auto" w:fill="F2F2F2"/>
          </w:tcPr>
          <w:p>
            <w:pPr/>
            <w:r>
              <w:t xml:space="preserve">Trend </w:t>
            </w:r>
            <w:r>
              <w:rPr>
                <w:i/>
              </w:rPr>
              <w:t xml:space="preserve">z</w:t>
            </w:r>
          </w:p>
        </w:tc>
        <w:tc>
          <w:tcPr>
            <w:tcW w:w="870" w:type="dxa"/>
            <w:shd w:val="clear" w:color="auto" w:fill="F2F2F2"/>
          </w:tcPr>
          <w:p>
            <w:pPr/>
            <w:r>
              <w:rPr>
                <w:i/>
              </w:rPr>
              <w:t xml:space="preserve">p</w:t>
            </w:r>
          </w:p>
        </w:tc>
      </w:tr>
      <w:tr>
        <w:tc>
          <w:tcPr>
            <w:tcW w:w="1720" w:type="dxa"/>
          </w:tcPr>
          <w:p>
            <w:pPr/>
            <w:r>
              <w:t xml:space="preserve">Artificial intelligence</w:t>
            </w:r>
          </w:p>
        </w:tc>
        <w:tc>
          <w:tcPr>
            <w:tcW w:w="1305" w:type="dxa"/>
          </w:tcPr>
          <w:p>
            <w:pPr/>
            <w:r>
              <w:t xml:space="preserve">Broad</w:t>
            </w:r>
          </w:p>
        </w:tc>
        <w:tc>
          <w:tcPr>
            <w:tcW w:w="1418" w:type="dxa"/>
          </w:tcPr>
          <w:p>
            <w:pPr/>
            <w:r>
              <w:t xml:space="preserve">0 (0.0)</w:t>
            </w:r>
          </w:p>
        </w:tc>
        <w:tc>
          <w:tcPr>
            <w:tcW w:w="1441" w:type="dxa"/>
          </w:tcPr>
          <w:p>
            <w:pPr/>
            <w:r>
              <w:t xml:space="preserve">2 (5.7)</w:t>
            </w:r>
          </w:p>
        </w:tc>
        <w:tc>
          <w:tcPr>
            <w:tcW w:w="1578" w:type="dxa"/>
          </w:tcPr>
          <w:p>
            <w:pPr/>
            <w:r>
              <w:t xml:space="preserve">35 (42.7)</w:t>
            </w:r>
          </w:p>
        </w:tc>
        <w:tc>
          <w:tcPr>
            <w:tcW w:w="1027" w:type="dxa"/>
          </w:tcPr>
          <w:p>
            <w:pPr/>
            <w:r>
              <w:t xml:space="preserve">4.69</w:t>
            </w:r>
          </w:p>
        </w:tc>
        <w:tc>
          <w:tcPr>
            <w:tcW w:w="870" w:type="dxa"/>
          </w:tcPr>
          <w:p>
            <w:pPr/>
            <w:r>
              <w:t xml:space="preserve">&lt; .001</w:t>
            </w:r>
          </w:p>
        </w:tc>
      </w:tr>
      <w:tr>
        <w:tc>
          <w:tcPr>
            <w:tcW w:w="1720" w:type="dxa"/>
          </w:tcPr>
          <w:p>
            <w:pPr/>
          </w:p>
        </w:tc>
        <w:tc>
          <w:tcPr>
            <w:tcW w:w="1305" w:type="dxa"/>
          </w:tcPr>
          <w:p>
            <w:pPr/>
            <w:r>
              <w:t xml:space="preserve">Strict</w:t>
            </w:r>
          </w:p>
        </w:tc>
        <w:tc>
          <w:tcPr>
            <w:tcW w:w="1418" w:type="dxa"/>
          </w:tcPr>
          <w:p>
            <w:pPr/>
            <w:r>
              <w:t xml:space="preserve">0 (0.0)</w:t>
            </w:r>
          </w:p>
        </w:tc>
        <w:tc>
          <w:tcPr>
            <w:tcW w:w="1441" w:type="dxa"/>
          </w:tcPr>
          <w:p>
            <w:pPr/>
            <w:r>
              <w:t xml:space="preserve">0 (0.0)</w:t>
            </w:r>
          </w:p>
        </w:tc>
        <w:tc>
          <w:tcPr>
            <w:tcW w:w="1578" w:type="dxa"/>
          </w:tcPr>
          <w:p>
            <w:pPr/>
            <w:r>
              <w:t xml:space="preserve">22 (26.8)</w:t>
            </w:r>
          </w:p>
        </w:tc>
        <w:tc>
          <w:tcPr>
            <w:tcW w:w="1027" w:type="dxa"/>
          </w:tcPr>
          <w:p>
            <w:pPr/>
            <w:r>
              <w:t xml:space="preserve">3.75</w:t>
            </w:r>
          </w:p>
        </w:tc>
        <w:tc>
          <w:tcPr>
            <w:tcW w:w="870" w:type="dxa"/>
          </w:tcPr>
          <w:p>
            <w:pPr/>
            <w:r>
              <w:t xml:space="preserve">&lt; .001</w:t>
            </w:r>
          </w:p>
        </w:tc>
      </w:tr>
      <w:tr>
        <w:tc>
          <w:tcPr>
            <w:tcW w:w="1720" w:type="dxa"/>
          </w:tcPr>
          <w:p>
            <w:pPr/>
            <w:r>
              <w:t xml:space="preserve">Algorithms, data and platforms</w:t>
            </w:r>
          </w:p>
        </w:tc>
        <w:tc>
          <w:tcPr>
            <w:tcW w:w="1305" w:type="dxa"/>
          </w:tcPr>
          <w:p>
            <w:pPr/>
            <w:r>
              <w:t xml:space="preserve">Broad</w:t>
            </w:r>
          </w:p>
        </w:tc>
        <w:tc>
          <w:tcPr>
            <w:tcW w:w="1418" w:type="dxa"/>
          </w:tcPr>
          <w:p>
            <w:pPr/>
            <w:r>
              <w:t xml:space="preserve">1 (5.6)</w:t>
            </w:r>
          </w:p>
        </w:tc>
        <w:tc>
          <w:tcPr>
            <w:tcW w:w="1441" w:type="dxa"/>
          </w:tcPr>
          <w:p>
            <w:pPr/>
            <w:r>
              <w:t xml:space="preserve">6 (17.1)</w:t>
            </w:r>
          </w:p>
        </w:tc>
        <w:tc>
          <w:tcPr>
            <w:tcW w:w="1578" w:type="dxa"/>
          </w:tcPr>
          <w:p>
            <w:pPr/>
            <w:r>
              <w:t xml:space="preserve">26 (31.7)</w:t>
            </w:r>
          </w:p>
        </w:tc>
        <w:tc>
          <w:tcPr>
            <w:tcW w:w="1027" w:type="dxa"/>
          </w:tcPr>
          <w:p>
            <w:pPr/>
            <w:r>
              <w:t xml:space="preserve">2.61</w:t>
            </w:r>
          </w:p>
        </w:tc>
        <w:tc>
          <w:tcPr>
            <w:tcW w:w="870" w:type="dxa"/>
          </w:tcPr>
          <w:p>
            <w:pPr/>
            <w:r>
              <w:t xml:space="preserve">.009</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26 (31.7)</w:t>
            </w:r>
          </w:p>
        </w:tc>
        <w:tc>
          <w:tcPr>
            <w:tcW w:w="1027" w:type="dxa"/>
          </w:tcPr>
          <w:p>
            <w:pPr/>
            <w:r>
              <w:t xml:space="preserve">3.11</w:t>
            </w:r>
          </w:p>
        </w:tc>
        <w:tc>
          <w:tcPr>
            <w:tcW w:w="870" w:type="dxa"/>
          </w:tcPr>
          <w:p>
            <w:pPr/>
            <w:r>
              <w:t xml:space="preserve">.002</w:t>
            </w:r>
          </w:p>
        </w:tc>
      </w:tr>
      <w:tr>
        <w:tc>
          <w:tcPr>
            <w:tcW w:w="1720" w:type="dxa"/>
          </w:tcPr>
          <w:p>
            <w:pPr/>
            <w:r>
              <w:t xml:space="preserve">Social media</w:t>
            </w:r>
          </w:p>
        </w:tc>
        <w:tc>
          <w:tcPr>
            <w:tcW w:w="1305" w:type="dxa"/>
          </w:tcPr>
          <w:p>
            <w:pPr/>
            <w:r>
              <w:t xml:space="preserve">Broad</w:t>
            </w:r>
          </w:p>
        </w:tc>
        <w:tc>
          <w:tcPr>
            <w:tcW w:w="1418" w:type="dxa"/>
          </w:tcPr>
          <w:p>
            <w:pPr/>
            <w:r>
              <w:t xml:space="preserve">4 (22.2)</w:t>
            </w:r>
          </w:p>
        </w:tc>
        <w:tc>
          <w:tcPr>
            <w:tcW w:w="1441" w:type="dxa"/>
          </w:tcPr>
          <w:p>
            <w:pPr/>
            <w:r>
              <w:t xml:space="preserve">6 (17.1)</w:t>
            </w:r>
          </w:p>
        </w:tc>
        <w:tc>
          <w:tcPr>
            <w:tcW w:w="1578" w:type="dxa"/>
          </w:tcPr>
          <w:p>
            <w:pPr/>
            <w:r>
              <w:t xml:space="preserve">17 (20.7)</w:t>
            </w:r>
          </w:p>
        </w:tc>
        <w:tc>
          <w:tcPr>
            <w:tcW w:w="1027" w:type="dxa"/>
          </w:tcPr>
          <w:p>
            <w:pPr/>
            <w:r>
              <w:t xml:space="preserve">0.06</w:t>
            </w:r>
          </w:p>
        </w:tc>
        <w:tc>
          <w:tcPr>
            <w:tcW w:w="870" w:type="dxa"/>
          </w:tcPr>
          <w:p>
            <w:pPr/>
            <w:r>
              <w:t xml:space="preserve">.952</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2 (5.7)</w:t>
            </w:r>
          </w:p>
        </w:tc>
        <w:tc>
          <w:tcPr>
            <w:tcW w:w="1578" w:type="dxa"/>
          </w:tcPr>
          <w:p>
            <w:pPr/>
            <w:r>
              <w:t xml:space="preserve">12 (14.6)</w:t>
            </w:r>
          </w:p>
        </w:tc>
        <w:tc>
          <w:tcPr>
            <w:tcW w:w="1027" w:type="dxa"/>
          </w:tcPr>
          <w:p>
            <w:pPr/>
            <w:r>
              <w:t xml:space="preserve">−0.19</w:t>
            </w:r>
          </w:p>
        </w:tc>
        <w:tc>
          <w:tcPr>
            <w:tcW w:w="870" w:type="dxa"/>
          </w:tcPr>
          <w:p>
            <w:pPr/>
            <w:r>
              <w:t xml:space="preserve">.851</w:t>
            </w:r>
          </w:p>
        </w:tc>
      </w:tr>
      <w:tr>
        <w:tc>
          <w:tcPr>
            <w:tcW w:w="1720" w:type="dxa"/>
          </w:tcPr>
          <w:p>
            <w:pPr/>
            <w:r>
              <w:t xml:space="preserve">Early childhood and primary</w:t>
            </w:r>
          </w:p>
        </w:tc>
        <w:tc>
          <w:tcPr>
            <w:tcW w:w="1305" w:type="dxa"/>
          </w:tcPr>
          <w:p>
            <w:pPr/>
            <w:r>
              <w:t xml:space="preserve">Broad</w:t>
            </w:r>
          </w:p>
        </w:tc>
        <w:tc>
          <w:tcPr>
            <w:tcW w:w="1418" w:type="dxa"/>
          </w:tcPr>
          <w:p>
            <w:pPr/>
            <w:r>
              <w:t xml:space="preserve">2 (11.1)</w:t>
            </w:r>
          </w:p>
        </w:tc>
        <w:tc>
          <w:tcPr>
            <w:tcW w:w="1441" w:type="dxa"/>
          </w:tcPr>
          <w:p>
            <w:pPr/>
            <w:r>
              <w:t xml:space="preserve">3 (8.6)</w:t>
            </w:r>
          </w:p>
        </w:tc>
        <w:tc>
          <w:tcPr>
            <w:tcW w:w="1578" w:type="dxa"/>
          </w:tcPr>
          <w:p>
            <w:pPr/>
            <w:r>
              <w:t xml:space="preserve">5 (6.1)</w:t>
            </w:r>
          </w:p>
        </w:tc>
        <w:tc>
          <w:tcPr>
            <w:tcW w:w="1027" w:type="dxa"/>
          </w:tcPr>
          <w:p>
            <w:pPr/>
            <w:r>
              <w:t xml:space="preserve">−0.80</w:t>
            </w:r>
          </w:p>
        </w:tc>
        <w:tc>
          <w:tcPr>
            <w:tcW w:w="870" w:type="dxa"/>
          </w:tcPr>
          <w:p>
            <w:pPr/>
            <w:r>
              <w:t xml:space="preserve">.426</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3 (3.7)</w:t>
            </w:r>
          </w:p>
        </w:tc>
        <w:tc>
          <w:tcPr>
            <w:tcW w:w="1027" w:type="dxa"/>
          </w:tcPr>
          <w:p>
            <w:pPr/>
            <w:r>
              <w:t xml:space="preserve">−0.71</w:t>
            </w:r>
          </w:p>
        </w:tc>
        <w:tc>
          <w:tcPr>
            <w:tcW w:w="870" w:type="dxa"/>
          </w:tcPr>
          <w:p>
            <w:pPr/>
            <w:r>
              <w:t xml:space="preserve">.476</w:t>
            </w:r>
          </w:p>
        </w:tc>
      </w:tr>
      <w:tr>
        <w:tc>
          <w:tcPr>
            <w:tcW w:w="1720" w:type="dxa"/>
          </w:tcPr>
          <w:p>
            <w:pPr/>
            <w:r>
              <w:t xml:space="preserve">Secondary</w:t>
            </w:r>
          </w:p>
        </w:tc>
        <w:tc>
          <w:tcPr>
            <w:tcW w:w="1305" w:type="dxa"/>
          </w:tcPr>
          <w:p>
            <w:pPr/>
            <w:r>
              <w:t xml:space="preserve">Broad</w:t>
            </w:r>
          </w:p>
        </w:tc>
        <w:tc>
          <w:tcPr>
            <w:tcW w:w="1418" w:type="dxa"/>
          </w:tcPr>
          <w:p>
            <w:pPr/>
            <w:r>
              <w:t xml:space="preserve">8 (44.4)</w:t>
            </w:r>
          </w:p>
        </w:tc>
        <w:tc>
          <w:tcPr>
            <w:tcW w:w="1441" w:type="dxa"/>
          </w:tcPr>
          <w:p>
            <w:pPr/>
            <w:r>
              <w:t xml:space="preserve">7 (20.0)</w:t>
            </w:r>
          </w:p>
        </w:tc>
        <w:tc>
          <w:tcPr>
            <w:tcW w:w="1578" w:type="dxa"/>
          </w:tcPr>
          <w:p>
            <w:pPr/>
            <w:r>
              <w:t xml:space="preserve">14 (17.1)</w:t>
            </w:r>
          </w:p>
        </w:tc>
        <w:tc>
          <w:tcPr>
            <w:tcW w:w="1027" w:type="dxa"/>
          </w:tcPr>
          <w:p>
            <w:pPr/>
            <w:r>
              <w:t xml:space="preserve">−2.26</w:t>
            </w:r>
          </w:p>
        </w:tc>
        <w:tc>
          <w:tcPr>
            <w:tcW w:w="870" w:type="dxa"/>
          </w:tcPr>
          <w:p>
            <w:pPr/>
            <w:r>
              <w:t xml:space="preserve">.024</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7 (20.0)</w:t>
            </w:r>
          </w:p>
        </w:tc>
        <w:tc>
          <w:tcPr>
            <w:tcW w:w="1578" w:type="dxa"/>
          </w:tcPr>
          <w:p>
            <w:pPr/>
            <w:r>
              <w:t xml:space="preserve">8 (9.8)</w:t>
            </w:r>
          </w:p>
        </w:tc>
        <w:tc>
          <w:tcPr>
            <w:tcW w:w="1027" w:type="dxa"/>
          </w:tcPr>
          <w:p>
            <w:pPr/>
            <w:r>
              <w:t xml:space="preserve">−0.22</w:t>
            </w:r>
          </w:p>
        </w:tc>
        <w:tc>
          <w:tcPr>
            <w:tcW w:w="870" w:type="dxa"/>
          </w:tcPr>
          <w:p>
            <w:pPr/>
            <w:r>
              <w:t xml:space="preserve">.828</w:t>
            </w:r>
          </w:p>
        </w:tc>
      </w:tr>
      <w:tr>
        <w:tc>
          <w:tcPr>
            <w:tcW w:w="1720" w:type="dxa"/>
          </w:tcPr>
          <w:p>
            <w:pPr/>
            <w:r>
              <w:t xml:space="preserve">Higher education</w:t>
            </w:r>
          </w:p>
        </w:tc>
        <w:tc>
          <w:tcPr>
            <w:tcW w:w="1305" w:type="dxa"/>
          </w:tcPr>
          <w:p>
            <w:pPr/>
            <w:r>
              <w:t xml:space="preserve">Broad</w:t>
            </w:r>
          </w:p>
        </w:tc>
        <w:tc>
          <w:tcPr>
            <w:tcW w:w="1418" w:type="dxa"/>
          </w:tcPr>
          <w:p>
            <w:pPr/>
            <w:r>
              <w:t xml:space="preserve">6 (33.3)</w:t>
            </w:r>
          </w:p>
        </w:tc>
        <w:tc>
          <w:tcPr>
            <w:tcW w:w="1441" w:type="dxa"/>
          </w:tcPr>
          <w:p>
            <w:pPr/>
            <w:r>
              <w:t xml:space="preserve">11 (31.4)</w:t>
            </w:r>
          </w:p>
        </w:tc>
        <w:tc>
          <w:tcPr>
            <w:tcW w:w="1578" w:type="dxa"/>
          </w:tcPr>
          <w:p>
            <w:pPr/>
            <w:r>
              <w:t xml:space="preserve">38 (46.3)</w:t>
            </w:r>
          </w:p>
        </w:tc>
        <w:tc>
          <w:tcPr>
            <w:tcW w:w="1027" w:type="dxa"/>
          </w:tcPr>
          <w:p>
            <w:pPr/>
            <w:r>
              <w:t xml:space="preserve">1.45</w:t>
            </w:r>
          </w:p>
        </w:tc>
        <w:tc>
          <w:tcPr>
            <w:tcW w:w="870" w:type="dxa"/>
          </w:tcPr>
          <w:p>
            <w:pPr/>
            <w:r>
              <w:t xml:space="preserve">.149</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9 (25.7)</w:t>
            </w:r>
          </w:p>
        </w:tc>
        <w:tc>
          <w:tcPr>
            <w:tcW w:w="1578" w:type="dxa"/>
          </w:tcPr>
          <w:p>
            <w:pPr/>
            <w:r>
              <w:t xml:space="preserve">28 (34.1)</w:t>
            </w:r>
          </w:p>
        </w:tc>
        <w:tc>
          <w:tcPr>
            <w:tcW w:w="1027" w:type="dxa"/>
          </w:tcPr>
          <w:p>
            <w:pPr/>
            <w:r>
              <w:t xml:space="preserve">1.19</w:t>
            </w:r>
          </w:p>
        </w:tc>
        <w:tc>
          <w:tcPr>
            <w:tcW w:w="870" w:type="dxa"/>
          </w:tcPr>
          <w:p>
            <w:pPr/>
            <w:r>
              <w:t xml:space="preserve">.235</w:t>
            </w:r>
          </w:p>
        </w:tc>
      </w:tr>
      <w:tr>
        <w:tc>
          <w:tcPr>
            <w:tcW w:w="1720" w:type="dxa"/>
          </w:tcPr>
          <w:p>
            <w:pPr/>
            <w:r>
              <w:t xml:space="preserve">Teacher education</w:t>
            </w:r>
          </w:p>
        </w:tc>
        <w:tc>
          <w:tcPr>
            <w:tcW w:w="1305" w:type="dxa"/>
          </w:tcPr>
          <w:p>
            <w:pPr/>
            <w:r>
              <w:t xml:space="preserve">Broad</w:t>
            </w:r>
          </w:p>
        </w:tc>
        <w:tc>
          <w:tcPr>
            <w:tcW w:w="1418" w:type="dxa"/>
          </w:tcPr>
          <w:p>
            <w:pPr/>
            <w:r>
              <w:t xml:space="preserve">5 (27.8)</w:t>
            </w:r>
          </w:p>
        </w:tc>
        <w:tc>
          <w:tcPr>
            <w:tcW w:w="1441" w:type="dxa"/>
          </w:tcPr>
          <w:p>
            <w:pPr/>
            <w:r>
              <w:t xml:space="preserve">14 (40.0)</w:t>
            </w:r>
          </w:p>
        </w:tc>
        <w:tc>
          <w:tcPr>
            <w:tcW w:w="1578" w:type="dxa"/>
          </w:tcPr>
          <w:p>
            <w:pPr/>
            <w:r>
              <w:t xml:space="preserve">20 (24.4)</w:t>
            </w:r>
          </w:p>
        </w:tc>
        <w:tc>
          <w:tcPr>
            <w:tcW w:w="1027" w:type="dxa"/>
          </w:tcPr>
          <w:p>
            <w:pPr/>
            <w:r>
              <w:t xml:space="preserve">−0.92</w:t>
            </w:r>
          </w:p>
        </w:tc>
        <w:tc>
          <w:tcPr>
            <w:tcW w:w="870" w:type="dxa"/>
          </w:tcPr>
          <w:p>
            <w:pPr/>
            <w:r>
              <w:t xml:space="preserve">.356</w:t>
            </w:r>
          </w:p>
        </w:tc>
      </w:tr>
      <w:tr>
        <w:tc>
          <w:tcPr>
            <w:tcW w:w="1720" w:type="dxa"/>
          </w:tcPr>
          <w:p>
            <w:pPr/>
          </w:p>
        </w:tc>
        <w:tc>
          <w:tcPr>
            <w:tcW w:w="1305" w:type="dxa"/>
          </w:tcPr>
          <w:p>
            <w:pPr/>
            <w:r>
              <w:t xml:space="preserve">Strict</w:t>
            </w:r>
          </w:p>
        </w:tc>
        <w:tc>
          <w:tcPr>
            <w:tcW w:w="1418" w:type="dxa"/>
          </w:tcPr>
          <w:p>
            <w:pPr/>
            <w:r>
              <w:t xml:space="preserve">5 (27.8)</w:t>
            </w:r>
          </w:p>
        </w:tc>
        <w:tc>
          <w:tcPr>
            <w:tcW w:w="1441" w:type="dxa"/>
          </w:tcPr>
          <w:p>
            <w:pPr/>
            <w:r>
              <w:t xml:space="preserve">9 (25.7)</w:t>
            </w:r>
          </w:p>
        </w:tc>
        <w:tc>
          <w:tcPr>
            <w:tcW w:w="1578" w:type="dxa"/>
          </w:tcPr>
          <w:p>
            <w:pPr/>
            <w:r>
              <w:t xml:space="preserve">13 (15.9)</w:t>
            </w:r>
          </w:p>
        </w:tc>
        <w:tc>
          <w:tcPr>
            <w:tcW w:w="1027" w:type="dxa"/>
          </w:tcPr>
          <w:p>
            <w:pPr/>
            <w:r>
              <w:t xml:space="preserve">−1.44</w:t>
            </w:r>
          </w:p>
        </w:tc>
        <w:tc>
          <w:tcPr>
            <w:tcW w:w="870" w:type="dxa"/>
          </w:tcPr>
          <w:p>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r>
              <w:t xml:space="preserve">Practice</w:t>
            </w:r>
          </w:p>
        </w:tc>
        <w:tc>
          <w:tcPr>
            <w:tcW w:w="3002" w:type="dxa"/>
            <w:shd w:val="clear" w:color="auto" w:fill="F2F2F2"/>
          </w:tcPr>
          <w:p>
            <w:pPr/>
            <w:r>
              <w:t xml:space="preserve">What learners do</w:t>
            </w:r>
          </w:p>
        </w:tc>
        <w:tc>
          <w:tcPr>
            <w:tcW w:w="4920" w:type="dxa"/>
            <w:shd w:val="clear" w:color="auto" w:fill="F2F2F2"/>
          </w:tcPr>
          <w:p>
            <w:pPr/>
            <w:r>
              <w:t xml:space="preserve">Examples</w:t>
            </w:r>
          </w:p>
        </w:tc>
      </w:tr>
      <w:tr>
        <w:tc>
          <w:tcPr>
            <w:tcW w:w="1438" w:type="dxa"/>
          </w:tcPr>
          <w:p>
            <w:pPr/>
            <w:r>
              <w:t xml:space="preserve">Critical analysis of digital texts</w:t>
            </w:r>
          </w:p>
        </w:tc>
        <w:tc>
          <w:tcPr>
            <w:tcW w:w="3002" w:type="dxa"/>
          </w:tcPr>
          <w:p>
            <w:pPr/>
            <w:r>
              <w:t xml:space="preserve">Read memes, videos, teaching materials or AI outputs for representation, bias and ideology</w:t>
            </w:r>
          </w:p>
        </w:tc>
        <w:tc>
          <w:tcPr>
            <w:tcW w:w="4920" w:type="dxa"/>
          </w:tcPr>
          <w:p>
            <w:pPr/>
            <w:r>
              <w:t xml:space="preserve">Political memes in middle school (Elmore &amp; [second author], 2019); diversity in airline safety videos (Ho &amp; [second author], 2025); ideological bias in chatbot answers (Van Poucke, 2024); visual bias in AI images (Weninger &amp; [second author], 2026)</w:t>
            </w:r>
          </w:p>
        </w:tc>
      </w:tr>
      <w:tr>
        <w:tc>
          <w:tcPr>
            <w:tcW w:w="1438" w:type="dxa"/>
          </w:tcPr>
          <w:p>
            <w:pPr/>
            <w:r>
              <w:t xml:space="preserve">Media production and multimodal composing</w:t>
            </w:r>
          </w:p>
        </w:tc>
        <w:tc>
          <w:tcPr>
            <w:tcW w:w="3002" w:type="dxa"/>
          </w:tcPr>
          <w:p>
            <w:pPr/>
            <w:r>
              <w:t xml:space="preserve">Produce video, stories, posters or multimodal texts that answer dominant narratives</w:t>
            </w:r>
          </w:p>
        </w:tc>
        <w:tc>
          <w:tcPr>
            <w:tcW w:w="4920" w:type="dxa"/>
          </w:tcPr>
          <w:p>
            <w:pPr/>
            <w:r>
              <w:t xml:space="preserve">Video production in elementary teacher education (Watt, 2019); digital storytelling on District Six (Noble &amp; [second author], 2022); bilingual Vine making (de los Ríos, 2018); a poster campaign on cyberbullying (Damaskinidis et al., 2026)</w:t>
            </w:r>
          </w:p>
        </w:tc>
      </w:tr>
      <w:tr>
        <w:tc>
          <w:tcPr>
            <w:tcW w:w="1438" w:type="dxa"/>
          </w:tcPr>
          <w:p>
            <w:pPr/>
            <w:r>
              <w:t xml:space="preserve">Virtual exchange</w:t>
            </w:r>
          </w:p>
        </w:tc>
        <w:tc>
          <w:tcPr>
            <w:tcW w:w="3002" w:type="dxa"/>
          </w:tcPr>
          <w:p>
            <w:pPr/>
            <w:r>
              <w:t xml:space="preserve">Work with peers in other countries and examine how platforms shape the exchange</w:t>
            </w:r>
          </w:p>
        </w:tc>
        <w:tc>
          <w:tcPr>
            <w:tcW w:w="4920" w:type="dxa"/>
          </w:tcPr>
          <w:p>
            <w:pPr/>
            <w:r>
              <w:t xml:space="preserve">Hauck (2019); ELT teacher education (Bilki et al., 2023); multimodal representation (Satar et al., 2023); a COIL project with pre-service teachers (Ketzer-Nöltge &amp; [second author], 2022)</w:t>
            </w:r>
          </w:p>
        </w:tc>
      </w:tr>
      <w:tr>
        <w:tc>
          <w:tcPr>
            <w:tcW w:w="1438" w:type="dxa"/>
          </w:tcPr>
          <w:p>
            <w:pPr/>
            <w:r>
              <w:t xml:space="preserve">Designed modules and inquiry</w:t>
            </w:r>
          </w:p>
        </w:tc>
        <w:tc>
          <w:tcPr>
            <w:tcW w:w="3002" w:type="dxa"/>
          </w:tcPr>
          <w:p>
            <w:pPr/>
            <w:r>
              <w:t xml:space="preserve">Follow a sequence built around a game, a controversy or a writing task</w:t>
            </w:r>
          </w:p>
        </w:tc>
        <w:tc>
          <w:tcPr>
            <w:tcW w:w="4920" w:type="dxa"/>
          </w:tcPr>
          <w:p>
            <w:pPr/>
            <w:r>
              <w:t xml:space="preserve">Co-design around an indie video game (Torras et al., 2026); conspiracy theories in English classes (Gerlach et al., 2025); reflection notebooks on misinformation (Spracklin &amp; [second author], 2025); service learning with preschool teachers (Lo et al., 2024)</w:t>
            </w:r>
          </w:p>
        </w:tc>
      </w:tr>
      <w:tr>
        <w:tc>
          <w:tcPr>
            <w:tcW w:w="1438" w:type="dxa"/>
          </w:tcPr>
          <w:p>
            <w:pPr/>
            <w:r>
              <w:t xml:space="preserve">Civic action</w:t>
            </w:r>
          </w:p>
        </w:tc>
        <w:tc>
          <w:tcPr>
            <w:tcW w:w="3002" w:type="dxa"/>
          </w:tcPr>
          <w:p>
            <w:pPr/>
            <w:r>
              <w:t xml:space="preserve">Use digital tools to investigate and act on local or political issues</w:t>
            </w:r>
          </w:p>
        </w:tc>
        <w:tc>
          <w:tcPr>
            <w:tcW w:w="4920" w:type="dxa"/>
          </w:tcPr>
          <w:p>
            <w:pPr/>
            <w:r>
              <w:t xml:space="preserve">Civic interrogation in a ninth-grade ethnic studies course (Kwon &amp; [second author], 2019); student activism after the Parkland shooting (Abowitz &amp; [second author], 2020); university digital activism in Peru (Fernández, 2026); Black students resisting AI-mediated racism (Tanksley, 2024)</w:t>
            </w:r>
          </w:p>
        </w:tc>
      </w:tr>
    </w:tbl>
    <w:p>
      <w:pPr/>
      <w:r>
        <w:t xml:space="preserve">Evaluation of these practices is thin. Only 26 studies describe an intervention or a designed teaching sequence, and just 8 of them also use quantitative measures, which is the closest the field comes to testing what learners gain.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[second author], 2023; Salazar-Jiménez et al., 2026), and some propose frameworks of their own, for instance for second-language teacher education in the Global South (Mahapatra &amp; [second author],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66"/>
        <w:gridCol w:w="1637"/>
        <w:gridCol w:w="1186"/>
        <w:gridCol w:w="1107"/>
        <w:gridCol w:w="3864"/>
      </w:tblGrid>
      <w:tr>
        <w:trPr>
          <w:tblHeader/>
        </w:trPr>
        <w:tc>
          <w:tcPr>
            <w:tcW w:w="1566" w:type="dxa"/>
            <w:shd w:val="clear" w:color="auto" w:fill="F2F2F2"/>
          </w:tcPr>
          <w:p>
            <w:pPr/>
            <w:r>
              <w:t xml:space="preserve">Study</w:t>
            </w:r>
          </w:p>
        </w:tc>
        <w:tc>
          <w:tcPr>
            <w:tcW w:w="1637" w:type="dxa"/>
            <w:shd w:val="clear" w:color="auto" w:fill="F2F2F2"/>
          </w:tcPr>
          <w:p>
            <w:pPr/>
            <w:r>
              <w:t xml:space="preserve">Journal</w:t>
            </w:r>
          </w:p>
        </w:tc>
        <w:tc>
          <w:tcPr>
            <w:tcW w:w="1186" w:type="dxa"/>
            <w:shd w:val="clear" w:color="auto" w:fill="F2F2F2"/>
          </w:tcPr>
          <w:p>
            <w:pPr/>
            <w:r>
              <w:t xml:space="preserve">Citations</w:t>
            </w:r>
          </w:p>
        </w:tc>
        <w:tc>
          <w:tcPr>
            <w:tcW w:w="1107" w:type="dxa"/>
            <w:shd w:val="clear" w:color="auto" w:fill="F2F2F2"/>
          </w:tcPr>
          <w:p>
            <w:pPr/>
            <w:r>
              <w:t xml:space="preserve">Per year</w:t>
            </w:r>
          </w:p>
        </w:tc>
        <w:tc>
          <w:tcPr>
            <w:tcW w:w="3864" w:type="dxa"/>
            <w:shd w:val="clear" w:color="auto" w:fill="F2F2F2"/>
          </w:tcPr>
          <w:p>
            <w:pPr/>
            <w:r>
              <w:t xml:space="preserve">Focus</w:t>
            </w:r>
          </w:p>
        </w:tc>
      </w:tr>
      <w:tr>
        <w:tc>
          <w:tcPr>
            <w:tcW w:w="1566" w:type="dxa"/>
          </w:tcPr>
          <w:p>
            <w:pPr/>
            <w:r>
              <w:t xml:space="preserve">Darvin (2025)</w:t>
            </w:r>
          </w:p>
        </w:tc>
        <w:tc>
          <w:tcPr>
            <w:tcW w:w="1637" w:type="dxa"/>
          </w:tcPr>
          <w:p>
            <w:pPr/>
            <w:r>
              <w:rPr>
                <w:i/>
              </w:rPr>
              <w:t xml:space="preserve">Journal of Second Language Writing</w:t>
            </w:r>
          </w:p>
        </w:tc>
        <w:tc>
          <w:tcPr>
            <w:tcW w:w="1186" w:type="dxa"/>
          </w:tcPr>
          <w:p>
            <w:pPr/>
            <w:r>
              <w:t xml:space="preserve">98</w:t>
            </w:r>
          </w:p>
        </w:tc>
        <w:tc>
          <w:tcPr>
            <w:tcW w:w="1107" w:type="dxa"/>
          </w:tcPr>
          <w:p>
            <w:pPr/>
            <w:r>
              <w:t xml:space="preserve">49.0</w:t>
            </w:r>
          </w:p>
        </w:tc>
        <w:tc>
          <w:tcPr>
            <w:tcW w:w="3864" w:type="dxa"/>
          </w:tcPr>
          <w:p>
            <w:pPr/>
            <w:r>
              <w:t xml:space="preserve">CDL for second language writing mediated by generative AI</w:t>
            </w:r>
          </w:p>
        </w:tc>
      </w:tr>
      <w:tr>
        <w:tc>
          <w:tcPr>
            <w:tcW w:w="1566" w:type="dxa"/>
          </w:tcPr>
          <w:p>
            <w:pPr/>
            <w:r>
              <w:t xml:space="preserve">Ilomäki et al. (2023)</w:t>
            </w:r>
          </w:p>
        </w:tc>
        <w:tc>
          <w:tcPr>
            <w:tcW w:w="1637" w:type="dxa"/>
          </w:tcPr>
          <w:p>
            <w:pPr/>
            <w:r>
              <w:rPr>
                <w:i/>
              </w:rPr>
              <w:t xml:space="preserve">Review of Education</w:t>
            </w:r>
          </w:p>
        </w:tc>
        <w:tc>
          <w:tcPr>
            <w:tcW w:w="1186" w:type="dxa"/>
          </w:tcPr>
          <w:p>
            <w:pPr/>
            <w:r>
              <w:t xml:space="preserve">74</w:t>
            </w:r>
          </w:p>
        </w:tc>
        <w:tc>
          <w:tcPr>
            <w:tcW w:w="1107" w:type="dxa"/>
          </w:tcPr>
          <w:p>
            <w:pPr/>
            <w:r>
              <w:t xml:space="preserve">18.5</w:t>
            </w:r>
          </w:p>
        </w:tc>
        <w:tc>
          <w:tcPr>
            <w:tcW w:w="3864" w:type="dxa"/>
          </w:tcPr>
          <w:p>
            <w:pPr/>
            <w:r>
              <w:t xml:space="preserve">Systematic review of CDL at school level</w:t>
            </w:r>
          </w:p>
        </w:tc>
      </w:tr>
      <w:tr>
        <w:tc>
          <w:tcPr>
            <w:tcW w:w="1566" w:type="dxa"/>
          </w:tcPr>
          <w:p>
            <w:pPr/>
            <w:r>
              <w:t xml:space="preserve">Pötzsch (2019)</w:t>
            </w:r>
          </w:p>
        </w:tc>
        <w:tc>
          <w:tcPr>
            <w:tcW w:w="1637" w:type="dxa"/>
          </w:tcPr>
          <w:p>
            <w:pPr/>
            <w:r>
              <w:rPr>
                <w:i/>
              </w:rPr>
              <w:t xml:space="preserve">tripleC</w:t>
            </w:r>
          </w:p>
        </w:tc>
        <w:tc>
          <w:tcPr>
            <w:tcW w:w="1186" w:type="dxa"/>
          </w:tcPr>
          <w:p>
            <w:pPr/>
            <w:r>
              <w:t xml:space="preserve">71</w:t>
            </w:r>
          </w:p>
        </w:tc>
        <w:tc>
          <w:tcPr>
            <w:tcW w:w="1107" w:type="dxa"/>
          </w:tcPr>
          <w:p>
            <w:pPr/>
            <w:r>
              <w:t xml:space="preserve">8.9</w:t>
            </w:r>
          </w:p>
        </w:tc>
        <w:tc>
          <w:tcPr>
            <w:tcW w:w="3864" w:type="dxa"/>
          </w:tcPr>
          <w:p>
            <w:pPr/>
            <w:r>
              <w:t xml:space="preserve">CDL beyond user competence and labour-market qualifications</w:t>
            </w:r>
          </w:p>
        </w:tc>
      </w:tr>
      <w:tr>
        <w:tc>
          <w:tcPr>
            <w:tcW w:w="1566" w:type="dxa"/>
          </w:tcPr>
          <w:p>
            <w:pPr/>
            <w:r>
              <w:t xml:space="preserve">Hauck (2019)</w:t>
            </w:r>
          </w:p>
        </w:tc>
        <w:tc>
          <w:tcPr>
            <w:tcW w:w="1637" w:type="dxa"/>
          </w:tcPr>
          <w:p>
            <w:pPr/>
            <w:r>
              <w:rPr>
                <w:i/>
              </w:rPr>
              <w:t xml:space="preserve">European Journal of Language Policy</w:t>
            </w:r>
          </w:p>
        </w:tc>
        <w:tc>
          <w:tcPr>
            <w:tcW w:w="1186" w:type="dxa"/>
          </w:tcPr>
          <w:p>
            <w:pPr/>
            <w:r>
              <w:t xml:space="preserve">68</w:t>
            </w:r>
          </w:p>
        </w:tc>
        <w:tc>
          <w:tcPr>
            <w:tcW w:w="1107" w:type="dxa"/>
          </w:tcPr>
          <w:p>
            <w:pPr/>
            <w:r>
              <w:t xml:space="preserve">8.5</w:t>
            </w:r>
          </w:p>
        </w:tc>
        <w:tc>
          <w:tcPr>
            <w:tcW w:w="3864" w:type="dxa"/>
          </w:tcPr>
          <w:p>
            <w:pPr/>
            <w:r>
              <w:t xml:space="preserve">Virtual exchange for (critical) digital literacy</w:t>
            </w:r>
          </w:p>
        </w:tc>
      </w:tr>
      <w:tr>
        <w:tc>
          <w:tcPr>
            <w:tcW w:w="1566" w:type="dxa"/>
          </w:tcPr>
          <w:p>
            <w:pPr/>
            <w:r>
              <w:t xml:space="preserve">Moorhouse et al. (2025)</w:t>
            </w:r>
          </w:p>
        </w:tc>
        <w:tc>
          <w:tcPr>
            <w:tcW w:w="1637" w:type="dxa"/>
          </w:tcPr>
          <w:p>
            <w:pPr/>
            <w:r>
              <w:rPr>
                <w:i/>
              </w:rPr>
              <w:t xml:space="preserve">System</w:t>
            </w:r>
          </w:p>
        </w:tc>
        <w:tc>
          <w:tcPr>
            <w:tcW w:w="1186" w:type="dxa"/>
          </w:tcPr>
          <w:p>
            <w:pPr/>
            <w:r>
              <w:t xml:space="preserve">49</w:t>
            </w:r>
          </w:p>
        </w:tc>
        <w:tc>
          <w:tcPr>
            <w:tcW w:w="1107" w:type="dxa"/>
          </w:tcPr>
          <w:p>
            <w:pPr/>
            <w:r>
              <w:t xml:space="preserve">24.5</w:t>
            </w:r>
          </w:p>
        </w:tc>
        <w:tc>
          <w:tcPr>
            <w:tcW w:w="3864" w:type="dxa"/>
          </w:tcPr>
          <w:p>
            <w:pPr/>
            <w:r>
              <w:t xml:space="preserve">Generative AI tools and empowerment in L2 academic writing</w:t>
            </w:r>
          </w:p>
        </w:tc>
      </w:tr>
      <w:tr>
        <w:tc>
          <w:tcPr>
            <w:tcW w:w="1566" w:type="dxa"/>
          </w:tcPr>
          <w:p>
            <w:pPr/>
            <w:r>
              <w:t xml:space="preserve">Castellví et al. (2020)</w:t>
            </w:r>
          </w:p>
        </w:tc>
        <w:tc>
          <w:tcPr>
            <w:tcW w:w="1637" w:type="dxa"/>
          </w:tcPr>
          <w:p>
            <w:pPr/>
            <w:r>
              <w:rPr>
                <w:i/>
              </w:rPr>
              <w:t xml:space="preserve">Social Sciences</w:t>
            </w:r>
          </w:p>
        </w:tc>
        <w:tc>
          <w:tcPr>
            <w:tcW w:w="1186" w:type="dxa"/>
          </w:tcPr>
          <w:p>
            <w:pPr/>
            <w:r>
              <w:t xml:space="preserve">49</w:t>
            </w:r>
          </w:p>
        </w:tc>
        <w:tc>
          <w:tcPr>
            <w:tcW w:w="1107" w:type="dxa"/>
          </w:tcPr>
          <w:p>
            <w:pPr/>
            <w:r>
              <w:t xml:space="preserve">7.0</w:t>
            </w:r>
          </w:p>
        </w:tc>
        <w:tc>
          <w:tcPr>
            <w:tcW w:w="3864" w:type="dxa"/>
          </w:tcPr>
          <w:p>
            <w:pPr/>
            <w:r>
              <w:t xml:space="preserve">Pre-service teachers' CDL skills and attitudes towards social problems</w:t>
            </w:r>
          </w:p>
        </w:tc>
      </w:tr>
      <w:tr>
        <w:tc>
          <w:tcPr>
            <w:tcW w:w="1566" w:type="dxa"/>
          </w:tcPr>
          <w:p>
            <w:pPr/>
            <w:r>
              <w:t xml:space="preserve">Talib (2018)</w:t>
            </w:r>
          </w:p>
        </w:tc>
        <w:tc>
          <w:tcPr>
            <w:tcW w:w="1637" w:type="dxa"/>
          </w:tcPr>
          <w:p>
            <w:pPr/>
            <w:r>
              <w:rPr>
                <w:i/>
              </w:rPr>
              <w:t xml:space="preserve">E-Learning and Digital Media</w:t>
            </w:r>
          </w:p>
        </w:tc>
        <w:tc>
          <w:tcPr>
            <w:tcW w:w="1186" w:type="dxa"/>
          </w:tcPr>
          <w:p>
            <w:pPr/>
            <w:r>
              <w:t xml:space="preserve">49</w:t>
            </w:r>
          </w:p>
        </w:tc>
        <w:tc>
          <w:tcPr>
            <w:tcW w:w="1107" w:type="dxa"/>
          </w:tcPr>
          <w:p>
            <w:pPr/>
            <w:r>
              <w:t xml:space="preserve">5.4</w:t>
            </w:r>
          </w:p>
        </w:tc>
        <w:tc>
          <w:tcPr>
            <w:tcW w:w="3864" w:type="dxa"/>
          </w:tcPr>
          <w:p>
            <w:pPr/>
            <w:r>
              <w:t xml:space="preserve">Social media pedagogy for multimodal CDL</w:t>
            </w:r>
          </w:p>
        </w:tc>
      </w:tr>
      <w:tr>
        <w:tc>
          <w:tcPr>
            <w:tcW w:w="1566" w:type="dxa"/>
          </w:tcPr>
          <w:p>
            <w:pPr/>
            <w:r>
              <w:t xml:space="preserve">Mesquita-Romero et al. (2022)</w:t>
            </w:r>
          </w:p>
        </w:tc>
        <w:tc>
          <w:tcPr>
            <w:tcW w:w="1637" w:type="dxa"/>
          </w:tcPr>
          <w:p>
            <w:pPr/>
            <w:r>
              <w:rPr>
                <w:i/>
              </w:rPr>
              <w:t xml:space="preserve">Comunicar</w:t>
            </w:r>
          </w:p>
        </w:tc>
        <w:tc>
          <w:tcPr>
            <w:tcW w:w="1186" w:type="dxa"/>
          </w:tcPr>
          <w:p>
            <w:pPr/>
            <w:r>
              <w:t xml:space="preserve">46</w:t>
            </w:r>
          </w:p>
        </w:tc>
        <w:tc>
          <w:tcPr>
            <w:tcW w:w="1107" w:type="dxa"/>
          </w:tcPr>
          <w:p>
            <w:pPr/>
            <w:r>
              <w:t xml:space="preserve">9.2</w:t>
            </w:r>
          </w:p>
        </w:tc>
        <w:tc>
          <w:tcPr>
            <w:tcW w:w="3864" w:type="dxa"/>
          </w:tcPr>
          <w:p>
            <w:pPr/>
            <w:r>
              <w:t xml:space="preserve">Critical media literacy and students' competences</w:t>
            </w:r>
          </w:p>
        </w:tc>
      </w:tr>
      <w:tr>
        <w:tc>
          <w:tcPr>
            <w:tcW w:w="1566" w:type="dxa"/>
          </w:tcPr>
          <w:p>
            <w:pPr/>
            <w:r>
              <w:t xml:space="preserve">Gouseti et al. (2024)</w:t>
            </w:r>
          </w:p>
        </w:tc>
        <w:tc>
          <w:tcPr>
            <w:tcW w:w="1637" w:type="dxa"/>
          </w:tcPr>
          <w:p>
            <w:pPr/>
            <w:r>
              <w:rPr>
                <w:i/>
              </w:rPr>
              <w:t xml:space="preserve">Educational Review</w:t>
            </w:r>
          </w:p>
        </w:tc>
        <w:tc>
          <w:tcPr>
            <w:tcW w:w="1186" w:type="dxa"/>
          </w:tcPr>
          <w:p>
            <w:pPr/>
            <w:r>
              <w:t xml:space="preserve">45</w:t>
            </w:r>
          </w:p>
        </w:tc>
        <w:tc>
          <w:tcPr>
            <w:tcW w:w="1107" w:type="dxa"/>
          </w:tcPr>
          <w:p>
            <w:pPr/>
            <w:r>
              <w:t xml:space="preserve">15.0</w:t>
            </w:r>
          </w:p>
        </w:tc>
        <w:tc>
          <w:tcPr>
            <w:tcW w:w="3864" w:type="dxa"/>
          </w:tcPr>
          <w:p>
            <w:pPr/>
            <w:r>
              <w:t xml:space="preserve">Teachers' perceptions of CDL and their teaching practices</w:t>
            </w:r>
          </w:p>
        </w:tc>
      </w:tr>
      <w:tr>
        <w:tc>
          <w:tcPr>
            <w:tcW w:w="1566" w:type="dxa"/>
          </w:tcPr>
          <w:p>
            <w:pPr/>
            <w:r>
              <w:t xml:space="preserve">Tagg &amp; [second author] (2021)</w:t>
            </w:r>
          </w:p>
        </w:tc>
        <w:tc>
          <w:tcPr>
            <w:tcW w:w="1637" w:type="dxa"/>
          </w:tcPr>
          <w:p>
            <w:pPr/>
            <w:r>
              <w:rPr>
                <w:i/>
              </w:rPr>
              <w:t xml:space="preserve">Linguistics and Education</w:t>
            </w:r>
          </w:p>
        </w:tc>
        <w:tc>
          <w:tcPr>
            <w:tcW w:w="1186" w:type="dxa"/>
          </w:tcPr>
          <w:p>
            <w:pPr/>
            <w:r>
              <w:t xml:space="preserve">44</w:t>
            </w:r>
          </w:p>
        </w:tc>
        <w:tc>
          <w:tcPr>
            <w:tcW w:w="1107" w:type="dxa"/>
          </w:tcPr>
          <w:p>
            <w:pPr/>
            <w:r>
              <w:t xml:space="preserve">7.3</w:t>
            </w:r>
          </w:p>
        </w:tc>
        <w:tc>
          <w:tcPr>
            <w:tcW w:w="3864" w:type="dxa"/>
          </w:tcPr>
          <w:p>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shift from social media to platforms and then to generative AI shows a field able to respond quickly.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studies dominate, and the share of studies that describe an intervention has not grown. Only 8 studies combine an intervention with quantitative measures.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use-centred competence frameworks. The findings support adding an infrastructural dimension to frameworks such as DigComp and DigCompEdu: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Had the review relied on titles alone, it would have missed 50 of the 135 included studies and kept 44 that the abstract evidence did not support. Many studies in this field name CDL only in their abstract or keywords, and many titles that sound critical describe something else. Reviews of CDL, and probably of other critical literacies, should not screen on titles alone. When abstracts cannot be read, field-level searches inside them, as used here, offer a reproducible second pass.</w:t>
      </w:r>
    </w:p>
    <w:p>
      <w:pPr>
        <w:pStyle w:val="Heading2"/>
      </w:pPr>
      <w:r>
        <w:t xml:space="preserve">Limitations</w:t>
      </w:r>
    </w:p>
    <w:p>
      <w:pPr/>
      <w:r>
        <w:t xml:space="preserve">The review has five main limitations.</w:t>
      </w:r>
    </w:p>
    <w:p>
      <w:pPr>
        <w:pStyle w:val="ListParagraph"/>
        <w:numPr>
          <w:ilvl w:val="0"/>
          <w:numId w:val="3"/>
        </w:numPr>
      </w:pPr>
      <w:r>
        <w:rPr>
          <w:b/>
        </w:rPr>
        <w:t xml:space="preserve">No reading of abstracts or full texts.</w:t>
      </w:r>
      <w:r>
        <w:t xml:space="preserve"> The Scopus access available did not return the text of abstracts. Selection and charting therefore rest on titles and on whether given terms occur in abstracts and keywords. A study can mention a term without treating it, and the presence of a term says nothing about how well a study was done. For the same reason, the synthesis describes what studies set out to do and not what they found.</w:t>
      </w:r>
    </w:p>
    <w:p>
      <w:pPr>
        <w:pStyle w:val="ListParagraph"/>
        <w:numPr>
          <w:ilvl w:val="0"/>
          <w:numId w:val="3"/>
        </w:numPr>
      </w:pPr>
      <w:r>
        <w:rPr>
          <w:b/>
        </w:rPr>
        <w:t xml:space="preserve">Screening.</w:t>
      </w:r>
      <w:r>
        <w:t xml:space="preserve"> Pass 1 was carried out by a single reviewer assisted by a large language model, and pass 2 by a rule. There was no second human screener. The adjudication rule was set after the disagreements had been inspected, though before any was decided, and it was not registered in advance.</w:t>
      </w:r>
    </w:p>
    <w:p>
      <w:pPr>
        <w:pStyle w:val="ListParagraph"/>
        <w:numPr>
          <w:ilvl w:val="0"/>
          <w:numId w:val="3"/>
        </w:numPr>
      </w:pPr>
      <w:r>
        <w:rPr>
          <w:b/>
        </w:rPr>
        <w:t xml:space="preserve">Term-based coding.</w:t>
      </w:r>
      <w:r>
        <w:t xml:space="preserve"> Codes depend on the dictionaries. The strict dictionaries show that the main trends are robust,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shifted its attention from social media to platforms, data and artificial intelligence, and the media literacy that framed its early years now shares the ground with critical pedagogy and with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the digital competence promoted by current frameworks is necessary but not enough. Preparing people to live with platforms they do not control means teaching them to ask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openly available at [repository link removed for anonymous review]. Supplementary file S1 lists the included studies with their codes, and supplementary file S2 gives the decisions of both screening passes for all 469 records.</w:t>
      </w:r>
    </w:p>
    <w:p>
      <w:pPr>
        <w:pStyle w:val="Heading2"/>
      </w:pPr>
      <w:r>
        <w:t xml:space="preserve">References</w:t>
      </w:r>
    </w:p>
    <w:p>
      <w:pPr/>
      <w:r>
        <w:t xml:space="preserve">Abowitz, K. K., &amp; [co-author].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[+3 co-authors].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[+3 co-authors].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[+3 co-authors]. (2023). Critical data literacy in praxis: An open education approach for academic development. </w:t>
      </w:r>
      <w:r>
        <w:rPr>
          <w:i/>
        </w:rPr>
        <w:t xml:space="preserve">Edutec</w:t>
      </w:r>
      <w:r>
        <w:t xml:space="preserve">, (85), 49–67. https://doi.org/10.21556/edutec.2023.85.2851</w:t>
      </w:r>
    </w:p>
    <w:p>
      <w:pPr/>
      <w:r>
        <w:t xml:space="preserve">Bilki, Z., [+2 co-authors].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[+2 co-authors].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[co-author].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[+2 co-authors].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[+5 co-authors].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[+2 co-authors].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[co-author].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[+2 co-authors]. (2024). Confluences between critical thinking and social media in the educational world. Mapping experiences and detecting challenges. </w:t>
      </w:r>
      <w:r>
        <w:rPr>
          <w:i/>
        </w:rPr>
        <w:t xml:space="preserve">Revista Complutense de Educación</w:t>
      </w:r>
      <w:r>
        <w:t xml:space="preserve">, </w:t>
      </w:r>
      <w:r>
        <w:rPr>
          <w:i/>
        </w:rPr>
        <w:t xml:space="preserve">35</w:t>
      </w:r>
      <w:r>
        <w:t xml:space="preserve">(2), 363–379. https://doi.org/10.5209/rced.85615</w:t>
      </w:r>
    </w:p>
    <w:p>
      <w:pPr/>
      <w:r>
        <w:t xml:space="preserve">Farag, A., [+2 co-authors].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[+2 co-authors].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[co-author]. (2026).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[+5 co-authors].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[co-author].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[+6 co-authors].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w:t>
      </w:r>
    </w:p>
    <w:p>
      <w:pPr/>
      <w:r>
        <w:t xml:space="preserve">Javahery, P., [+2 co-authors].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[co-author].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[+3 co-authors].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[co-author].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[+2 co-authors].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 C., [+2 co-authors].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[co-author].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[+7 co-authors].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[+6 co-authors].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 A., [+2 co-authors]. (2022). Critical media literacy to improve students' competencies. </w:t>
      </w:r>
      <w:r>
        <w:rPr>
          <w:i/>
        </w:rPr>
        <w:t xml:space="preserve">Comunicar</w:t>
      </w:r>
      <w:r>
        <w:t xml:space="preserve">, </w:t>
      </w:r>
      <w:r>
        <w:rPr>
          <w:i/>
        </w:rPr>
        <w:t xml:space="preserve">30</w:t>
      </w:r>
      <w:r>
        <w:t xml:space="preserve">(70), 41–51.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[+4 co-authors].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[+3 co-authors]. (2026).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[co-author].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[+3 co-authors]. (2026).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[+3 co-authors].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[+2 co-authors]. (2026).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[+2 co-authors].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[+2 co-authors].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[+8 co-authors].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[co-author].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[+3 co-authors].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[co-author].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[co-author].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Torras, D. J., [+2 co-authors].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[+3 co-authors].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w:t>
      </w:r>
      <w:r>
        <w:t xml:space="preserve">. Publications Office of the European Union. https://doi.org/10.2760/115376</w:t>
      </w:r>
    </w:p>
    <w:p>
      <w:pPr/>
      <w:r>
        <w:t xml:space="preserve">Wang, S., &amp; [co-author].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[co-author].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r>
              <w:t xml:space="preserve">Indicator</w:t>
            </w:r>
          </w:p>
        </w:tc>
        <w:tc>
          <w:tcPr>
            <w:tcW w:w="2315" w:type="dxa"/>
            <w:shd w:val="clear" w:color="auto" w:fill="F2F2F2"/>
          </w:tcPr>
          <w:p>
            <w:pPr/>
            <w:r>
              <w:t xml:space="preserve">Where it is searched</w:t>
            </w:r>
          </w:p>
        </w:tc>
        <w:tc>
          <w:tcPr>
            <w:tcW w:w="4920" w:type="dxa"/>
            <w:shd w:val="clear" w:color="auto" w:fill="F2F2F2"/>
          </w:tcPr>
          <w:p>
            <w:pPr/>
            <w:r>
              <w:t xml:space="preserve">Terms</w:t>
            </w:r>
          </w:p>
        </w:tc>
      </w:tr>
      <w:tr>
        <w:tc>
          <w:tcPr>
            <w:tcW w:w="2125" w:type="dxa"/>
          </w:tcPr>
          <w:p>
            <w:pPr/>
            <w:r>
              <w:t xml:space="preserve">K: keywords name CDL</w:t>
            </w:r>
          </w:p>
        </w:tc>
        <w:tc>
          <w:tcPr>
            <w:tcW w:w="2315" w:type="dxa"/>
          </w:tcPr>
          <w:p>
            <w:pPr/>
            <w:r>
              <w:t xml:space="preserve">Author keywords (</w:t>
            </w:r>
            <w:r>
              <w:rPr>
                <w:rStyle w:val="CodeChar"/>
              </w:rPr>
              <w:t xml:space="preserve">KEY</w:t>
            </w:r>
            <w:r>
              <w:t xml:space="preserve">)</w:t>
            </w:r>
          </w:p>
        </w:tc>
        <w:tc>
          <w:tcPr>
            <w:tcW w:w="4920" w:type="dxa"/>
          </w:tcPr>
          <w:p>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r>
              <w:t xml:space="preserve">A: abstract names CDL</w:t>
            </w:r>
          </w:p>
        </w:tc>
        <w:tc>
          <w:tcPr>
            <w:tcW w:w="2315" w:type="dxa"/>
          </w:tcPr>
          <w:p>
            <w:pPr/>
            <w:r>
              <w:t xml:space="preserve">Abstract (</w:t>
            </w:r>
            <w:r>
              <w:rPr>
                <w:rStyle w:val="CodeChar"/>
              </w:rPr>
              <w:t xml:space="preserve">ABS</w:t>
            </w:r>
            <w:r>
              <w:t xml:space="preserve">)</w:t>
            </w:r>
          </w:p>
        </w:tc>
        <w:tc>
          <w:tcPr>
            <w:tcW w:w="4920" w:type="dxa"/>
          </w:tcPr>
          <w:p>
            <w:pPr/>
            <w:r>
              <w:t xml:space="preserve">The same terms as K</w:t>
            </w:r>
          </w:p>
        </w:tc>
      </w:tr>
      <w:tr>
        <w:tc>
          <w:tcPr>
            <w:tcW w:w="2125" w:type="dxa"/>
          </w:tcPr>
          <w:p>
            <w:pPr/>
            <w:r>
              <w:t xml:space="preserve">P: sociopolitical dimension</w:t>
            </w:r>
          </w:p>
        </w:tc>
        <w:tc>
          <w:tcPr>
            <w:tcW w:w="2315" w:type="dxa"/>
          </w:tcPr>
          <w:p>
            <w:pPr/>
            <w:r>
              <w:t xml:space="preserve">Abstract or author keywords</w:t>
            </w:r>
          </w:p>
        </w:tc>
        <w:tc>
          <w:tcPr>
            <w:tcW w:w="4920" w:type="dxa"/>
          </w:tcPr>
          <w:p>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r>
              <w:t xml:space="preserve">Title names CDL</w:t>
            </w:r>
          </w:p>
        </w:tc>
        <w:tc>
          <w:tcPr>
            <w:tcW w:w="2315" w:type="dxa"/>
          </w:tcPr>
          <w:p>
            <w:pPr/>
            <w:r>
              <w:t xml:space="preserve">Title (used only in adjudication)</w:t>
            </w:r>
          </w:p>
        </w:tc>
        <w:tc>
          <w:tcPr>
            <w:tcW w:w="4920" w:type="dxa"/>
          </w:tcPr>
          <w:p>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r>
              <w:t xml:space="preserve">Title refers to a digital technology</w:t>
            </w:r>
          </w:p>
        </w:tc>
        <w:tc>
          <w:tcPr>
            <w:tcW w:w="2315" w:type="dxa"/>
          </w:tcPr>
          <w:p>
            <w:pPr/>
            <w:r>
              <w:t xml:space="preserve">Title (used only in adjudication)</w:t>
            </w:r>
          </w:p>
        </w:tc>
        <w:tc>
          <w:tcPr>
            <w:tcW w:w="4920" w:type="dxa"/>
          </w:tcPr>
          <w:p>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r>
              <w:t xml:space="preserve">Variable</w:t>
            </w:r>
          </w:p>
        </w:tc>
        <w:tc>
          <w:tcPr>
            <w:tcW w:w="2190" w:type="dxa"/>
            <w:shd w:val="clear" w:color="auto" w:fill="F2F2F2"/>
          </w:tcPr>
          <w:p>
            <w:pPr/>
            <w:r>
              <w:t xml:space="preserve">Category</w:t>
            </w:r>
          </w:p>
        </w:tc>
        <w:tc>
          <w:tcPr>
            <w:tcW w:w="4068" w:type="dxa"/>
            <w:shd w:val="clear" w:color="auto" w:fill="F2F2F2"/>
          </w:tcPr>
          <w:p>
            <w:pPr/>
            <w:r>
              <w:t xml:space="preserve">Broad dictionary</w:t>
            </w:r>
          </w:p>
        </w:tc>
        <w:tc>
          <w:tcPr>
            <w:tcW w:w="1916" w:type="dxa"/>
            <w:shd w:val="clear" w:color="auto" w:fill="F2F2F2"/>
          </w:tcPr>
          <w:p>
            <w:pPr/>
            <w:r>
              <w:t xml:space="preserve">Strict dictionary</w:t>
            </w:r>
          </w:p>
        </w:tc>
      </w:tr>
      <w:tr>
        <w:tc>
          <w:tcPr>
            <w:tcW w:w="1186" w:type="dxa"/>
          </w:tcPr>
          <w:p>
            <w:pPr/>
            <w:r>
              <w:t xml:space="preserve">Level</w:t>
            </w:r>
          </w:p>
        </w:tc>
        <w:tc>
          <w:tcPr>
            <w:tcW w:w="2190" w:type="dxa"/>
          </w:tcPr>
          <w:p>
            <w:pPr/>
            <w:r>
              <w:t xml:space="preserve">Early childhood and primary</w:t>
            </w:r>
          </w:p>
        </w:tc>
        <w:tc>
          <w:tcPr>
            <w:tcW w:w="4068" w:type="dxa"/>
          </w:tcPr>
          <w:p>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r>
              <w:rPr>
                <w:rStyle w:val="CodeChar"/>
              </w:rPr>
              <w:t xml:space="preserve">"primary school*" OR "primary education" OR "elementary school*" OR "early childhood"</w:t>
            </w:r>
          </w:p>
        </w:tc>
      </w:tr>
      <w:tr>
        <w:tc>
          <w:tcPr>
            <w:tcW w:w="1186" w:type="dxa"/>
          </w:tcPr>
          <w:p>
            <w:pPr/>
            <w:r>
              <w:t xml:space="preserve">Level</w:t>
            </w:r>
          </w:p>
        </w:tc>
        <w:tc>
          <w:tcPr>
            <w:tcW w:w="2190" w:type="dxa"/>
          </w:tcPr>
          <w:p>
            <w:pPr/>
            <w:r>
              <w:t xml:space="preserve">Secondary</w:t>
            </w:r>
          </w:p>
        </w:tc>
        <w:tc>
          <w:tcPr>
            <w:tcW w:w="4068" w:type="dxa"/>
          </w:tcPr>
          <w:p>
            <w:pPr/>
            <w:r>
              <w:rPr>
                <w:rStyle w:val="CodeChar"/>
              </w:rPr>
              <w:t xml:space="preserve">"secondary school" OR "secondary education" OR "high school" OR "middle school" OR adolescen* OR teenager* OR "ninth-grade" OR "educación secundaria" OR bachillerato</w:t>
            </w:r>
          </w:p>
        </w:tc>
        <w:tc>
          <w:tcPr>
            <w:tcW w:w="1916" w:type="dxa"/>
          </w:tcPr>
          <w:p>
            <w:pPr/>
            <w:r>
              <w:rPr>
                <w:rStyle w:val="CodeChar"/>
              </w:rPr>
              <w:t xml:space="preserve">"secondary school*" OR "secondary education" OR "high school*"</w:t>
            </w:r>
          </w:p>
        </w:tc>
      </w:tr>
      <w:tr>
        <w:tc>
          <w:tcPr>
            <w:tcW w:w="1186" w:type="dxa"/>
          </w:tcPr>
          <w:p>
            <w:pPr/>
            <w:r>
              <w:t xml:space="preserve">Level</w:t>
            </w:r>
          </w:p>
        </w:tc>
        <w:tc>
          <w:tcPr>
            <w:tcW w:w="2190" w:type="dxa"/>
          </w:tcPr>
          <w:p>
            <w:pPr/>
            <w:r>
              <w:t xml:space="preserve">Higher education</w:t>
            </w:r>
          </w:p>
        </w:tc>
        <w:tc>
          <w:tcPr>
            <w:tcW w:w="4068" w:type="dxa"/>
          </w:tcPr>
          <w:p>
            <w:pPr/>
            <w:r>
              <w:rPr>
                <w:rStyle w:val="CodeChar"/>
              </w:rPr>
              <w:t xml:space="preserve">"higher education" OR universit* OR undergraduate* OR college OR "graduate students" OR "educación superior"</w:t>
            </w:r>
          </w:p>
        </w:tc>
        <w:tc>
          <w:tcPr>
            <w:tcW w:w="1916" w:type="dxa"/>
          </w:tcPr>
          <w:p>
            <w:pPr/>
            <w:r>
              <w:rPr>
                <w:rStyle w:val="CodeChar"/>
              </w:rPr>
              <w:t xml:space="preserve">"higher education" OR "university students" OR undergraduate*</w:t>
            </w:r>
          </w:p>
        </w:tc>
      </w:tr>
      <w:tr>
        <w:tc>
          <w:tcPr>
            <w:tcW w:w="1186" w:type="dxa"/>
          </w:tcPr>
          <w:p>
            <w:pPr/>
            <w:r>
              <w:t xml:space="preserve">Level</w:t>
            </w:r>
          </w:p>
        </w:tc>
        <w:tc>
          <w:tcPr>
            <w:tcW w:w="2190" w:type="dxa"/>
          </w:tcPr>
          <w:p>
            <w:pPr/>
            <w:r>
              <w:t xml:space="preserve">Teacher education</w:t>
            </w:r>
          </w:p>
        </w:tc>
        <w:tc>
          <w:tcPr>
            <w:tcW w:w="4068" w:type="dxa"/>
          </w:tcPr>
          <w:p>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r>
              <w:rPr>
                <w:rStyle w:val="CodeChar"/>
              </w:rPr>
              <w:t xml:space="preserve">"pre-service teacher*" OR "preservice teacher*" OR "teacher education" OR "initial teacher education"</w:t>
            </w:r>
          </w:p>
        </w:tc>
      </w:tr>
      <w:tr>
        <w:tc>
          <w:tcPr>
            <w:tcW w:w="1186" w:type="dxa"/>
          </w:tcPr>
          <w:p>
            <w:pPr/>
            <w:r>
              <w:t xml:space="preserve">Design</w:t>
            </w:r>
          </w:p>
        </w:tc>
        <w:tc>
          <w:tcPr>
            <w:tcW w:w="2190" w:type="dxa"/>
          </w:tcPr>
          <w:p>
            <w:pPr/>
            <w:r>
              <w:t xml:space="preserve">Literature review</w:t>
            </w:r>
          </w:p>
        </w:tc>
        <w:tc>
          <w:tcPr>
            <w:tcW w:w="4068" w:type="dxa"/>
          </w:tcPr>
          <w:p>
            <w:pPr/>
            <w:r>
              <w:rPr>
                <w:rStyle w:val="CodeChar"/>
              </w:rPr>
              <w:t xml:space="preserve">"systematic review" OR "literature review" OR "scoping review" OR "narrative review" OR "revisión sistemática" OR bibliometric</w:t>
            </w:r>
          </w:p>
        </w:tc>
        <w:tc>
          <w:tcPr>
            <w:tcW w:w="1916" w:type="dxa"/>
          </w:tcPr>
          <w:p>
            <w:pPr/>
          </w:p>
        </w:tc>
      </w:tr>
      <w:tr>
        <w:tc>
          <w:tcPr>
            <w:tcW w:w="1186" w:type="dxa"/>
          </w:tcPr>
          <w:p>
            <w:pPr/>
            <w:r>
              <w:t xml:space="preserve">Design</w:t>
            </w:r>
          </w:p>
        </w:tc>
        <w:tc>
          <w:tcPr>
            <w:tcW w:w="2190" w:type="dxa"/>
          </w:tcPr>
          <w:p>
            <w:pPr/>
            <w:r>
              <w:t xml:space="preserve">Conceptual or theoretical</w:t>
            </w:r>
          </w:p>
        </w:tc>
        <w:tc>
          <w:tcPr>
            <w:tcW w:w="4068" w:type="dxa"/>
          </w:tcPr>
          <w:p>
            <w:pPr/>
            <w:r>
              <w:rPr>
                <w:rStyle w:val="CodeChar"/>
              </w:rPr>
              <w:t xml:space="preserve">theoretical OR "conceptual paper" OR "conceptual article" OR "we argue" OR "this essay" OR "this article argues" OR "this paper argues" OR ensayo OR "reflexión teórica"</w:t>
            </w:r>
          </w:p>
        </w:tc>
        <w:tc>
          <w:tcPr>
            <w:tcW w:w="1916" w:type="dxa"/>
          </w:tcPr>
          <w:p>
            <w:pPr/>
          </w:p>
        </w:tc>
      </w:tr>
      <w:tr>
        <w:tc>
          <w:tcPr>
            <w:tcW w:w="1186" w:type="dxa"/>
          </w:tcPr>
          <w:p>
            <w:pPr/>
            <w:r>
              <w:t xml:space="preserve">Design</w:t>
            </w:r>
          </w:p>
        </w:tc>
        <w:tc>
          <w:tcPr>
            <w:tcW w:w="2190" w:type="dxa"/>
          </w:tcPr>
          <w:p>
            <w:pPr/>
            <w:r>
              <w:t xml:space="preserve">Qualitative</w:t>
            </w:r>
          </w:p>
        </w:tc>
        <w:tc>
          <w:tcPr>
            <w:tcW w:w="4068" w:type="dxa"/>
          </w:tcPr>
          <w:p>
            <w:pPr/>
            <w:r>
              <w:rPr>
                <w:rStyle w:val="CodeChar"/>
              </w:rPr>
              <w:t xml:space="preserve">qualitative OR "case study" OR ethnograph* OR interview* OR "focus group*" OR "action research" OR narrative OR autoethnograph* OR "discourse analysis" OR cualitativ*</w:t>
            </w:r>
          </w:p>
        </w:tc>
        <w:tc>
          <w:tcPr>
            <w:tcW w:w="1916" w:type="dxa"/>
          </w:tcPr>
          <w:p>
            <w:pPr/>
          </w:p>
        </w:tc>
      </w:tr>
      <w:tr>
        <w:tc>
          <w:tcPr>
            <w:tcW w:w="1186" w:type="dxa"/>
          </w:tcPr>
          <w:p>
            <w:pPr/>
            <w:r>
              <w:t xml:space="preserve">Design</w:t>
            </w:r>
          </w:p>
        </w:tc>
        <w:tc>
          <w:tcPr>
            <w:tcW w:w="2190" w:type="dxa"/>
          </w:tcPr>
          <w:p>
            <w:pPr/>
            <w:r>
              <w:t xml:space="preserve">Quantitative</w:t>
            </w:r>
          </w:p>
        </w:tc>
        <w:tc>
          <w:tcPr>
            <w:tcW w:w="4068" w:type="dxa"/>
          </w:tcPr>
          <w:p>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p>
        </w:tc>
      </w:tr>
      <w:tr>
        <w:tc>
          <w:tcPr>
            <w:tcW w:w="1186" w:type="dxa"/>
          </w:tcPr>
          <w:p>
            <w:pPr/>
            <w:r>
              <w:t xml:space="preserve">Design</w:t>
            </w:r>
          </w:p>
        </w:tc>
        <w:tc>
          <w:tcPr>
            <w:tcW w:w="2190" w:type="dxa"/>
          </w:tcPr>
          <w:p>
            <w:pPr/>
            <w:r>
              <w:t xml:space="preserve">Intervention or designed teaching</w:t>
            </w:r>
          </w:p>
        </w:tc>
        <w:tc>
          <w:tcPr>
            <w:tcW w:w="4068" w:type="dxa"/>
          </w:tcPr>
          <w:p>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p>
        </w:tc>
      </w:tr>
      <w:tr>
        <w:tc>
          <w:tcPr>
            <w:tcW w:w="1186" w:type="dxa"/>
          </w:tcPr>
          <w:p>
            <w:pPr/>
            <w:r>
              <w:t xml:space="preserve">Tradition</w:t>
            </w:r>
          </w:p>
        </w:tc>
        <w:tc>
          <w:tcPr>
            <w:tcW w:w="2190" w:type="dxa"/>
          </w:tcPr>
          <w:p>
            <w:pPr/>
            <w:r>
              <w:t xml:space="preserve">Critical pedagogy (Freirean)</w:t>
            </w:r>
          </w:p>
        </w:tc>
        <w:tc>
          <w:tcPr>
            <w:tcW w:w="4068" w:type="dxa"/>
          </w:tcPr>
          <w:p>
            <w:pPr/>
            <w:r>
              <w:rPr>
                <w:rStyle w:val="CodeChar"/>
              </w:rPr>
              <w:t xml:space="preserve">freire* OR "critical pedagogy" OR "pedagogía crítica" OR emancipat* OR conscientiz*</w:t>
            </w:r>
          </w:p>
        </w:tc>
        <w:tc>
          <w:tcPr>
            <w:tcW w:w="1916" w:type="dxa"/>
          </w:tcPr>
          <w:p>
            <w:pPr/>
          </w:p>
        </w:tc>
      </w:tr>
      <w:tr>
        <w:tc>
          <w:tcPr>
            <w:tcW w:w="1186" w:type="dxa"/>
          </w:tcPr>
          <w:p>
            <w:pPr/>
            <w:r>
              <w:t xml:space="preserve">Tradition</w:t>
            </w:r>
          </w:p>
        </w:tc>
        <w:tc>
          <w:tcPr>
            <w:tcW w:w="2190" w:type="dxa"/>
          </w:tcPr>
          <w:p>
            <w:pPr/>
            <w:r>
              <w:t xml:space="preserve">Multiliteracies and New Literacy Studies</w:t>
            </w:r>
          </w:p>
        </w:tc>
        <w:tc>
          <w:tcPr>
            <w:tcW w:w="4068" w:type="dxa"/>
          </w:tcPr>
          <w:p>
            <w:pPr/>
            <w:r>
              <w:rPr>
                <w:rStyle w:val="CodeChar"/>
              </w:rPr>
              <w:t xml:space="preserve">multiliterac* OR "new literacies" OR "new literacy studies" OR multimodal* OR "social semiotic*" OR multiliteracidades</w:t>
            </w:r>
          </w:p>
        </w:tc>
        <w:tc>
          <w:tcPr>
            <w:tcW w:w="1916" w:type="dxa"/>
          </w:tcPr>
          <w:p>
            <w:pPr/>
          </w:p>
        </w:tc>
      </w:tr>
      <w:tr>
        <w:tc>
          <w:tcPr>
            <w:tcW w:w="1186" w:type="dxa"/>
          </w:tcPr>
          <w:p>
            <w:pPr/>
            <w:r>
              <w:t xml:space="preserve">Tradition</w:t>
            </w:r>
          </w:p>
        </w:tc>
        <w:tc>
          <w:tcPr>
            <w:tcW w:w="2190" w:type="dxa"/>
          </w:tcPr>
          <w:p>
            <w:pPr/>
            <w:r>
              <w:t xml:space="preserve">Media literacy and educommunication</w:t>
            </w:r>
          </w:p>
        </w:tc>
        <w:tc>
          <w:tcPr>
            <w:tcW w:w="4068" w:type="dxa"/>
          </w:tcPr>
          <w:p>
            <w:pPr/>
            <w:r>
              <w:rPr>
                <w:rStyle w:val="CodeChar"/>
              </w:rPr>
              <w:t xml:space="preserve">"media literacy" OR "media education" OR educommunication OR educomunicación OR "alfabetización mediática" OR "media and information literacy"</w:t>
            </w:r>
          </w:p>
        </w:tc>
        <w:tc>
          <w:tcPr>
            <w:tcW w:w="1916" w:type="dxa"/>
          </w:tcPr>
          <w:p>
            <w:pPr/>
          </w:p>
        </w:tc>
      </w:tr>
      <w:tr>
        <w:tc>
          <w:tcPr>
            <w:tcW w:w="1186" w:type="dxa"/>
          </w:tcPr>
          <w:p>
            <w:pPr/>
            <w:r>
              <w:t xml:space="preserve">Tradition</w:t>
            </w:r>
          </w:p>
        </w:tc>
        <w:tc>
          <w:tcPr>
            <w:tcW w:w="2190" w:type="dxa"/>
          </w:tcPr>
          <w:p>
            <w:pPr/>
            <w:r>
              <w:t xml:space="preserve">Digital citizenship</w:t>
            </w:r>
          </w:p>
        </w:tc>
        <w:tc>
          <w:tcPr>
            <w:tcW w:w="4068" w:type="dxa"/>
          </w:tcPr>
          <w:p>
            <w:pPr/>
            <w:r>
              <w:rPr>
                <w:rStyle w:val="CodeChar"/>
              </w:rPr>
              <w:t xml:space="preserve">"digital citizenship" OR civic OR citizenship OR ciudadanía</w:t>
            </w:r>
          </w:p>
        </w:tc>
        <w:tc>
          <w:tcPr>
            <w:tcW w:w="1916" w:type="dxa"/>
          </w:tcPr>
          <w:p>
            <w:pPr/>
          </w:p>
        </w:tc>
      </w:tr>
      <w:tr>
        <w:tc>
          <w:tcPr>
            <w:tcW w:w="1186" w:type="dxa"/>
          </w:tcPr>
          <w:p>
            <w:pPr/>
            <w:r>
              <w:t xml:space="preserve">Tradition</w:t>
            </w:r>
          </w:p>
        </w:tc>
        <w:tc>
          <w:tcPr>
            <w:tcW w:w="2190" w:type="dxa"/>
          </w:tcPr>
          <w:p>
            <w:pPr/>
            <w:r>
              <w:t xml:space="preserve">Race, gender and decolonial perspectives</w:t>
            </w:r>
          </w:p>
        </w:tc>
        <w:tc>
          <w:tcPr>
            <w:tcW w:w="4068" w:type="dxa"/>
          </w:tcPr>
          <w:p>
            <w:pPr/>
            <w:r>
              <w:rPr>
                <w:rStyle w:val="CodeChar"/>
              </w:rPr>
              <w:t xml:space="preserve">race OR racism OR racial OR "critical race" OR gender OR feminis* OR queer OR decoloni* OR género</w:t>
            </w:r>
          </w:p>
        </w:tc>
        <w:tc>
          <w:tcPr>
            <w:tcW w:w="1916" w:type="dxa"/>
          </w:tcPr>
          <w:p>
            <w:pPr/>
          </w:p>
        </w:tc>
      </w:tr>
      <w:tr>
        <w:tc>
          <w:tcPr>
            <w:tcW w:w="1186" w:type="dxa"/>
          </w:tcPr>
          <w:p>
            <w:pPr/>
            <w:r>
              <w:t xml:space="preserve">Object</w:t>
            </w:r>
          </w:p>
        </w:tc>
        <w:tc>
          <w:tcPr>
            <w:tcW w:w="2190" w:type="dxa"/>
          </w:tcPr>
          <w:p>
            <w:pPr/>
            <w:r>
              <w:t xml:space="preserve">Artificial intelligence</w:t>
            </w:r>
          </w:p>
        </w:tc>
        <w:tc>
          <w:tcPr>
            <w:tcW w:w="4068" w:type="dxa"/>
          </w:tcPr>
          <w:p>
            <w:pPr/>
            <w:r>
              <w:rPr>
                <w:rStyle w:val="CodeChar"/>
              </w:rPr>
              <w:t xml:space="preserve">"artificial intelligence" OR "generative AI" OR genai OR chatgpt OR "large language model*" OR "inteligencia artificial"</w:t>
            </w:r>
          </w:p>
        </w:tc>
        <w:tc>
          <w:tcPr>
            <w:tcW w:w="1916" w:type="dxa"/>
          </w:tcPr>
          <w:p>
            <w:pPr/>
            <w:r>
              <w:rPr>
                <w:rStyle w:val="CodeChar"/>
              </w:rPr>
              <w:t xml:space="preserve">"generative AI" OR "generative artificial intelligence" OR chatgpt OR "large language model*" OR genai</w:t>
            </w:r>
          </w:p>
        </w:tc>
      </w:tr>
      <w:tr>
        <w:tc>
          <w:tcPr>
            <w:tcW w:w="1186" w:type="dxa"/>
          </w:tcPr>
          <w:p>
            <w:pPr/>
            <w:r>
              <w:t xml:space="preserve">Object</w:t>
            </w:r>
          </w:p>
        </w:tc>
        <w:tc>
          <w:tcPr>
            <w:tcW w:w="2190" w:type="dxa"/>
          </w:tcPr>
          <w:p>
            <w:pPr/>
            <w:r>
              <w:t xml:space="preserve">Algorithms, data and platforms</w:t>
            </w:r>
          </w:p>
        </w:tc>
        <w:tc>
          <w:tcPr>
            <w:tcW w:w="4068" w:type="dxa"/>
          </w:tcPr>
          <w:p>
            <w:pPr/>
            <w:r>
              <w:rPr>
                <w:rStyle w:val="CodeChar"/>
              </w:rPr>
              <w:t xml:space="preserve">algorithm* OR datafication OR "data literacy" OR platform* OR "big data" OR algoritm* OR plataform*</w:t>
            </w:r>
          </w:p>
        </w:tc>
        <w:tc>
          <w:tcPr>
            <w:tcW w:w="1916" w:type="dxa"/>
          </w:tcPr>
          <w:p>
            <w:pPr/>
            <w:r>
              <w:rPr>
                <w:rStyle w:val="CodeChar"/>
              </w:rPr>
              <w:t xml:space="preserve">platform* OR algorithm* OR datafication</w:t>
            </w:r>
          </w:p>
        </w:tc>
      </w:tr>
      <w:tr>
        <w:tc>
          <w:tcPr>
            <w:tcW w:w="1186" w:type="dxa"/>
          </w:tcPr>
          <w:p>
            <w:pPr/>
            <w:r>
              <w:t xml:space="preserve">Object</w:t>
            </w:r>
          </w:p>
        </w:tc>
        <w:tc>
          <w:tcPr>
            <w:tcW w:w="2190" w:type="dxa"/>
          </w:tcPr>
          <w:p>
            <w:pPr/>
            <w:r>
              <w:t xml:space="preserve">Social media</w:t>
            </w:r>
          </w:p>
        </w:tc>
        <w:tc>
          <w:tcPr>
            <w:tcW w:w="4068" w:type="dxa"/>
          </w:tcPr>
          <w:p>
            <w:pPr/>
            <w:r>
              <w:rPr>
                <w:rStyle w:val="CodeChar"/>
              </w:rPr>
              <w:t xml:space="preserve">"social media" OR "social network*" OR instagram OR tiktok OR twitter OR youtube OR snapchat OR whatsapp OR "redes sociales"</w:t>
            </w:r>
          </w:p>
        </w:tc>
        <w:tc>
          <w:tcPr>
            <w:tcW w:w="1916" w:type="dxa"/>
          </w:tcPr>
          <w:p>
            <w:pPr/>
            <w:r>
              <w:rPr>
                <w:rStyle w:val="CodeChar"/>
              </w:rPr>
              <w:t xml:space="preserve">"social media"</w:t>
            </w:r>
          </w:p>
        </w:tc>
      </w:tr>
      <w:tr>
        <w:tc>
          <w:tcPr>
            <w:tcW w:w="1186" w:type="dxa"/>
          </w:tcPr>
          <w:p>
            <w:pPr/>
            <w:r>
              <w:t xml:space="preserve">Object</w:t>
            </w:r>
          </w:p>
        </w:tc>
        <w:tc>
          <w:tcPr>
            <w:tcW w:w="2190" w:type="dxa"/>
          </w:tcPr>
          <w:p>
            <w:pPr/>
            <w:r>
              <w:t xml:space="preserve">Disinformation and post-truth</w:t>
            </w:r>
          </w:p>
        </w:tc>
        <w:tc>
          <w:tcPr>
            <w:tcW w:w="4068" w:type="dxa"/>
          </w:tcPr>
          <w:p>
            <w:pPr/>
            <w:r>
              <w:rPr>
                <w:rStyle w:val="CodeChar"/>
              </w:rPr>
              <w:t xml:space="preserve">misinformation OR disinformation OR "fake news" OR "post-truth" OR posverdad OR desinformación OR conspira*</w:t>
            </w:r>
          </w:p>
        </w:tc>
        <w:tc>
          <w:tcPr>
            <w:tcW w:w="1916" w:type="dxa"/>
          </w:tcPr>
          <w:p>
            <w:pPr/>
          </w:p>
        </w:tc>
      </w:tr>
      <w:tr>
        <w:tc>
          <w:tcPr>
            <w:tcW w:w="1186" w:type="dxa"/>
          </w:tcPr>
          <w:p>
            <w:pPr/>
            <w:r>
              <w:t xml:space="preserve">Object</w:t>
            </w:r>
          </w:p>
        </w:tc>
        <w:tc>
          <w:tcPr>
            <w:tcW w:w="2190" w:type="dxa"/>
          </w:tcPr>
          <w:p>
            <w:pPr/>
            <w:r>
              <w:t xml:space="preserve">Privacy and surveillance</w:t>
            </w:r>
          </w:p>
        </w:tc>
        <w:tc>
          <w:tcPr>
            <w:tcW w:w="4068" w:type="dxa"/>
          </w:tcPr>
          <w:p>
            <w:pPr/>
            <w:r>
              <w:rPr>
                <w:rStyle w:val="CodeChar"/>
              </w:rPr>
              <w:t xml:space="preserve">privacy OR surveillance OR privacidad OR vigilancia</w:t>
            </w:r>
          </w:p>
        </w:tc>
        <w:tc>
          <w:tcPr>
            <w:tcW w:w="1916" w:type="dxa"/>
          </w:tcPr>
          <w:p>
            <w:pPr/>
          </w:p>
        </w:tc>
      </w:tr>
      <w:tr>
        <w:tc>
          <w:tcPr>
            <w:tcW w:w="1186" w:type="dxa"/>
          </w:tcPr>
          <w:p>
            <w:pPr/>
            <w:r>
              <w:t xml:space="preserve">Object</w:t>
            </w:r>
          </w:p>
        </w:tc>
        <w:tc>
          <w:tcPr>
            <w:tcW w:w="2190" w:type="dxa"/>
          </w:tcPr>
          <w:p>
            <w:pPr/>
            <w:r>
              <w:t xml:space="preserve">Hate speech and radicalisation</w:t>
            </w:r>
          </w:p>
        </w:tc>
        <w:tc>
          <w:tcPr>
            <w:tcW w:w="4068" w:type="dxa"/>
          </w:tcPr>
          <w:p>
            <w:pPr/>
            <w:r>
              <w:rPr>
                <w:rStyle w:val="CodeChar"/>
              </w:rPr>
              <w:t xml:space="preserve">"hate speech" OR radicali* OR extremis* OR "discurso de odio" OR fascis*</w:t>
            </w:r>
          </w:p>
        </w:tc>
        <w:tc>
          <w:tcPr>
            <w:tcW w:w="1916" w:type="dxa"/>
          </w:tcPr>
          <w:p>
            <w:pPr/>
          </w:p>
        </w:tc>
      </w:tr>
      <w:tr>
        <w:tc>
          <w:tcPr>
            <w:tcW w:w="1186" w:type="dxa"/>
          </w:tcPr>
          <w:p>
            <w:pPr/>
            <w:r>
              <w:t xml:space="preserve">Context</w:t>
            </w:r>
          </w:p>
        </w:tc>
        <w:tc>
          <w:tcPr>
            <w:tcW w:w="2190" w:type="dxa"/>
          </w:tcPr>
          <w:p>
            <w:pPr/>
            <w:r>
              <w:t xml:space="preserve">Second or foreign language education</w:t>
            </w:r>
          </w:p>
        </w:tc>
        <w:tc>
          <w:tcPr>
            <w:tcW w:w="4068" w:type="dxa"/>
          </w:tcPr>
          <w:p>
            <w:pPr/>
            <w:r>
              <w:rPr>
                <w:rStyle w:val="CodeChar"/>
              </w:rPr>
              <w:t xml:space="preserve">EFL OR ESL OR "English language teaching" OR "second language" OR "foreign language" OR L2 OR TESOL OR "lengua extranjera"</w:t>
            </w:r>
          </w:p>
        </w:tc>
        <w:tc>
          <w:tcPr>
            <w:tcW w:w="1916" w:type="dxa"/>
          </w:tcPr>
          <w:p>
            <w:pPr/>
          </w:p>
        </w:tc>
      </w:tr>
      <w:tr>
        <w:tc>
          <w:tcPr>
            <w:tcW w:w="1186" w:type="dxa"/>
          </w:tcPr>
          <w:p>
            <w:pPr/>
            <w:r>
              <w:t xml:space="preserve">Practice</w:t>
            </w:r>
          </w:p>
        </w:tc>
        <w:tc>
          <w:tcPr>
            <w:tcW w:w="2190" w:type="dxa"/>
          </w:tcPr>
          <w:p>
            <w:pPr/>
            <w:r>
              <w:t xml:space="preserve">Student media production</w:t>
            </w:r>
          </w:p>
        </w:tc>
        <w:tc>
          <w:tcPr>
            <w:tcW w:w="4068" w:type="dxa"/>
          </w:tcPr>
          <w:p>
            <w:pPr/>
            <w:r>
              <w:rPr>
                <w:rStyle w:val="CodeChar"/>
              </w:rPr>
              <w:t xml:space="preserve">"digital storytelling" OR "video production" OR "multimodal composing" OR "digital composing" OR podcast* OR "content creation" OR "media production" OR "relato digital"</w:t>
            </w:r>
          </w:p>
        </w:tc>
        <w:tc>
          <w:tcPr>
            <w:tcW w:w="1916"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social media to generative AI A scoping review of critical digital literacy</dc:title>
  <dc:description>Claude Docs node/21063106-04e1@50 docx-w7</dc:description>
  <cp:revision>50</cp:revision>
</cp:coreProperties>
</file>