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/>
          <w:b/>
          <w:color w:val="2E74B5"/>
          <w:sz w:val="24"/>
        </w:rPr>
        <w:t>ESPECIFICAÇÃO DE VISÃO E REQUISITOS</w:t>
      </w:r>
    </w:p>
    <w:p>
      <w:pPr>
        <w:spacing w:before="0" w:after="120"/>
      </w:pPr>
      <w:r>
        <w:rPr>
          <w:rFonts w:ascii="Calibri" w:hAnsi="Calibri"/>
          <w:b/>
          <w:color w:val="17365D"/>
          <w:sz w:val="56"/>
        </w:rPr>
        <w:t>API Management Tax</w:t>
      </w:r>
    </w:p>
    <w:p>
      <w:pPr>
        <w:spacing w:before="0" w:after="360"/>
      </w:pPr>
      <w:r>
        <w:rPr>
          <w:rFonts w:ascii="Calibri" w:hAnsi="Calibri"/>
          <w:color w:val="5F6B7A"/>
          <w:sz w:val="28"/>
        </w:rPr>
        <w:t>Plataforma de governança fiscal multi-jurisdicional para LATAM e Caribe</w:t>
      </w:r>
    </w:p>
    <w:p>
      <w:pPr>
        <w:spacing w:after="40"/>
      </w:pPr>
      <w:r>
        <w:rPr>
          <w:rFonts w:ascii="Calibri" w:hAnsi="Calibri"/>
          <w:b/>
          <w:color w:val="17365D"/>
        </w:rPr>
        <w:t xml:space="preserve">Versão: </w:t>
      </w:r>
      <w:r>
        <w:rPr>
          <w:rFonts w:ascii="Calibri" w:hAnsi="Calibri"/>
          <w:color w:val="000000"/>
        </w:rPr>
        <w:t>0.1 - consolidação inicial</w:t>
      </w:r>
    </w:p>
    <w:p>
      <w:pPr>
        <w:spacing w:after="40"/>
      </w:pPr>
      <w:r>
        <w:rPr>
          <w:rFonts w:ascii="Calibri" w:hAnsi="Calibri"/>
          <w:b/>
          <w:color w:val="17365D"/>
        </w:rPr>
        <w:t xml:space="preserve">Data: </w:t>
      </w:r>
      <w:r>
        <w:rPr>
          <w:rFonts w:ascii="Calibri" w:hAnsi="Calibri"/>
          <w:color w:val="000000"/>
        </w:rPr>
        <w:t>14 de agosto de 2026</w:t>
      </w:r>
    </w:p>
    <w:p>
      <w:pPr>
        <w:spacing w:after="40"/>
      </w:pPr>
      <w:r>
        <w:rPr>
          <w:rFonts w:ascii="Calibri" w:hAnsi="Calibri"/>
          <w:b/>
          <w:color w:val="17365D"/>
        </w:rPr>
        <w:t xml:space="preserve">Status: </w:t>
      </w:r>
      <w:r>
        <w:rPr>
          <w:rFonts w:ascii="Calibri" w:hAnsi="Calibri"/>
          <w:color w:val="000000"/>
        </w:rPr>
        <w:t>Minuta para descoberta, validação e priorização</w:t>
      </w:r>
    </w:p>
    <w:p>
      <w:pPr>
        <w:spacing w:after="40"/>
      </w:pPr>
      <w:r>
        <w:rPr>
          <w:rFonts w:ascii="Calibri" w:hAnsi="Calibri"/>
          <w:b/>
          <w:color w:val="17365D"/>
        </w:rPr>
        <w:t xml:space="preserve">Classificação: </w:t>
      </w:r>
      <w:r>
        <w:rPr>
          <w:rFonts w:ascii="Calibri" w:hAnsi="Calibri"/>
          <w:color w:val="000000"/>
        </w:rPr>
        <w:t>CONFIDENCIAL - uso interno</w:t>
      </w:r>
    </w:p>
    <w:p>
      <w:pPr>
        <w:spacing w:after="40"/>
      </w:pPr>
      <w:r>
        <w:rPr>
          <w:rFonts w:ascii="Calibri" w:hAnsi="Calibri"/>
          <w:b/>
          <w:color w:val="17365D"/>
        </w:rPr>
        <w:t xml:space="preserve">Base: </w:t>
      </w:r>
      <w:r>
        <w:rPr>
          <w:rFonts w:ascii="Calibri" w:hAnsi="Calibri"/>
          <w:color w:val="000000"/>
        </w:rPr>
        <w:t>Nove arquivos fornecidos pelo responsável do projeto</w:t>
      </w:r>
    </w:p>
    <w:p>
      <w:pPr>
        <w:spacing w:before="280" w:after="200"/>
        <w:pBdr>
          <w:bottom w:val="single" w:sz="8" w:space="4" w:color="2E74B5"/>
        </w:pBdr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CE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7365D"/>
              </w:rPr>
              <w:t xml:space="preserve">Finalidade desta minuta: </w:t>
            </w:r>
            <w:r>
              <w:rPr>
                <w:rFonts w:ascii="Calibri" w:hAnsi="Calibri"/>
                <w:color w:val="000000"/>
              </w:rPr>
              <w:t>transformar o plano operacional e seus documentos de apoio em uma base de produto verificável. O documento não valida legislação, não substitui parecer profissional e não autoriza o carregamento de material protegido em plataformas de terceiros.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Síntese executiva</w:t>
      </w:r>
    </w:p>
    <w:p>
      <w:pPr/>
      <w:r>
        <w:rPr>
          <w:rFonts w:ascii="Calibri" w:hAnsi="Calibri"/>
          <w:color w:val="000000"/>
        </w:rPr>
        <w:t>O API Management Tax deverá ser uma plataforma central de governança fiscal para uma empresa francesa listada, com operação logística distribuída por mais de trinta jurisdições da América Latina e do Caribe. A execução técnico-tributária permanece com os escritórios locais; a plataforma dá ao Management Tax visibilidade, autoridade de governança, controles de decisão e evidências de diligência para responder pelo resultado agregado perante CFO, Board e auditoria.</w:t>
      </w:r>
    </w:p>
    <w:p>
      <w:pPr/>
      <w:r>
        <w:rPr>
          <w:rFonts w:ascii="Calibri" w:hAnsi="Calibri"/>
          <w:color w:val="000000"/>
        </w:rPr>
        <w:t>O produto não deve tentar automatizar parecer jurídico nem declarar que uma norma está vigente. Seu papel é organizar trabalho, fontes, responsabilidades, riscos, decisões e resultados; exigir validação humana competente; preservar histórico; e tornar desvios detectáveis e auditáveis.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7365D"/>
              </w:rPr>
              <w:t xml:space="preserve">Resultado esperado: </w:t>
            </w:r>
            <w:r>
              <w:rPr>
                <w:rFonts w:ascii="Calibri" w:hAnsi="Calibri"/>
                <w:color w:val="000000"/>
              </w:rPr>
              <w:t>uma única camada de orquestração para demanda, risco, desempenho dos escritórios, conhecimento legislativo, decisões de alta materialidade, capacidade do gestor e reporte executivo.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Princípios do produto</w:t>
      </w:r>
    </w:p>
    <w:p>
      <w:pPr>
        <w:pStyle w:val="ListBullet"/>
      </w:pPr>
      <w:r>
        <w:rPr>
          <w:rFonts w:ascii="Calibri" w:hAnsi="Calibri"/>
          <w:color w:val="000000"/>
        </w:rPr>
        <w:t>Governança proporcional à materialidade: tiers determinam intensidade de supervisão, nunca ausência de controle.</w:t>
      </w:r>
    </w:p>
    <w:p>
      <w:pPr>
        <w:pStyle w:val="ListBullet"/>
      </w:pPr>
      <w:r>
        <w:rPr>
          <w:rFonts w:ascii="Calibri" w:hAnsi="Calibri"/>
          <w:color w:val="000000"/>
        </w:rPr>
        <w:t>Responsabilidade acompanhada de autoridade: alçadas e gates devem existir antes de responsabilizar o gestor por decisões técnicas executadas por terceiros.</w:t>
      </w:r>
    </w:p>
    <w:p>
      <w:pPr>
        <w:pStyle w:val="ListBullet"/>
      </w:pPr>
      <w:r>
        <w:rPr>
          <w:rFonts w:ascii="Calibri" w:hAnsi="Calibri"/>
          <w:color w:val="000000"/>
        </w:rPr>
        <w:t>Fonte oficial e histórica: legislação vigente e superada deve permanecer datada e rastreável.</w:t>
      </w:r>
    </w:p>
    <w:p>
      <w:pPr>
        <w:pStyle w:val="ListBullet"/>
      </w:pPr>
      <w:r>
        <w:rPr>
          <w:rFonts w:ascii="Calibri" w:hAnsi="Calibri"/>
          <w:color w:val="000000"/>
        </w:rPr>
        <w:t>Validação humana obrigatória: conteúdo tributário por jurisdição é preliminar até confirmação formal do escritório habilitado.</w:t>
      </w:r>
    </w:p>
    <w:p>
      <w:pPr>
        <w:pStyle w:val="ListBullet"/>
      </w:pPr>
      <w:r>
        <w:rPr>
          <w:rFonts w:ascii="Calibri" w:hAnsi="Calibri"/>
          <w:color w:val="000000"/>
        </w:rPr>
        <w:t>Segurança por classificação: material público, gerencial, privilegiado e interno não pode seguir a mesma política de armazenamento e acesso.</w:t>
      </w:r>
    </w:p>
    <w:p>
      <w:pPr>
        <w:pStyle w:val="ListBullet"/>
      </w:pPr>
      <w:r>
        <w:rPr>
          <w:rFonts w:ascii="Calibri" w:hAnsi="Calibri"/>
          <w:color w:val="000000"/>
        </w:rPr>
        <w:t>Parâmetros visíveis e calibráveis: pesos, metas, limiares e capacidade são premissas versionadas, não verdades ocultas.</w:t>
      </w:r>
    </w:p>
    <w:p>
      <w:pPr>
        <w:pStyle w:val="Heading1"/>
        <w:keepNext/>
      </w:pPr>
      <w:r>
        <w:t>2. Fontes consolidadas e confiabilidade</w:t>
      </w:r>
    </w:p>
    <w:p>
      <w:pPr/>
      <w:r>
        <w:rPr>
          <w:rFonts w:ascii="Calibri" w:hAnsi="Calibri"/>
          <w:color w:val="000000"/>
        </w:rPr>
        <w:t>Foram analisados os nove arquivos indicados. Os originais não foram alterados. Os dois formatos do guia de notebooks possuem conteúdo equivalente, e os dois formatos do prompt adversarial representam versões de apresentação do mesmo método. O relatório de auditoria registra cinquenta achados aplicados, mas declara corretamente que a revisão foi conduzida pelo mesmo agente envolvido na elaboração.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50"/>
        <w:gridCol w:w="3150"/>
        <w:gridCol w:w="3060"/>
      </w:tblGrid>
      <w:tr>
        <w:trPr>
          <w:tblHeader w:val="true"/>
        </w:trPr>
        <w:tc>
          <w:tcPr>
            <w:tcW w:type="dxa" w:w="315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Arquivo</w:t>
            </w:r>
          </w:p>
        </w:tc>
        <w:tc>
          <w:tcPr>
            <w:tcW w:type="dxa" w:w="315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Contribuição</w:t>
            </w:r>
          </w:p>
        </w:tc>
        <w:tc>
          <w:tcPr>
            <w:tcW w:type="dxa" w:w="30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Tratamento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Plano_Acao_Tax_LATAM_Caribe.txt</w:t>
            </w:r>
          </w:p>
        </w:tc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Plano operacional em cinco fases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Fonte principal; técnica local ainda preliminar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Relatorio_Auditoria_Plano_Tax_LATAM.txt</w:t>
            </w:r>
          </w:p>
        </w:tc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50 achados e status de aplicação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Consistência interna; sem independência plena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Manual_Modelo_Carga_Trabalho.txt</w:t>
            </w:r>
          </w:p>
        </w:tc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Uso e limites do modelo paramétrico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Premissas estimadas até calibração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Modelo_Carga_Management_Tax.csv</w:t>
            </w:r>
          </w:p>
        </w:tc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Parâmetros de jurisdição, tempo e frequência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Base inicial para simulador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Guia_Notebooks_Consulta_Legislativa.txt</w:t>
            </w:r>
          </w:p>
        </w:tc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Arquitetura de conhecimento por país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Duplicado funcional do arquivo Markdown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guia_notebooks_por_pais.md</w:t>
            </w:r>
          </w:p>
        </w:tc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Versão estruturada do guia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Fonte preferencial para estrutura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Manual_Revisor_Adversarial.txt</w:t>
            </w:r>
          </w:p>
        </w:tc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Procedimento de segunda leitura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Não equivale a validação profissional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prompt_revisor_adversarial.md</w:t>
            </w:r>
          </w:p>
        </w:tc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Prompt adversarial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Versão preferencial para uso controlado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Prompt_Revisor_Adversarial.txt</w:t>
            </w:r>
          </w:p>
        </w:tc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Versão em texto do prompt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Conteúdo substancialmente equivalente</w:t>
            </w:r>
          </w:p>
        </w:tc>
      </w:tr>
    </w:tbl>
    <w:p>
      <w:pPr>
        <w:spacing w:before="80" w:after="0"/>
      </w:pPr>
    </w:p>
    <w:p>
      <w:pPr>
        <w:pStyle w:val="Heading2"/>
        <w:keepNext/>
      </w:pPr>
      <w:r>
        <w:t>2.1 Condições ainda pendentes</w:t>
      </w:r>
    </w:p>
    <w:p>
      <w:pPr>
        <w:pStyle w:val="ListBullet"/>
      </w:pPr>
      <w:r>
        <w:rPr>
          <w:rFonts w:ascii="Calibri" w:hAnsi="Calibri"/>
          <w:color w:val="000000"/>
        </w:rPr>
        <w:t>Calibrar pesos, metas e limiares com dados reais após o primeiro trimestre.</w:t>
      </w:r>
    </w:p>
    <w:p>
      <w:pPr>
        <w:pStyle w:val="ListBullet"/>
      </w:pPr>
      <w:r>
        <w:rPr>
          <w:rFonts w:ascii="Calibri" w:hAnsi="Calibri"/>
          <w:color w:val="000000"/>
        </w:rPr>
        <w:t>Validar formalmente as observações técnicas com o escritório de cada jurisdição.</w:t>
      </w:r>
    </w:p>
    <w:p>
      <w:pPr>
        <w:pStyle w:val="ListBullet"/>
      </w:pPr>
      <w:r>
        <w:rPr>
          <w:rFonts w:ascii="Calibri" w:hAnsi="Calibri"/>
          <w:color w:val="000000"/>
        </w:rPr>
        <w:t>Reexecutar o modelo de carga com tempo efetivamente medido.</w:t>
      </w:r>
    </w:p>
    <w:p>
      <w:pPr>
        <w:pStyle w:val="ListBullet"/>
      </w:pPr>
      <w:r>
        <w:rPr>
          <w:rFonts w:ascii="Calibri" w:hAnsi="Calibri"/>
          <w:color w:val="000000"/>
        </w:rPr>
        <w:t>Obter decisão do CFO sobre apetite de risco, estrutura de custos e priorização.</w:t>
      </w:r>
    </w:p>
    <w:p>
      <w:pPr>
        <w:pStyle w:val="ListBullet"/>
      </w:pPr>
      <w:r>
        <w:rPr>
          <w:rFonts w:ascii="Calibri" w:hAnsi="Calibri"/>
          <w:color w:val="000000"/>
        </w:rPr>
        <w:t>Obter parecer sobre privilege antes de armazenar pareceres jurídicos em ferramenta de terceiros.</w:t>
      </w:r>
    </w:p>
    <w:p>
      <w:pPr>
        <w:pStyle w:val="ListBullet"/>
      </w:pPr>
      <w:r>
        <w:rPr>
          <w:rFonts w:ascii="Calibri" w:hAnsi="Calibri"/>
          <w:color w:val="000000"/>
        </w:rPr>
        <w:t>Realizar revisão por profissional habilitado e não envolvido na elaboração.</w:t>
      </w:r>
    </w:p>
    <w:p>
      <w:pPr>
        <w:pStyle w:val="Heading1"/>
        <w:keepNext/>
      </w:pPr>
      <w:r>
        <w:t>3. Escopo do API Management Tax</w:t>
      </w:r>
    </w:p>
    <w:p>
      <w:pPr>
        <w:pStyle w:val="Heading2"/>
        <w:keepNext/>
      </w:pPr>
      <w:r>
        <w:t>3.1 Incluído na visão de produto</w:t>
      </w:r>
    </w:p>
    <w:p>
      <w:pPr>
        <w:pStyle w:val="ListBullet"/>
      </w:pPr>
      <w:r>
        <w:rPr>
          <w:rFonts w:ascii="Calibri" w:hAnsi="Calibri"/>
          <w:color w:val="000000"/>
        </w:rPr>
        <w:t>Cadastro de jurisdições, presença operacional, tiers, exceções de risco e escritórios responsáveis.</w:t>
      </w:r>
    </w:p>
    <w:p>
      <w:pPr>
        <w:pStyle w:val="ListBullet"/>
      </w:pPr>
      <w:r>
        <w:rPr>
          <w:rFonts w:ascii="Calibri" w:hAnsi="Calibri"/>
          <w:color w:val="000000"/>
        </w:rPr>
        <w:t>Gestão de demandas e prazos em fluxo Kanban com triagem por impacto, urgência e materialidade.</w:t>
      </w:r>
    </w:p>
    <w:p>
      <w:pPr>
        <w:pStyle w:val="ListBullet"/>
      </w:pPr>
      <w:r>
        <w:rPr>
          <w:rFonts w:ascii="Calibri" w:hAnsi="Calibri"/>
          <w:color w:val="000000"/>
        </w:rPr>
        <w:t>Governança da rede de escritórios, SLA, scorecard, IDE, planos de melhoria e transições.</w:t>
      </w:r>
    </w:p>
    <w:p>
      <w:pPr>
        <w:pStyle w:val="ListBullet"/>
      </w:pPr>
      <w:r>
        <w:rPr>
          <w:rFonts w:ascii="Calibri" w:hAnsi="Calibri"/>
          <w:color w:val="000000"/>
        </w:rPr>
        <w:t>Matriz de riscos, contingências, baseline, aging, materialidade e escalation path.</w:t>
      </w:r>
    </w:p>
    <w:p>
      <w:pPr>
        <w:pStyle w:val="ListBullet"/>
      </w:pPr>
      <w:r>
        <w:rPr>
          <w:rFonts w:ascii="Calibri" w:hAnsi="Calibri"/>
          <w:color w:val="000000"/>
        </w:rPr>
        <w:t>Repositório legislativo e histórico por país, com fontes, versões e registros de decisão.</w:t>
      </w:r>
    </w:p>
    <w:p>
      <w:pPr>
        <w:pStyle w:val="ListBullet"/>
      </w:pPr>
      <w:r>
        <w:rPr>
          <w:rFonts w:ascii="Calibri" w:hAnsi="Calibri"/>
          <w:color w:val="000000"/>
        </w:rPr>
        <w:t>Alçadas, gates ex ante, segunda opinião e documentação de reliance.</w:t>
      </w:r>
    </w:p>
    <w:p>
      <w:pPr>
        <w:pStyle w:val="ListBullet"/>
      </w:pPr>
      <w:r>
        <w:rPr>
          <w:rFonts w:ascii="Calibri" w:hAnsi="Calibri"/>
          <w:color w:val="000000"/>
        </w:rPr>
        <w:t>Indicadores de ETR, créditos, economias, contingências e cash tax forecast.</w:t>
      </w:r>
    </w:p>
    <w:p>
      <w:pPr>
        <w:pStyle w:val="ListBullet"/>
      </w:pPr>
      <w:r>
        <w:rPr>
          <w:rFonts w:ascii="Calibri" w:hAnsi="Calibri"/>
          <w:color w:val="000000"/>
        </w:rPr>
        <w:t>Simulador paramétrico de capacidade e cenários de carga do Management Tax.</w:t>
      </w:r>
    </w:p>
    <w:p>
      <w:pPr>
        <w:pStyle w:val="ListBullet"/>
      </w:pPr>
      <w:r>
        <w:rPr>
          <w:rFonts w:ascii="Calibri" w:hAnsi="Calibri"/>
          <w:color w:val="000000"/>
        </w:rPr>
        <w:t>Reporte executivo por tier, com detalhamento individual prioritário para Tier 1.</w:t>
      </w:r>
    </w:p>
    <w:p>
      <w:pPr>
        <w:pStyle w:val="ListBullet"/>
      </w:pPr>
      <w:r>
        <w:rPr>
          <w:rFonts w:ascii="Calibri" w:hAnsi="Calibri"/>
          <w:color w:val="000000"/>
        </w:rPr>
        <w:t>Trilha de auditoria, retenção, classificação, acesso e exportação controlada.</w:t>
      </w:r>
    </w:p>
    <w:p>
      <w:pPr>
        <w:pStyle w:val="Heading2"/>
        <w:keepNext/>
      </w:pPr>
      <w:r>
        <w:t>3.2 Fora do escopo inicial</w:t>
      </w:r>
    </w:p>
    <w:p>
      <w:pPr>
        <w:pStyle w:val="ListBullet"/>
      </w:pPr>
      <w:r>
        <w:rPr>
          <w:rFonts w:ascii="Calibri" w:hAnsi="Calibri"/>
          <w:color w:val="000000"/>
        </w:rPr>
        <w:t>Emitir parecer ou substituir o profissional habilitado na jurisdição.</w:t>
      </w:r>
    </w:p>
    <w:p>
      <w:pPr>
        <w:pStyle w:val="ListBullet"/>
      </w:pPr>
      <w:r>
        <w:rPr>
          <w:rFonts w:ascii="Calibri" w:hAnsi="Calibri"/>
          <w:color w:val="000000"/>
        </w:rPr>
        <w:t>Declarar automaticamente a vigência ou correção jurídica de uma fonte.</w:t>
      </w:r>
    </w:p>
    <w:p>
      <w:pPr>
        <w:pStyle w:val="ListBullet"/>
      </w:pPr>
      <w:r>
        <w:rPr>
          <w:rFonts w:ascii="Calibri" w:hAnsi="Calibri"/>
          <w:color w:val="000000"/>
        </w:rPr>
        <w:t>Executar obrigações fiscais locais ou protocolar peças perante autoridades.</w:t>
      </w:r>
    </w:p>
    <w:p>
      <w:pPr>
        <w:pStyle w:val="ListBullet"/>
      </w:pPr>
      <w:r>
        <w:rPr>
          <w:rFonts w:ascii="Calibri" w:hAnsi="Calibri"/>
          <w:color w:val="000000"/>
        </w:rPr>
        <w:t>Armazenar parecer integral potencialmente privilegiado sem aprovação jurídica específica.</w:t>
      </w:r>
    </w:p>
    <w:p>
      <w:pPr>
        <w:pStyle w:val="ListBullet"/>
      </w:pPr>
      <w:r>
        <w:rPr>
          <w:rFonts w:ascii="Calibri" w:hAnsi="Calibri"/>
          <w:color w:val="000000"/>
        </w:rPr>
        <w:t>Automatizar planejamento tributário ou recomendar posição fiscal sem gate humano.</w:t>
      </w:r>
    </w:p>
    <w:p>
      <w:pPr>
        <w:pStyle w:val="ListBullet"/>
      </w:pPr>
      <w:r>
        <w:rPr>
          <w:rFonts w:ascii="Calibri" w:hAnsi="Calibri"/>
          <w:color w:val="000000"/>
        </w:rPr>
        <w:t>Substituir ERP, sistema contábil, ferramenta de compliance local ou gestão processual especializada.</w:t>
      </w:r>
    </w:p>
    <w:p>
      <w:pPr>
        <w:pStyle w:val="Heading1"/>
        <w:keepNext/>
      </w:pPr>
      <w:r>
        <w:t>4. Usuários e responsabilidades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150"/>
        <w:gridCol w:w="5310"/>
      </w:tblGrid>
      <w:tr>
        <w:trPr>
          <w:tblHeader w:val="true"/>
        </w:trPr>
        <w:tc>
          <w:tcPr>
            <w:tcW w:type="dxa" w:w="19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Perfil</w:t>
            </w:r>
          </w:p>
        </w:tc>
        <w:tc>
          <w:tcPr>
            <w:tcW w:type="dxa" w:w="215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Papel</w:t>
            </w:r>
          </w:p>
        </w:tc>
        <w:tc>
          <w:tcPr>
            <w:tcW w:type="dxa" w:w="531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Responsabilidade principal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Management Tax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Proprietário operacional</w:t>
            </w:r>
          </w:p>
        </w:tc>
        <w:tc>
          <w:tcPr>
            <w:tcW w:type="dxa" w:w="5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Prioriza, aprova gates, consolida, cobra escritórios e reporta ao CFO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CFO Regional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Sponsor e autoridade</w:t>
            </w:r>
          </w:p>
        </w:tc>
        <w:tc>
          <w:tcPr>
            <w:tcW w:type="dxa" w:w="5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Aprova apetite, custos, materialidade e decisões acima da alçada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Escritório local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Responsável técnico</w:t>
            </w:r>
          </w:p>
        </w:tc>
        <w:tc>
          <w:tcPr>
            <w:tcW w:type="dxa" w:w="5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Valida conteúdo, atualiza fontes, executa trabalho e responde tecnicamente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Controladoria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Coproprietária de fechamento</w:t>
            </w:r>
          </w:p>
        </w:tc>
        <w:tc>
          <w:tcPr>
            <w:tcW w:type="dxa" w:w="5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Provisionamento, imposto diferido, ETR e calendário contábil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Jurídico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Guardião de privilege</w:t>
            </w:r>
          </w:p>
        </w:tc>
        <w:tc>
          <w:tcPr>
            <w:tcW w:type="dxa" w:w="5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Classificação, retenção, disclosure e parecer de sigilo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Segurança da Informação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Guardião técnico</w:t>
            </w:r>
          </w:p>
        </w:tc>
        <w:tc>
          <w:tcPr>
            <w:tcW w:type="dxa" w:w="5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Identidade, acesso, logs, criptografia e incidentes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Auditoria interna/externa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Leitor controlado</w:t>
            </w:r>
          </w:p>
        </w:tc>
        <w:tc>
          <w:tcPr>
            <w:tcW w:type="dxa" w:w="5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Consulta evidências, trilhas e consistência de controles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Board/Comitê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Consumidor executivo</w:t>
            </w:r>
          </w:p>
        </w:tc>
        <w:tc>
          <w:tcPr>
            <w:tcW w:type="dxa" w:w="5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Acompanha resultado, risco e decisões materiais</w:t>
            </w:r>
          </w:p>
        </w:tc>
      </w:tr>
    </w:tbl>
    <w:p>
      <w:pPr>
        <w:spacing w:before="80" w:after="0"/>
      </w:pPr>
    </w:p>
    <w:p>
      <w:pPr>
        <w:pStyle w:val="Heading1"/>
        <w:keepNext/>
      </w:pPr>
      <w:r>
        <w:t>5. Arquitetura funcional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250"/>
        <w:gridCol w:w="6410"/>
      </w:tblGrid>
      <w:tr>
        <w:trPr>
          <w:tblHeader w:val="true"/>
        </w:trPr>
        <w:tc>
          <w:tcPr>
            <w:tcW w:type="dxa" w:w="7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ID</w:t>
            </w:r>
          </w:p>
        </w:tc>
        <w:tc>
          <w:tcPr>
            <w:tcW w:type="dxa" w:w="225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Módulo</w:t>
            </w:r>
          </w:p>
        </w:tc>
        <w:tc>
          <w:tcPr>
            <w:tcW w:type="dxa" w:w="641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Capacidade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M01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Jurisdições e tiers</w:t>
            </w:r>
          </w:p>
        </w:tc>
        <w:tc>
          <w:tcPr>
            <w:tcW w:type="dxa" w:w="6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Presença, tier, exceção, idioma, moeda, calendário, materialidade, escritório e status de validação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M02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Demandas e Kanban</w:t>
            </w:r>
          </w:p>
        </w:tc>
        <w:tc>
          <w:tcPr>
            <w:tcW w:type="dxa" w:w="6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Backlog, triagem, execução externa, validação, conclusão, WIP, SLA e prazo legal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M03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Rede de escritórios</w:t>
            </w:r>
          </w:p>
        </w:tc>
        <w:tc>
          <w:tcPr>
            <w:tcW w:type="dxa" w:w="6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Contratos, escopo, honorários, contatos, procurações, cobertura, hubs e transição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M04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Scorecard e IDE</w:t>
            </w:r>
          </w:p>
        </w:tc>
        <w:tc>
          <w:tcPr>
            <w:tcW w:type="dxa" w:w="6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Indicadores, pesos, metas, normalização, classificação, calibração e plano de melhoria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M05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Riscos e contingências</w:t>
            </w:r>
          </w:p>
        </w:tc>
        <w:tc>
          <w:tcPr>
            <w:tcW w:type="dxa" w:w="6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Baseline, categoria, probabilidade, exposição, aging, apetite, sanções e escalonamento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M06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Conhecimento legislativo</w:t>
            </w:r>
          </w:p>
        </w:tc>
        <w:tc>
          <w:tcPr>
            <w:tcW w:type="dxa" w:w="6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Fontes A-F, idioma, origem, vigência declarada, versões, citações e decisões históricas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M07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Decisão e reliance</w:t>
            </w:r>
          </w:p>
        </w:tc>
        <w:tc>
          <w:tcPr>
            <w:tcW w:type="dxa" w:w="6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Alçada, gate prévio, parecer, segunda opinião, divergência, decisão e evidência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M08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Valor e caixa</w:t>
            </w:r>
          </w:p>
        </w:tc>
        <w:tc>
          <w:tcPr>
            <w:tcW w:type="dxa" w:w="6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ETR, Pilar 2, créditos, incentivos, economia, litígio, garantia e cash tax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M09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Capacidade</w:t>
            </w:r>
          </w:p>
        </w:tc>
        <w:tc>
          <w:tcPr>
            <w:tcW w:type="dxa" w:w="6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Horas úteis, reservas, atividades, frequência, cenários, ocupação e veredito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M10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Reporte e auditoria</w:t>
            </w:r>
          </w:p>
        </w:tc>
        <w:tc>
          <w:tcPr>
            <w:tcW w:type="dxa" w:w="6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Painéis por tier, pacotes executivos, exportações, logs e evidências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M11</w:t>
            </w:r>
          </w:p>
        </w:tc>
        <w:tc>
          <w:tcPr>
            <w:tcW w:type="dxa" w:w="2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Administração segura</w:t>
            </w:r>
          </w:p>
        </w:tc>
        <w:tc>
          <w:tcPr>
            <w:tcW w:type="dxa" w:w="6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Tenant, perfis, MFA, políticas, retenção, integrações, consentimento e chaves</w:t>
            </w:r>
          </w:p>
        </w:tc>
      </w:tr>
    </w:tbl>
    <w:p>
      <w:pPr>
        <w:spacing w:before="80" w:after="0"/>
      </w:pPr>
    </w:p>
    <w:p>
      <w:pPr>
        <w:pStyle w:val="Heading1"/>
        <w:keepNext/>
      </w:pPr>
      <w:r>
        <w:t>6. Requisitos funcionais prioritários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8260"/>
      </w:tblGrid>
      <w:tr>
        <w:trPr>
          <w:tblHeader w:val="true"/>
        </w:trPr>
        <w:tc>
          <w:tcPr>
            <w:tcW w:type="dxa" w:w="11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ID</w:t>
            </w:r>
          </w:p>
        </w:tc>
        <w:tc>
          <w:tcPr>
            <w:tcW w:type="dxa" w:w="82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RF-001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Permitir cadastrar apenas jurisdições com operação real e registrar territórios sem operação como risco regional.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RF-002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Versionar tier, justificativa, aprovador e data de vigência; suportar exceção temporária de cadência por reforma ou contencioso.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RF-003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Registrar demanda com país, tier, origem, tipo, materialidade, urgência, prazo legal e responsável.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RF-004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Mover automaticamente para triagem demandas com prazo próximo ou risco reputacional/sancionatório, mantendo revisão semanal para as demais.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RF-005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Aplicar WIP configurável à etapa de validação do Management Tax e medir tempo por etapa.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RF-006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Manter histórico de escritório, escopo, honorários, procuração, cobertura e sobreposição de transição.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RF-007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Calcular IDE com pesos versionados e normalização auditável; impedir panel review no primeiro ciclo não calibrado.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RF-008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Gerar plano de melhoria quando IDE estiver em Atenção/Crítico ou indicador relevante falhar por dois ciclos.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RF-009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Guardar fonte oficial, captura, idioma, jurisdição, bloco A-F, versão, status VIGENTE/SUPERADA e responsável pela validação.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RF-010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Impedir que conteúdo preliminar seja apresentado como fonte validada ou sustente decisão sem aviso e aprovação.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RF-011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Registrar decisão com pergunta, conclusão operacional, parecer de apoio, profissional, data, materialidade e approvers.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RF-012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Exigir gate prévio antes de posição, disputa ou renúncia de crédito acima da alçada do escritório.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RF-013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Exigir segunda opinião para matéria de alta materialidade ou impacto reputacional, registrando divergência.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RF-014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Separar contingências herdadas e posteriores ao baseline para avaliação de performance.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RF-015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Consolidar ETR em EUR, leitura complementar em USD e separar efeito cambial, Pilar 2 e ação de otimização.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RF-016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Simular carga anual e classificar ocupação: VIÁVEL abaixo de 85%, CRÍTICO entre 85% e 100%, INVIÁVEL acima de 100%.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RF-017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Gerar reporte trimestral por tier, com Tier 1 individualizado e riscos/decisões materiais destacados.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RF-018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Registrar lição aprendida e destino prático após disputa, autuação ou scorecard relevante.</w:t>
            </w:r>
          </w:p>
        </w:tc>
      </w:tr>
    </w:tbl>
    <w:p>
      <w:pPr>
        <w:spacing w:before="80" w:after="0"/>
      </w:pPr>
    </w:p>
    <w:p>
      <w:pPr>
        <w:pStyle w:val="Heading1"/>
        <w:keepNext/>
      </w:pPr>
      <w:r>
        <w:t>7. Fluxos críticos</w:t>
      </w:r>
    </w:p>
    <w:p>
      <w:pPr>
        <w:pStyle w:val="Heading2"/>
        <w:keepNext/>
      </w:pPr>
      <w:r>
        <w:t>7.1 Demanda tributária</w:t>
      </w:r>
    </w:p>
    <w:p>
      <w:pPr>
        <w:pStyle w:val="ListNumber"/>
      </w:pPr>
      <w:r>
        <w:rPr>
          <w:rFonts w:ascii="Calibri" w:hAnsi="Calibri"/>
          <w:color w:val="000000"/>
        </w:rPr>
        <w:t>Registrar a demanda e validar prazo legal, jurisdição, origem e materialidade.</w:t>
      </w:r>
    </w:p>
    <w:p>
      <w:pPr>
        <w:pStyle w:val="ListNumber"/>
      </w:pPr>
      <w:r>
        <w:rPr>
          <w:rFonts w:ascii="Calibri" w:hAnsi="Calibri"/>
          <w:color w:val="000000"/>
        </w:rPr>
        <w:t>Classificar impacto e urgência; escalonar imediatamente se houver prazo próximo, sanção ou reputação.</w:t>
      </w:r>
    </w:p>
    <w:p>
      <w:pPr>
        <w:pStyle w:val="ListNumber"/>
      </w:pPr>
      <w:r>
        <w:rPr>
          <w:rFonts w:ascii="Calibri" w:hAnsi="Calibri"/>
          <w:color w:val="000000"/>
        </w:rPr>
        <w:t>Delegar ao escritório responsável com SLA e evidências esperadas.</w:t>
      </w:r>
    </w:p>
    <w:p>
      <w:pPr>
        <w:pStyle w:val="ListNumber"/>
      </w:pPr>
      <w:r>
        <w:rPr>
          <w:rFonts w:ascii="Calibri" w:hAnsi="Calibri"/>
          <w:color w:val="000000"/>
        </w:rPr>
        <w:t>Receber a entrega e decidir se a demanda exige validação, gate ou segunda opinião.</w:t>
      </w:r>
    </w:p>
    <w:p>
      <w:pPr>
        <w:pStyle w:val="ListNumber"/>
      </w:pPr>
      <w:r>
        <w:rPr>
          <w:rFonts w:ascii="Calibri" w:hAnsi="Calibri"/>
          <w:color w:val="000000"/>
        </w:rPr>
        <w:t>Registrar conclusão, decisão, evidência, custo, resultado e eventual lição aprendida.</w:t>
      </w:r>
    </w:p>
    <w:p>
      <w:pPr>
        <w:pStyle w:val="Heading2"/>
        <w:keepNext/>
      </w:pPr>
      <w:r>
        <w:t>7.2 Atualização legislativa</w:t>
      </w:r>
    </w:p>
    <w:p>
      <w:pPr>
        <w:pStyle w:val="ListNumber"/>
        <w:numPr>
          <w:ilvl w:val="0"/>
          <w:numId w:val="10"/>
        </w:numPr>
        <w:numPr>
          <w:ilvl w:val="0"/>
          <w:numId w:val="10"/>
        </w:numPr>
      </w:pPr>
      <w:r>
        <w:rPr>
          <w:rFonts w:ascii="Calibri" w:hAnsi="Calibri"/>
          <w:color w:val="000000"/>
        </w:rPr>
        <w:t>Escritório registra alerta e anexa fonte oficial datada no idioma original.</w:t>
      </w:r>
    </w:p>
    <w:p>
      <w:pPr>
        <w:pStyle w:val="ListNumber"/>
        <w:numPr>
          <w:ilvl w:val="0"/>
          <w:numId w:val="10"/>
        </w:numPr>
        <w:numPr>
          <w:ilvl w:val="0"/>
          <w:numId w:val="10"/>
        </w:numPr>
      </w:pPr>
      <w:r>
        <w:rPr>
          <w:rFonts w:ascii="Calibri" w:hAnsi="Calibri"/>
          <w:color w:val="000000"/>
        </w:rPr>
        <w:t>Sistema preserva a versão anterior, marcando-a como SUPERADA sem excluí-la.</w:t>
      </w:r>
    </w:p>
    <w:p>
      <w:pPr>
        <w:pStyle w:val="ListNumber"/>
        <w:numPr>
          <w:ilvl w:val="0"/>
          <w:numId w:val="10"/>
        </w:numPr>
        <w:numPr>
          <w:ilvl w:val="0"/>
          <w:numId w:val="10"/>
        </w:numPr>
      </w:pPr>
      <w:r>
        <w:rPr>
          <w:rFonts w:ascii="Calibri" w:hAnsi="Calibri"/>
          <w:color w:val="000000"/>
        </w:rPr>
        <w:t>Escritório descreve impacto operacional e identifica tributo, obrigação e prazo afetados.</w:t>
      </w:r>
    </w:p>
    <w:p>
      <w:pPr>
        <w:pStyle w:val="ListNumber"/>
        <w:numPr>
          <w:ilvl w:val="0"/>
          <w:numId w:val="10"/>
        </w:numPr>
        <w:numPr>
          <w:ilvl w:val="0"/>
          <w:numId w:val="10"/>
        </w:numPr>
      </w:pPr>
      <w:r>
        <w:rPr>
          <w:rFonts w:ascii="Calibri" w:hAnsi="Calibri"/>
          <w:color w:val="000000"/>
        </w:rPr>
        <w:t>Management Tax valida recebimento e cria ação quando houver efeito em ETR, risco ou operação.</w:t>
      </w:r>
    </w:p>
    <w:p>
      <w:pPr>
        <w:pStyle w:val="ListNumber"/>
        <w:numPr>
          <w:ilvl w:val="0"/>
          <w:numId w:val="10"/>
        </w:numPr>
        <w:numPr>
          <w:ilvl w:val="0"/>
          <w:numId w:val="10"/>
        </w:numPr>
      </w:pPr>
      <w:r>
        <w:rPr>
          <w:rFonts w:ascii="Calibri" w:hAnsi="Calibri"/>
          <w:color w:val="000000"/>
        </w:rPr>
        <w:t>Atualização tempestiva alimenta o indicador de monitoramento legislativo do IDE.</w:t>
      </w:r>
    </w:p>
    <w:p>
      <w:pPr>
        <w:pStyle w:val="Heading2"/>
        <w:keepNext/>
      </w:pPr>
      <w:r>
        <w:t>7.3 Posição de alta materialidade</w:t>
      </w:r>
    </w:p>
    <w:p>
      <w:pPr>
        <w:pStyle w:val="ListNumber"/>
        <w:numPr>
          <w:ilvl w:val="0"/>
          <w:numId w:val="11"/>
        </w:numPr>
        <w:numPr>
          <w:ilvl w:val="0"/>
          <w:numId w:val="11"/>
        </w:numPr>
      </w:pPr>
      <w:r>
        <w:rPr>
          <w:rFonts w:ascii="Calibri" w:hAnsi="Calibri"/>
          <w:color w:val="000000"/>
        </w:rPr>
        <w:t>Escritório submete a posição antes de assumi-la perante a autoridade.</w:t>
      </w:r>
    </w:p>
    <w:p>
      <w:pPr>
        <w:pStyle w:val="ListNumber"/>
        <w:numPr>
          <w:ilvl w:val="0"/>
          <w:numId w:val="11"/>
        </w:numPr>
        <w:numPr>
          <w:ilvl w:val="0"/>
          <w:numId w:val="11"/>
        </w:numPr>
      </w:pPr>
      <w:r>
        <w:rPr>
          <w:rFonts w:ascii="Calibri" w:hAnsi="Calibri"/>
          <w:color w:val="000000"/>
        </w:rPr>
        <w:t>Sistema verifica alçada, apetite de risco, materialidade e documentação mínima.</w:t>
      </w:r>
    </w:p>
    <w:p>
      <w:pPr>
        <w:pStyle w:val="ListNumber"/>
        <w:numPr>
          <w:ilvl w:val="0"/>
          <w:numId w:val="11"/>
        </w:numPr>
        <w:numPr>
          <w:ilvl w:val="0"/>
          <w:numId w:val="11"/>
        </w:numPr>
      </w:pPr>
      <w:r>
        <w:rPr>
          <w:rFonts w:ascii="Calibri" w:hAnsi="Calibri"/>
          <w:color w:val="000000"/>
        </w:rPr>
        <w:t>Segunda opinião independente é solicitada quando a política exigir.</w:t>
      </w:r>
    </w:p>
    <w:p>
      <w:pPr>
        <w:pStyle w:val="ListNumber"/>
        <w:numPr>
          <w:ilvl w:val="0"/>
          <w:numId w:val="11"/>
        </w:numPr>
        <w:numPr>
          <w:ilvl w:val="0"/>
          <w:numId w:val="11"/>
        </w:numPr>
      </w:pPr>
      <w:r>
        <w:rPr>
          <w:rFonts w:ascii="Calibri" w:hAnsi="Calibri"/>
          <w:color w:val="000000"/>
        </w:rPr>
        <w:t>Divergências são explicitadas e, se necessário, escaladas ao CFO/Board.</w:t>
      </w:r>
    </w:p>
    <w:p>
      <w:pPr>
        <w:pStyle w:val="ListNumber"/>
        <w:numPr>
          <w:ilvl w:val="0"/>
          <w:numId w:val="11"/>
        </w:numPr>
        <w:numPr>
          <w:ilvl w:val="0"/>
          <w:numId w:val="11"/>
        </w:numPr>
      </w:pPr>
      <w:r>
        <w:rPr>
          <w:rFonts w:ascii="Calibri" w:hAnsi="Calibri"/>
          <w:color w:val="000000"/>
        </w:rPr>
        <w:t>A decisão e a cadeia de reliance são registradas com acesso restrito e retenção definida.</w:t>
      </w:r>
    </w:p>
    <w:p>
      <w:pPr>
        <w:pStyle w:val="Heading1"/>
        <w:keepNext/>
      </w:pPr>
      <w:r>
        <w:t>8. Modelo de dados conceitual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Entidade</w:t>
            </w:r>
          </w:p>
        </w:tc>
        <w:tc>
          <w:tcPr>
            <w:tcW w:type="dxa" w:w="68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Conteúdo essencial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Jurisdiction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País/território, tier, presença, risco, idioma, moeda, baseline e validade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Office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Firma, contrato, escopo, contatos, SLA, honorários, procurações e cobertura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Demand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Fluxo, origem, tipo, prioridade, prazo, status, responsável e resultado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Risk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Categoria, exposição, probabilidade, materialidade, apetite, mitigação e owner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Contingency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Data, baseline, valor, moeda, aging, garantia, estágio e desfecho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LegalSource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Bloco, origem, captura, idioma, versão, status e validação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Decision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Questão, posição, gate, alçada, approvers, evidências e reliance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Opinion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Escritório/profissional, data, conclusão operacional, privilégio e acesso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Scorecard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Período, indicadores, metas, pesos, resultados, IDE e calibração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WorkloadScenario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Premissas, atividades, frequências, capacidade, ocupação e veredito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ValueEvent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ETR, crédito, incentivo, economia, contingência e impacto de caixa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AuditEvent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Quem, o quê, quando, antes/depois, motivo, origem e correlação</w:t>
            </w:r>
          </w:p>
        </w:tc>
      </w:tr>
    </w:tbl>
    <w:p>
      <w:pPr>
        <w:spacing w:before="80" w:after="0"/>
      </w:pPr>
    </w:p>
    <w:p>
      <w:pPr>
        <w:pStyle w:val="Heading1"/>
        <w:keepNext/>
      </w:pPr>
      <w:r>
        <w:t>9. Superfície inicial de APIs</w:t>
      </w:r>
    </w:p>
    <w:p>
      <w:pPr/>
      <w:r>
        <w:rPr>
          <w:rFonts w:ascii="Calibri" w:hAnsi="Calibri"/>
          <w:color w:val="000000"/>
        </w:rPr>
        <w:t>A especificação abaixo representa domínios de serviço, não contratos finais. Versionamento, paginação, idempotência, erros, autorização e esquemas deverão ser detalhados em OpenAPI após validação do MVP.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700"/>
        <w:gridCol w:w="5060"/>
      </w:tblGrid>
      <w:tr>
        <w:trPr>
          <w:tblHeader w:val="true"/>
        </w:trPr>
        <w:tc>
          <w:tcPr>
            <w:tcW w:type="dxa" w:w="26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Recurso</w:t>
            </w:r>
          </w:p>
        </w:tc>
        <w:tc>
          <w:tcPr>
            <w:tcW w:type="dxa" w:w="17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Operações</w:t>
            </w:r>
          </w:p>
        </w:tc>
        <w:tc>
          <w:tcPr>
            <w:tcW w:type="dxa" w:w="50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/jurisdictions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GET/POST/PATCH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Cadastro, tier, exceções, presença e validação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/offices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GET/POST/PATCH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Rede, contratos, SLA, cobertura e transição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/demands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GET/POST/PATCH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Kanban, prazos, prioridade, atribuição e conclusão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/risks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GET/POST/PATCH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Matriz, apetite, mitigação e escalonamento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/contingencies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GET/POST/PATCH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Baseline, exposição, aging e desfecho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/legal-sources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GET/POST/PATCH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Fonte, versão, validação, classificação e retenção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/decisions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GET/POST/PATCH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Gates, alçadas, aprovações, opiniões e reliance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/scorecards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GET/POST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Ciclos, métricas, IDE, classificação e melhoria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/workload-scenarios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GET/POST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Simulações, cenários e comparação de capacidade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/value-events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GET/POST/PATCH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ETR, créditos, incentivos, economia e caixa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/reports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POST/GET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Geração controlada de pacotes executivos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/audit-events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GET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Consulta imutável e restrita da trilha de auditoria</w:t>
            </w:r>
          </w:p>
        </w:tc>
      </w:tr>
    </w:tbl>
    <w:p>
      <w:pPr>
        <w:spacing w:before="80" w:after="0"/>
      </w:pPr>
    </w:p>
    <w:p>
      <w:pPr>
        <w:pStyle w:val="Heading1"/>
        <w:keepNext/>
      </w:pPr>
      <w:r>
        <w:t>10. Segurança, confidencialidade e privilege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DE9E7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7365D"/>
              </w:rPr>
              <w:t xml:space="preserve">Regra de bloqueio: </w:t>
            </w:r>
            <w:r>
              <w:rPr>
                <w:rFonts w:ascii="Calibri" w:hAnsi="Calibri"/>
                <w:color w:val="000000"/>
              </w:rPr>
              <w:t>parecer jurídico integral ou material potencialmente privilegiado não entra no sistema até aprovação expressa do Jurídico e do escritório local quanto ao efeito sobre o sigilo na jurisdição aplicável.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550"/>
        <w:gridCol w:w="4310"/>
      </w:tblGrid>
      <w:tr>
        <w:trPr>
          <w:tblHeader w:val="true"/>
        </w:trPr>
        <w:tc>
          <w:tcPr>
            <w:tcW w:type="dxa" w:w="15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Classe</w:t>
            </w:r>
          </w:p>
        </w:tc>
        <w:tc>
          <w:tcPr>
            <w:tcW w:type="dxa" w:w="355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Exemplos</w:t>
            </w:r>
          </w:p>
        </w:tc>
        <w:tc>
          <w:tcPr>
            <w:tcW w:type="dxa" w:w="431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Tratamento mínimo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PÚBLICO</w:t>
            </w:r>
          </w:p>
        </w:tc>
        <w:tc>
          <w:tcPr>
            <w:tcW w:type="dxa" w:w="3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Legislação, diários oficiais e precedentes públicos</w:t>
            </w:r>
          </w:p>
        </w:tc>
        <w:tc>
          <w:tcPr>
            <w:tcW w:type="dxa" w:w="4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Acesso autenticado amplo; integridade e versão obrigatórias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INTERNO</w:t>
            </w:r>
          </w:p>
        </w:tc>
        <w:tc>
          <w:tcPr>
            <w:tcW w:type="dxa" w:w="3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Planos, políticas, scorecards e relatórios gerenciais</w:t>
            </w:r>
          </w:p>
        </w:tc>
        <w:tc>
          <w:tcPr>
            <w:tcW w:type="dxa" w:w="4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Somente colaboradores e terceiros autorizados por função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CONFIDENCIAL</w:t>
            </w:r>
          </w:p>
        </w:tc>
        <w:tc>
          <w:tcPr>
            <w:tcW w:type="dxa" w:w="3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Estrutura societária, riscos, contingências e decisões</w:t>
            </w:r>
          </w:p>
        </w:tc>
        <w:tc>
          <w:tcPr>
            <w:tcW w:type="dxa" w:w="4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Need-to-know, MFA, exportação controlada e alerta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PRIVILEGIADO</w:t>
            </w:r>
          </w:p>
        </w:tc>
        <w:tc>
          <w:tcPr>
            <w:tcW w:type="dxa" w:w="3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Pareceres e comunicações protegidas</w:t>
            </w:r>
          </w:p>
        </w:tc>
        <w:tc>
          <w:tcPr>
            <w:tcW w:type="dxa" w:w="4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Cofre separado ou referência externa; acesso jurídico explícito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RESTRITO</w:t>
            </w:r>
          </w:p>
        </w:tc>
        <w:tc>
          <w:tcPr>
            <w:tcW w:type="dxa" w:w="3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Credenciais, certificados e chaves</w:t>
            </w:r>
          </w:p>
        </w:tc>
        <w:tc>
          <w:tcPr>
            <w:tcW w:type="dxa" w:w="4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Nunca em conteúdo comum; usar gerenciador de segredos</w:t>
            </w:r>
          </w:p>
        </w:tc>
      </w:tr>
    </w:tbl>
    <w:p>
      <w:pPr>
        <w:spacing w:before="80" w:after="0"/>
      </w:pPr>
    </w:p>
    <w:p>
      <w:pPr>
        <w:pStyle w:val="Heading2"/>
        <w:keepNext/>
      </w:pPr>
      <w:r>
        <w:t>10.1 Requisitos obrigatórios de segurança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8260"/>
      </w:tblGrid>
      <w:tr>
        <w:trPr>
          <w:tblHeader w:val="true"/>
        </w:trPr>
        <w:tc>
          <w:tcPr>
            <w:tcW w:type="dxa" w:w="11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ID</w:t>
            </w:r>
          </w:p>
        </w:tc>
        <w:tc>
          <w:tcPr>
            <w:tcW w:type="dxa" w:w="82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RS-001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SSO corporativo, MFA e autorização por função, jurisdição e classe de informação.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RS-002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Isolamento lógico por organização/tenant e negação por padrão.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RS-003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Criptografia TLS em trânsito e criptografia forte em repouso, com rotação de chaves.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RS-004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Segredos apenas em cofre próprio; proibir tokens, senhas e certificados em campos de texto e logs.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RS-005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Trilha imutável para leitura sensível, criação, alteração, aprovação, exportação e exclusão.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RS-006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Mascaramento de valores e PII conforme perfil; exportação com marca d'água e identificação do solicitante.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RS-007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Política de retenção e legal hold por classe, jurisdição e processo, com descarte verificável.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RS-008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Bloqueio de envio a IA, busca web, OCR ou conector externo sem política aprovada e consentimento explícito.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RS-009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DLP para CPF/CNPJ, contas, credenciais, chaves privadas, certificados e termos de privilege.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RS-010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Backups criptografados, restauração testada, RPO/RTO aprovados e segregação de funções.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RS-011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Logs sem conteúdo tributário integral; usar identificadores, hashes e metadados mínimos.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RS-012</w:t>
            </w:r>
          </w:p>
        </w:tc>
        <w:tc>
          <w:tcPr>
            <w:tcW w:type="dxa" w:w="8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Testes de segurança, revisão de dependências, SBOM e correção baseada em severidade antes da produção.</w:t>
            </w:r>
          </w:p>
        </w:tc>
      </w:tr>
    </w:tbl>
    <w:p>
      <w:pPr>
        <w:spacing w:before="80" w:after="0"/>
      </w:pPr>
    </w:p>
    <w:p>
      <w:pPr>
        <w:pStyle w:val="Heading2"/>
        <w:keepNext/>
      </w:pPr>
      <w:r>
        <w:t>10.2 Matriz de conteúdo dos notebooks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000"/>
        <w:gridCol w:w="4960"/>
      </w:tblGrid>
      <w:tr>
        <w:trPr>
          <w:tblHeader w:val="true"/>
        </w:trPr>
        <w:tc>
          <w:tcPr>
            <w:tcW w:type="dxa" w:w="14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Bloco</w:t>
            </w:r>
          </w:p>
        </w:tc>
        <w:tc>
          <w:tcPr>
            <w:tcW w:type="dxa" w:w="30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Natureza</w:t>
            </w:r>
          </w:p>
        </w:tc>
        <w:tc>
          <w:tcPr>
            <w:tcW w:type="dxa" w:w="49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Política de entrada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A, B, C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Legislação e precedentes públicos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Pode carregar após verificação de origem, data e integridade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 - briefing/resumo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Material gerencial do escritório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Somente após validação e classificação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 - parecer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Potencialmente privilegiado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Não carregar sem parecer expresso; preferir conclusão operacional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E, F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Estrutura, contingências e decisões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Somente após política interna, acesso restrito e retenção definida</w:t>
            </w:r>
          </w:p>
        </w:tc>
      </w:tr>
    </w:tbl>
    <w:p>
      <w:pPr>
        <w:spacing w:before="80" w:after="0"/>
      </w:pPr>
    </w:p>
    <w:p>
      <w:pPr>
        <w:pStyle w:val="Heading1"/>
        <w:keepNext/>
      </w:pPr>
      <w:r>
        <w:t>11. Requisitos não funcionais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Dimensão</w:t>
            </w:r>
          </w:p>
        </w:tc>
        <w:tc>
          <w:tcPr>
            <w:tcW w:type="dxa" w:w="72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Diretriz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Disponibilidade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Definir SLO por criticidade; prazos legais exigem operação degradada e contingência documentada.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Desempenho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Listas e painéis comuns em até 2 s no percentil acordado; relatórios pesados assíncronos.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Escalabilidade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Suportar expansão de jurisdições, escritórios, fontes e histórico sem alteração estrutural.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Auditabilidade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Toda métrica e decisão reproduzível a partir de versões, parâmetros e evidências.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Acessibilidade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Interface e documentos alinhados ao padrão corporativo aplicável, incluindo navegação por teclado.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Internacionalização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Português, espanhol, inglês e francês; suporte a fonte original em neerlandês.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Moedas e tempo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EUR como consolidação, USD complementar, moedas locais e timezone explícito em todo evento.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Integração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APIs versionadas, webhooks assinados, idempotência e filas para integrações críticas.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Portabilidade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Exportação controlada em formatos abertos, sem perder trilha, versão e classificação.</w:t>
            </w:r>
          </w:p>
        </w:tc>
      </w:tr>
    </w:tbl>
    <w:p>
      <w:pPr>
        <w:spacing w:before="80" w:after="0"/>
      </w:pPr>
    </w:p>
    <w:p>
      <w:pPr>
        <w:pStyle w:val="Heading1"/>
        <w:keepNext/>
      </w:pPr>
      <w:r>
        <w:t>12. MVP recomendado</w:t>
      </w:r>
    </w:p>
    <w:p>
      <w:pPr/>
      <w:r>
        <w:rPr>
          <w:rFonts w:ascii="Calibri" w:hAnsi="Calibri"/>
          <w:color w:val="000000"/>
        </w:rPr>
        <w:t>O MVP deve provar governança e segurança antes de ampliar automação. A sequência abaixo reduz o risco de construir relatórios sofisticados sobre dados não classificados, não validados ou sem owner.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760"/>
        <w:gridCol w:w="2850"/>
      </w:tblGrid>
      <w:tr>
        <w:trPr>
          <w:tblHeader w:val="true"/>
        </w:trPr>
        <w:tc>
          <w:tcPr>
            <w:tcW w:type="dxa" w:w="175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Etapa</w:t>
            </w:r>
          </w:p>
        </w:tc>
        <w:tc>
          <w:tcPr>
            <w:tcW w:type="dxa" w:w="47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Conteúdo</w:t>
            </w:r>
          </w:p>
        </w:tc>
        <w:tc>
          <w:tcPr>
            <w:tcW w:type="dxa" w:w="285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Saída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MVP 0 - Fundação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Identidade, perfis, classificação, auditoria, jurisdições, tiers e escritórios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Aprovação de Jurídico, Segurança e CFO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MVP 1 - Operação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Demandas/Kanban, SLA, prazos, riscos, contingências e escalonamento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Fluxo real controlado e mensurável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MVP 2 - Governança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Scorecard/IDE, calibração, planos de melhoria, gates, segunda opinião e reliance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Decisões e performance auditáveis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MVP 3 - Conhecimento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Fontes A-C, versões e histórico; D-F somente após políticas específicas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Consulta rastreável sem perda de privilege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MVP 4 - Valor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ETR, créditos, cash tax, workload e reporte executivo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Visão integrada de valor, risco e capacidade</w:t>
            </w:r>
          </w:p>
        </w:tc>
      </w:tr>
    </w:tbl>
    <w:p>
      <w:pPr>
        <w:spacing w:before="80" w:after="0"/>
      </w:pPr>
    </w:p>
    <w:p>
      <w:pPr>
        <w:pStyle w:val="Heading2"/>
        <w:keepNext/>
      </w:pPr>
      <w:r>
        <w:t>12.1 Critérios de aceitação da fundação</w:t>
      </w:r>
    </w:p>
    <w:p>
      <w:pPr>
        <w:pStyle w:val="ListBullet"/>
      </w:pPr>
      <w:r>
        <w:rPr>
          <w:rFonts w:ascii="Calibri" w:hAnsi="Calibri"/>
          <w:color w:val="000000"/>
        </w:rPr>
        <w:t>Nenhum usuário acessa dado confidencial fora de seu perfil, jurisdição ou atribuição.</w:t>
      </w:r>
    </w:p>
    <w:p>
      <w:pPr>
        <w:pStyle w:val="ListBullet"/>
      </w:pPr>
      <w:r>
        <w:rPr>
          <w:rFonts w:ascii="Calibri" w:hAnsi="Calibri"/>
          <w:color w:val="000000"/>
        </w:rPr>
        <w:t>Toda alteração crítica apresenta autor, data, motivo, antes/depois e correlação de evento.</w:t>
      </w:r>
    </w:p>
    <w:p>
      <w:pPr>
        <w:pStyle w:val="ListBullet"/>
      </w:pPr>
      <w:r>
        <w:rPr>
          <w:rFonts w:ascii="Calibri" w:hAnsi="Calibri"/>
          <w:color w:val="000000"/>
        </w:rPr>
        <w:t>Conteúdo preliminar e conteúdo validado são visualmente e tecnicamente distintos.</w:t>
      </w:r>
    </w:p>
    <w:p>
      <w:pPr>
        <w:pStyle w:val="ListBullet"/>
      </w:pPr>
      <w:r>
        <w:rPr>
          <w:rFonts w:ascii="Calibri" w:hAnsi="Calibri"/>
          <w:color w:val="000000"/>
        </w:rPr>
        <w:t>Nenhum parecer integral entra sem classificação e aprovação jurídica registrada.</w:t>
      </w:r>
    </w:p>
    <w:p>
      <w:pPr>
        <w:pStyle w:val="ListBullet"/>
      </w:pPr>
      <w:r>
        <w:rPr>
          <w:rFonts w:ascii="Calibri" w:hAnsi="Calibri"/>
          <w:color w:val="000000"/>
        </w:rPr>
        <w:t>Tier, materialidade, apetite e pesos possuem versão e vigência.</w:t>
      </w:r>
    </w:p>
    <w:p>
      <w:pPr>
        <w:pStyle w:val="ListBullet"/>
      </w:pPr>
      <w:r>
        <w:rPr>
          <w:rFonts w:ascii="Calibri" w:hAnsi="Calibri"/>
          <w:color w:val="000000"/>
        </w:rPr>
        <w:t>É possível reproduzir um IDE e um veredito de carga usando apenas os dados versionados do período.</w:t>
      </w:r>
    </w:p>
    <w:p>
      <w:pPr>
        <w:pStyle w:val="ListBullet"/>
      </w:pPr>
      <w:r>
        <w:rPr>
          <w:rFonts w:ascii="Calibri" w:hAnsi="Calibri"/>
          <w:color w:val="000000"/>
        </w:rPr>
        <w:t>Exportações confidenciais são registradas e identificam solicitante, finalidade e classificação.</w:t>
      </w:r>
    </w:p>
    <w:p>
      <w:pPr>
        <w:pStyle w:val="Heading1"/>
        <w:keepNext/>
      </w:pPr>
      <w:r>
        <w:t>13. Decisões necessárias antes do desenvolvimento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4000"/>
        <w:gridCol w:w="2050"/>
        <w:gridCol w:w="2510"/>
      </w:tblGrid>
      <w:tr>
        <w:trPr>
          <w:tblHeader w:val="true"/>
        </w:trPr>
        <w:tc>
          <w:tcPr>
            <w:tcW w:type="dxa" w:w="8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ID</w:t>
            </w:r>
          </w:p>
        </w:tc>
        <w:tc>
          <w:tcPr>
            <w:tcW w:type="dxa" w:w="40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Decisão</w:t>
            </w:r>
          </w:p>
        </w:tc>
        <w:tc>
          <w:tcPr>
            <w:tcW w:type="dxa" w:w="205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Responsável</w:t>
            </w:r>
          </w:p>
        </w:tc>
        <w:tc>
          <w:tcPr>
            <w:tcW w:type="dxa" w:w="251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Impacto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D-01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Qual é a lista real de jurisdições com operação?</w:t>
            </w:r>
          </w:p>
        </w:tc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CFO / Operações</w:t>
            </w:r>
          </w:p>
        </w:tc>
        <w:tc>
          <w:tcPr>
            <w:tcW w:type="dxa" w:w="2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Bloqueia cadastro e sizing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D-02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Qual será a definição numérica de materialidade?</w:t>
            </w:r>
          </w:p>
        </w:tc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CFO / Board</w:t>
            </w:r>
          </w:p>
        </w:tc>
        <w:tc>
          <w:tcPr>
            <w:tcW w:type="dxa" w:w="2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Bloqueia alçadas e escalonamento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D-03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Qual é o apetite de risco aprovado?</w:t>
            </w:r>
          </w:p>
        </w:tc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CFO / Board</w:t>
            </w:r>
          </w:p>
        </w:tc>
        <w:tc>
          <w:tcPr>
            <w:tcW w:type="dxa" w:w="2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Bloqueia gates e exceções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D-04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Quais classes podem usar IA ou plataformas de terceiros?</w:t>
            </w:r>
          </w:p>
        </w:tc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Jurídico / Segurança</w:t>
            </w:r>
          </w:p>
        </w:tc>
        <w:tc>
          <w:tcPr>
            <w:tcW w:type="dxa" w:w="2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Bloqueia módulos de conhecimento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D-05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Onde pareceres privilegiados serão mantidos?</w:t>
            </w:r>
          </w:p>
        </w:tc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Jurídico</w:t>
            </w:r>
          </w:p>
        </w:tc>
        <w:tc>
          <w:tcPr>
            <w:tcW w:type="dxa" w:w="2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Define cofre, referência ou exclusão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D-06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Quais sistemas serão fonte de identidade, ERP, litígios e contratos?</w:t>
            </w:r>
          </w:p>
        </w:tc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TI / Controladoria</w:t>
            </w:r>
          </w:p>
        </w:tc>
        <w:tc>
          <w:tcPr>
            <w:tcW w:type="dxa" w:w="2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Define integrações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D-07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Quais RPO, RTO, retenções e regiões de dados são exigidos?</w:t>
            </w:r>
          </w:p>
        </w:tc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Segurança / Jurídico</w:t>
            </w:r>
          </w:p>
        </w:tc>
        <w:tc>
          <w:tcPr>
            <w:tcW w:type="dxa" w:w="2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Define arquitetura de produção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D-08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Quem será o owner de cada dado e indicador?</w:t>
            </w:r>
          </w:p>
        </w:tc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Management Tax</w:t>
            </w:r>
          </w:p>
        </w:tc>
        <w:tc>
          <w:tcPr>
            <w:tcW w:type="dxa" w:w="2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Bloqueia governança de qualidade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D-09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O primeiro ciclo será formalmente não punitivo?</w:t>
            </w:r>
          </w:p>
        </w:tc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CFO</w:t>
            </w:r>
          </w:p>
        </w:tc>
        <w:tc>
          <w:tcPr>
            <w:tcW w:type="dxa" w:w="2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Protege calibração do scorecard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D-10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O projeto será produto interno, SaaS ou serviço para clientes?</w:t>
            </w:r>
          </w:p>
        </w:tc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Sponsor</w:t>
            </w:r>
          </w:p>
        </w:tc>
        <w:tc>
          <w:tcPr>
            <w:tcW w:type="dxa" w:w="2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Altera tenancy, contratos e compliance</w:t>
            </w:r>
          </w:p>
        </w:tc>
      </w:tr>
    </w:tbl>
    <w:p>
      <w:pPr>
        <w:spacing w:before="80" w:after="0"/>
      </w:pPr>
    </w:p>
    <w:p>
      <w:pPr>
        <w:pStyle w:val="Heading1"/>
        <w:keepNext/>
      </w:pPr>
      <w:r>
        <w:t>14. Riscos de produto e controles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3150"/>
        <w:gridCol w:w="1350"/>
        <w:gridCol w:w="4060"/>
      </w:tblGrid>
      <w:tr>
        <w:trPr>
          <w:tblHeader w:val="true"/>
        </w:trPr>
        <w:tc>
          <w:tcPr>
            <w:tcW w:type="dxa" w:w="8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ID</w:t>
            </w:r>
          </w:p>
        </w:tc>
        <w:tc>
          <w:tcPr>
            <w:tcW w:type="dxa" w:w="315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Risco</w:t>
            </w:r>
          </w:p>
        </w:tc>
        <w:tc>
          <w:tcPr>
            <w:tcW w:type="dxa" w:w="135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Severidade</w:t>
            </w:r>
          </w:p>
        </w:tc>
        <w:tc>
          <w:tcPr>
            <w:tcW w:type="dxa" w:w="40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Controle principal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R-01</w:t>
            </w:r>
          </w:p>
        </w:tc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Automação parecer autorizada</w:t>
            </w:r>
          </w:p>
        </w:tc>
        <w:tc>
          <w:tcPr>
            <w:tcW w:type="dxa" w:w="1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Alto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Separar preliminar/validado; exigir assinatura do escritório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R-02</w:t>
            </w:r>
          </w:p>
        </w:tc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Perda de privilege</w:t>
            </w:r>
          </w:p>
        </w:tc>
        <w:tc>
          <w:tcPr>
            <w:tcW w:type="dxa" w:w="1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Crítico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Cofre/referência externa; aprovação jurídica por jurisdição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R-03</w:t>
            </w:r>
          </w:p>
        </w:tc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Modelo inviável para um gestor</w:t>
            </w:r>
          </w:p>
        </w:tc>
        <w:tc>
          <w:tcPr>
            <w:tcW w:type="dxa" w:w="1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Alto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Simulador, WIP, cadência por tier e decisão do CFO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R-04</w:t>
            </w:r>
          </w:p>
        </w:tc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IDE distorce complexidades</w:t>
            </w:r>
          </w:p>
        </w:tc>
        <w:tc>
          <w:tcPr>
            <w:tcW w:type="dxa" w:w="1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Alto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Calibração, evidência, segmentação e revisão humana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R-05</w:t>
            </w:r>
          </w:p>
        </w:tc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Fonte desatualizada</w:t>
            </w:r>
          </w:p>
        </w:tc>
        <w:tc>
          <w:tcPr>
            <w:tcW w:type="dxa" w:w="1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Alto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Versão, captura, alertas e validação do escritório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R-06</w:t>
            </w:r>
          </w:p>
        </w:tc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Integração expõe conteúdo</w:t>
            </w:r>
          </w:p>
        </w:tc>
        <w:tc>
          <w:tcPr>
            <w:tcW w:type="dxa" w:w="1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Crítico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Allowlist, minimização, DLP, segredo externo e logs seguros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R-07</w:t>
            </w:r>
          </w:p>
        </w:tc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Exclusão elimina evidência</w:t>
            </w:r>
          </w:p>
        </w:tc>
        <w:tc>
          <w:tcPr>
            <w:tcW w:type="dxa" w:w="1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Alto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Retenção, legal hold, versionamento e descarte aprovado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R-08</w:t>
            </w:r>
          </w:p>
        </w:tc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Reporte mistura câmbio e eficiência fiscal</w:t>
            </w:r>
          </w:p>
        </w:tc>
        <w:tc>
          <w:tcPr>
            <w:tcW w:type="dxa" w:w="1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Médio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EUR/USD, moeda local e atribuição de causa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R-09</w:t>
            </w:r>
          </w:p>
        </w:tc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Falsa validação por IA</w:t>
            </w:r>
          </w:p>
        </w:tc>
        <w:tc>
          <w:tcPr>
            <w:tcW w:type="dxa" w:w="1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Alto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Rotular revisão como segunda leitura; manter revisão profissional</w:t>
            </w:r>
          </w:p>
        </w:tc>
      </w:tr>
    </w:tbl>
    <w:p>
      <w:pPr>
        <w:spacing w:before="80" w:after="0"/>
      </w:pPr>
    </w:p>
    <w:p>
      <w:pPr>
        <w:pStyle w:val="Heading1"/>
        <w:keepNext/>
      </w:pPr>
      <w:r>
        <w:t>15. Premissas iniciais do simulador de carga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00"/>
        <w:gridCol w:w="3860"/>
      </w:tblGrid>
      <w:tr>
        <w:trPr>
          <w:tblHeader w:val="true"/>
        </w:trPr>
        <w:tc>
          <w:tcPr>
            <w:tcW w:type="dxa" w:w="17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Bloco</w:t>
            </w:r>
          </w:p>
        </w:tc>
        <w:tc>
          <w:tcPr>
            <w:tcW w:type="dxa" w:w="38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Premissa atual</w:t>
            </w:r>
          </w:p>
        </w:tc>
        <w:tc>
          <w:tcPr>
            <w:tcW w:type="dxa" w:w="38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Observação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Jurisdições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T1=3; T2=7; T3=7; T4=10; T5=3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T4 deve refletir somente operação real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Capacidade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1.800 h/ano; 35% demandas; 10% viagens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Capacidade líquida inicial: 990 h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Scorecard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T1/T2 trimestral; T3-T5 semestral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Cadência pode subir por risco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Ocupação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&lt;85% viável; 85-100% crítico; &gt;100% inviável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Margem protege contra eventos não previstos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Calibração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Fim do primeiro trimestre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Substituir estimativa por tempo medido</w:t>
            </w:r>
          </w:p>
        </w:tc>
      </w:tr>
    </w:tbl>
    <w:p>
      <w:pPr>
        <w:spacing w:before="80" w:after="0"/>
      </w:pPr>
    </w:p>
    <w:p>
      <w:pPr>
        <w:pStyle w:val="Heading1"/>
        <w:keepNext/>
      </w:pPr>
      <w:r>
        <w:t>16. Próximos passos</w:t>
      </w:r>
    </w:p>
    <w:p>
      <w:pPr>
        <w:pStyle w:val="ListNumber"/>
        <w:numPr>
          <w:ilvl w:val="0"/>
          <w:numId w:val="12"/>
        </w:numPr>
        <w:numPr>
          <w:ilvl w:val="0"/>
          <w:numId w:val="12"/>
        </w:numPr>
      </w:pPr>
      <w:r>
        <w:rPr>
          <w:rFonts w:ascii="Calibri" w:hAnsi="Calibri"/>
          <w:color w:val="000000"/>
        </w:rPr>
        <w:t>Confirmar o propósito comercial do produto: ferramenta interna, plataforma SaaS ou serviço gerenciado.</w:t>
      </w:r>
    </w:p>
    <w:p>
      <w:pPr>
        <w:pStyle w:val="ListNumber"/>
        <w:numPr>
          <w:ilvl w:val="0"/>
          <w:numId w:val="12"/>
        </w:numPr>
        <w:numPr>
          <w:ilvl w:val="0"/>
          <w:numId w:val="12"/>
        </w:numPr>
      </w:pPr>
      <w:r>
        <w:rPr>
          <w:rFonts w:ascii="Calibri" w:hAnsi="Calibri"/>
          <w:color w:val="000000"/>
        </w:rPr>
        <w:t>Validar as dez decisões da seção 13 com CFO, Jurídico, Segurança, TI e Management Tax.</w:t>
      </w:r>
    </w:p>
    <w:p>
      <w:pPr>
        <w:pStyle w:val="ListNumber"/>
        <w:numPr>
          <w:ilvl w:val="0"/>
          <w:numId w:val="12"/>
        </w:numPr>
        <w:numPr>
          <w:ilvl w:val="0"/>
          <w:numId w:val="12"/>
        </w:numPr>
      </w:pPr>
      <w:r>
        <w:rPr>
          <w:rFonts w:ascii="Calibri" w:hAnsi="Calibri"/>
          <w:color w:val="000000"/>
        </w:rPr>
        <w:t>Produzir glossário, RACI e política de classificação antes de desenhar telas.</w:t>
      </w:r>
    </w:p>
    <w:p>
      <w:pPr>
        <w:pStyle w:val="ListNumber"/>
        <w:numPr>
          <w:ilvl w:val="0"/>
          <w:numId w:val="12"/>
        </w:numPr>
        <w:numPr>
          <w:ilvl w:val="0"/>
          <w:numId w:val="12"/>
        </w:numPr>
      </w:pPr>
      <w:r>
        <w:rPr>
          <w:rFonts w:ascii="Calibri" w:hAnsi="Calibri"/>
          <w:color w:val="000000"/>
        </w:rPr>
        <w:t>Detalhar o MVP 0 em histórias de usuário, critérios de aceite e modelo lógico de dados.</w:t>
      </w:r>
    </w:p>
    <w:p>
      <w:pPr>
        <w:pStyle w:val="ListNumber"/>
        <w:numPr>
          <w:ilvl w:val="0"/>
          <w:numId w:val="12"/>
        </w:numPr>
        <w:numPr>
          <w:ilvl w:val="0"/>
          <w:numId w:val="12"/>
        </w:numPr>
      </w:pPr>
      <w:r>
        <w:rPr>
          <w:rFonts w:ascii="Calibri" w:hAnsi="Calibri"/>
          <w:color w:val="000000"/>
        </w:rPr>
        <w:t>Definir arquitetura de identidade, armazenamento, auditoria, chaves e retenção.</w:t>
      </w:r>
    </w:p>
    <w:p>
      <w:pPr>
        <w:pStyle w:val="ListNumber"/>
        <w:numPr>
          <w:ilvl w:val="0"/>
          <w:numId w:val="12"/>
        </w:numPr>
        <w:numPr>
          <w:ilvl w:val="0"/>
          <w:numId w:val="12"/>
        </w:numPr>
      </w:pPr>
      <w:r>
        <w:rPr>
          <w:rFonts w:ascii="Calibri" w:hAnsi="Calibri"/>
          <w:color w:val="000000"/>
        </w:rPr>
        <w:t>Criar especificação OpenAPI inicial e protótipo navegável sem dados reais.</w:t>
      </w:r>
    </w:p>
    <w:p>
      <w:pPr>
        <w:pStyle w:val="ListNumber"/>
        <w:numPr>
          <w:ilvl w:val="0"/>
          <w:numId w:val="12"/>
        </w:numPr>
        <w:numPr>
          <w:ilvl w:val="0"/>
          <w:numId w:val="12"/>
        </w:numPr>
      </w:pPr>
      <w:r>
        <w:rPr>
          <w:rFonts w:ascii="Calibri" w:hAnsi="Calibri"/>
          <w:color w:val="000000"/>
        </w:rPr>
        <w:t>Executar threat modeling e revisão de privilege antes do primeiro piloto.</w:t>
      </w:r>
    </w:p>
    <w:p>
      <w:pPr>
        <w:pStyle w:val="ListNumber"/>
        <w:numPr>
          <w:ilvl w:val="0"/>
          <w:numId w:val="12"/>
        </w:numPr>
        <w:numPr>
          <w:ilvl w:val="0"/>
          <w:numId w:val="12"/>
        </w:numPr>
      </w:pPr>
      <w:r>
        <w:rPr>
          <w:rFonts w:ascii="Calibri" w:hAnsi="Calibri"/>
          <w:color w:val="000000"/>
        </w:rPr>
        <w:t>Pilotar com duas ou três jurisdições representativas, usando dados fictícios ou anonimizados.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7365D"/>
              </w:rPr>
              <w:t xml:space="preserve">Recomendação central: </w:t>
            </w:r>
            <w:r>
              <w:rPr>
                <w:rFonts w:ascii="Calibri" w:hAnsi="Calibri"/>
                <w:color w:val="000000"/>
              </w:rPr>
              <w:t>iniciar por Brasil, México e uma jurisdição caribenha de common law no piloto. Esse recorte testa alta materialidade, diversidade linguística/jurídica e o risco de privilege sem expor toda a região.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Apêndice A - Matriz inicial de tiers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700"/>
        <w:gridCol w:w="3360"/>
      </w:tblGrid>
      <w:tr>
        <w:trPr>
          <w:tblHeader w:val="true"/>
        </w:trPr>
        <w:tc>
          <w:tcPr>
            <w:tcW w:type="dxa" w:w="13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Tier</w:t>
            </w:r>
          </w:p>
        </w:tc>
        <w:tc>
          <w:tcPr>
            <w:tcW w:type="dxa" w:w="47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Jurisdições iniciais</w:t>
            </w:r>
          </w:p>
        </w:tc>
        <w:tc>
          <w:tcPr>
            <w:tcW w:type="dxa" w:w="33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7365D"/>
                <w:sz w:val="17"/>
              </w:rPr>
              <w:t>Tratamento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Tier 1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Brasil, México, Colômbia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Supervisão próxima e frequente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Tier 2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Argentina, Chile, Peru, Equador, Paraguai, Uruguai, Bolívia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Reporte periódico; Argentina com exceção cambial T1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Tier 3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Costa Rica, Panamá, Guatemala, Honduras, El Salvador, Nicarágua, Belize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Hub regional e cadência proporcional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Tier 4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Caribe, Guianas e territórios com operação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Gestão por exceção; tradições jurídicas diversas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Tier 5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Venezuela, Cuba, Haiti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Risco reforçado, sanções e contingência</w:t>
            </w:r>
          </w:p>
        </w:tc>
      </w:tr>
    </w:tbl>
    <w:p>
      <w:pPr>
        <w:spacing w:before="80" w:after="0"/>
      </w:pPr>
    </w:p>
    <w:p>
      <w:pPr>
        <w:pStyle w:val="Heading1"/>
        <w:keepNext/>
      </w:pPr>
      <w:r>
        <w:t>Apêndice B - Nota de uso</w:t>
      </w:r>
    </w:p>
    <w:p>
      <w:pPr/>
      <w:r>
        <w:rPr>
          <w:rFonts w:ascii="Calibri" w:hAnsi="Calibri"/>
          <w:color w:val="000000"/>
        </w:rPr>
        <w:t>Esta especificação foi derivada exclusivamente dos materiais fornecidos e consolida uma visão inicial de produto. Afirmações sobre leis, tratados, regimes fiscais, sanções, privilege, retenção de dados e obrigações regulatórias devem ser verificadas por profissionais habilitados e pelas áreas corporativas responsáveis antes de serem convertidas em regra automática ou requisito contratual.</w:t>
      </w:r>
    </w:p>
    <w:p>
      <w:pPr/>
      <w:r>
        <w:rPr>
          <w:rFonts w:ascii="Calibri" w:hAnsi="Calibri"/>
          <w:color w:val="000000"/>
        </w:rPr>
        <w:t>O documento foi preparado como minuta confidencial e deve permanecer em ambiente controlado. A proteção de edição reduz alterações acidentais, mas não substitui controle de acesso, criptografia, governança de cópias ou política corporativa de informação.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</w:pPr>
    <w:r>
      <w:rPr>
        <w:rFonts w:ascii="Calibri" w:hAnsi="Calibri"/>
        <w:color w:val="5F6B7A"/>
        <w:sz w:val="17"/>
      </w:rPr>
      <w:t>Uso interno | Conteúdo tributário sujeito a validação local</w:t>
    </w:r>
  </w:p>
  <w:p>
    <w:pPr>
      <w:spacing w:before="0" w:after="0"/>
      <w:jc w:val="right"/>
    </w:pPr>
    <w:r>
      <w:rPr>
        <w:rFonts w:ascii="Calibri" w:hAnsi="Calibri"/>
        <w:color w:val="5F6B7A"/>
        <w:sz w:val="18"/>
      </w:rPr>
      <w:t xml:space="preserve">Página </w:t>
    </w:r>
    <w:r>
      <w:rPr>
        <w:rFonts w:ascii="Calibri" w:hAnsi="Calibri"/>
        <w:color w:val="5F6B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F6B7A"/>
        <w:sz w:val="17"/>
      </w:rPr>
      <w:t>API MANAGEMENT TAX  |  ESPECIFICAÇÃO CONSOLIDADA</w:t>
    </w:r>
  </w:p>
  <w:p>
    <w:pPr>
      <w:spacing w:before="0" w:after="0"/>
      <w:jc w:val="right"/>
    </w:pPr>
    <w:r>
      <w:rPr>
        <w:rFonts w:ascii="Calibri" w:hAnsi="Calibri"/>
        <w:b/>
        <w:color w:val="9B1C1C"/>
        <w:sz w:val="16"/>
      </w:rPr>
      <w:t>CONFIDENCIAL - MINUTA DE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ocumentProtection w:edit="readOnly" w:enforcement="1" w:formatting="0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ind w:left="1080" w:hanging="36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Management Tax - Especificação Consolidada</dc:title>
  <dc:subject>Visão, requisitos, segurança e roadmap inicial</dc:subject>
  <dc:creator/>
  <cp:keywords>API Management Tax; governança fiscal; LATAM; Caribe; confidencial</cp:keywords>
  <dc:description>Minuta de trabalho sujeita a validação profissional.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