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500"/>
      </w:pPr>
      <w:r>
        <w:rPr>
          <w:rFonts w:ascii="Aptos" w:cs="Aptos" w:eastAsia="Aptos" w:hAnsi="Aptos"/>
          <w:b/>
          <w:bCs/>
          <w:color w:val="2F75B5"/>
          <w:sz w:val="26"/>
          <w:szCs w:val="26"/>
        </w:rPr>
        <w:t xml:space="preserve">PACOTE DE DECISÃO E ARQUITETURA</w:t>
      </w:r>
    </w:p>
    <w:p>
      <w:pPr>
        <w:spacing w:after="180"/>
      </w:pPr>
      <w:r>
        <w:rPr>
          <w:rFonts w:ascii="Aptos" w:cs="Aptos" w:eastAsia="Aptos" w:hAnsi="Aptos"/>
          <w:b/>
          <w:bCs/>
          <w:color w:val="1F2D3D"/>
          <w:sz w:val="52"/>
          <w:szCs w:val="52"/>
        </w:rPr>
        <w:t xml:space="preserve">Gate 0 — Fundação</w:t>
      </w:r>
    </w:p>
    <w:p>
      <w:pPr>
        <w:spacing w:after="360"/>
      </w:pPr>
      <w:r>
        <w:rPr>
          <w:rFonts w:ascii="Aptos" w:cs="Aptos" w:eastAsia="Aptos" w:hAnsi="Aptos"/>
          <w:color w:val="536273"/>
          <w:sz w:val="30"/>
          <w:szCs w:val="30"/>
        </w:rPr>
        <w:t xml:space="preserve">API Management Tax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1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Documento</w:t>
            </w:r>
          </w:p>
        </w:tc>
        <w:tc>
          <w:tcPr>
            <w:tcW w:type="dxa" w:w="7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AMT-G0-DEC-001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Versão</w:t>
            </w:r>
          </w:p>
        </w:tc>
        <w:tc>
          <w:tcPr>
            <w:tcW w:type="dxa" w:w="71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0.1 — proposta para aprovação condicionada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14 de agosto de 2026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Produto</w:t>
            </w:r>
          </w:p>
        </w:tc>
        <w:tc>
          <w:tcPr>
            <w:tcW w:type="dxa" w:w="71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Ferramenta interna corporativa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Fase autorizável</w:t>
            </w:r>
          </w:p>
        </w:tc>
        <w:tc>
          <w:tcPr>
            <w:tcW w:type="dxa" w:w="7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Desenvolvimento local do MVP 0 com dados exclusivamente sintéticos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71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EAF2F8" w:sz="2"/>
          <w:left w:val="single" w:color="2F75B5" w:sz="16"/>
          <w:bottom w:val="single" w:color="EAF2F8" w:sz="2"/>
          <w:right w:val="single" w:color="EAF2F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color w:val="2F75B5"/>
                <w:sz w:val="20"/>
                <w:szCs w:val="20"/>
              </w:rPr>
              <w:t xml:space="preserve">DECISÃO CENTRAL </w:t>
            </w: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 API Management Tax será tratado no primeiro ciclo como ferramenta interna corporativa. A arquitetura preservará isolamento por tenant e capacidade de evolução, sem assumir obrigações comerciais de uma oferta SaaS.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FCE8E6" w:sz="2"/>
          <w:left w:val="single" w:color="B42318" w:sz="16"/>
          <w:bottom w:val="single" w:color="FCE8E6" w:sz="2"/>
          <w:right w:val="single" w:color="FCE8E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CE8E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color w:val="B42318"/>
                <w:sz w:val="20"/>
                <w:szCs w:val="20"/>
              </w:rPr>
              <w:t xml:space="preserve">LIMITE DE AUTORIZAÇÃO </w:t>
            </w: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Este pacote não produz efeito autorizativo até a assinatura das concordâncias obrigatórias e a ratificação final do CFO. Mesmo após assinado, não autoriza produção, dados tributários reais, pareceres privilegiados, integrações corporativas nem acesso externo.</w:t>
            </w:r>
          </w:p>
        </w:tc>
      </w:tr>
    </w:tbl>
    <w:p>
      <w:pPr>
        <w:spacing w:before="950"/>
        <w:jc w:val="center"/>
      </w:pPr>
      <w:r>
        <w:rPr>
          <w:rFonts w:ascii="Aptos" w:cs="Aptos" w:eastAsia="Aptos" w:hAnsi="Aptos"/>
          <w:color w:val="667085"/>
          <w:sz w:val="18"/>
          <w:szCs w:val="18"/>
        </w:rPr>
        <w:t xml:space="preserve">Minuta para CFO, Management Tax, Jurídico, Segurança, TI e Auditoria</w:t>
      </w:r>
    </w:p>
    <w:p>
      <w:r>
        <w:br w:type="page"/>
      </w:r>
    </w:p>
    <w:p>
      <w:pPr>
        <w:pStyle w:val="Heading1"/>
      </w:pPr>
      <w:r>
        <w:t xml:space="preserve">0. Controle do documento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70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7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Management Tax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Sponsor</w:t>
            </w:r>
          </w:p>
        </w:tc>
        <w:tc>
          <w:tcPr>
            <w:tcW w:type="dxa" w:w="7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 Regional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Aprovadores mínimos</w:t>
            </w:r>
          </w:p>
        </w:tc>
        <w:tc>
          <w:tcPr>
            <w:tcW w:type="dxa" w:w="7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Concordâncias de Management Tax, Jurídico, Segurança, TI/Plataforma e Auditoria; ratificação final do CFO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Registrar decisões de fundação, limites de autorização, arquitetura de referência e evidências para iniciar o MVP 0.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Relação documental</w:t>
            </w:r>
          </w:p>
        </w:tc>
        <w:tc>
          <w:tcPr>
            <w:tcW w:type="dxa" w:w="7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Complementa API_Management_Tax_Especificacao_Consolidada.docx, v0.1 de 14/08/2026, e API_Management_Tax_Seguranca_Governanca_Auditabilidade.docx, v0.1 de 14/08/2026.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Regra de conflito</w:t>
            </w:r>
          </w:p>
        </w:tc>
        <w:tc>
          <w:tcPr>
            <w:tcW w:type="dxa" w:w="7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Prevalecem lei, obrigação contratual, política corporativa e decisão formal do aprovador competente.</w:t>
            </w:r>
          </w:p>
        </w:tc>
      </w:tr>
    </w:tbl>
    <w:p>
      <w:pPr>
        <w:pStyle w:val="Heading2"/>
      </w:pPr>
      <w:r>
        <w:t xml:space="preserve">0.1 Estado da decisão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30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Alcance</w:t>
            </w:r>
          </w:p>
        </w:tc>
        <w:tc>
          <w:tcPr>
            <w:tcW w:type="dxa" w:w="35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9A6700"/>
                <w:sz w:val="17"/>
                <w:szCs w:val="17"/>
              </w:rPr>
              <w:t xml:space="preserve">PROPOSTA — NÃO EFETIVA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Desenvolvimento local e testes do MVP 0</w:t>
            </w:r>
          </w:p>
        </w:tc>
        <w:tc>
          <w:tcPr>
            <w:tcW w:type="dxa" w:w="3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após concordâncias obrigatórias e ratificação do CFO; dados sintéticos; sem produção</w:t>
            </w:r>
          </w:p>
        </w:tc>
      </w:tr>
      <w:tr>
        <w:trPr>
          <w:cantSplit/>
        </w:trPr>
        <w:tc>
          <w:tcPr>
            <w:tcW w:type="dxa" w:w="2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B42318"/>
                <w:sz w:val="17"/>
                <w:szCs w:val="17"/>
              </w:rPr>
              <w:t xml:space="preserve">BLOQUEADO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Dados reais e piloto operacional</w:t>
            </w:r>
          </w:p>
        </w:tc>
        <w:tc>
          <w:tcPr>
            <w:tcW w:type="dxa" w:w="35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após Gate 2, revisão de privilege e autorização dos responsáveis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B42318"/>
                <w:sz w:val="17"/>
                <w:szCs w:val="17"/>
              </w:rPr>
              <w:t xml:space="preserve">BLOQUEADO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Uso produtivo</w:t>
            </w:r>
          </w:p>
        </w:tc>
        <w:tc>
          <w:tcPr>
            <w:tcW w:type="dxa" w:w="3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após Gate 7 e aceite formal do risco residual</w:t>
            </w:r>
          </w:p>
        </w:tc>
      </w:tr>
    </w:tbl>
    <w:p>
      <w:pPr>
        <w:pStyle w:val="Heading2"/>
      </w:pPr>
      <w:r>
        <w:t xml:space="preserve">0.2 Como usar este pacote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Até que o registro de aprovação esteja completo, este documento é proposta de decisão e não autoriza iniciar desenvolvimento.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Os aprovadores devem aceitar, rejeitar ou alterar cada ADR e cada pendência aberta.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Uma decisão ainda não aprovada permanece proposta; silêncio ou início de desenvolvimento não equivalem a aprovação.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Toda alteração posterior deve atualizar versão, responsável, data, justificativa e impacto nos gates.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Evidências devem ser armazenadas no repositório governado, vinculadas ao requisito correspondente.</w:t>
      </w:r>
    </w:p>
    <w:p>
      <w:pPr>
        <w:pStyle w:val="Heading1"/>
      </w:pPr>
      <w:r>
        <w:t xml:space="preserve">1. Síntese executiva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 Gate 0 estabelece as condições mínimas para que o API Management Tax avance de documentação para desenvolvimento controlado. O produto será uma ferramenta interna corporativa destinada a organizar jurisdições, escritórios, decisões, riscos e evidências, sem substituir profissionais habilitados nem emitir conclusão jurídica autônoma.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aprovação proposta é deliberadamente limitada ao MVP 0 em ambiente local ou de desenvolvimento isolado. O conjunto inicial inclui identidade federada, perfis, jurisdições, tiers, escritórios, classificação da informação, contexto de tenant e auditoria. Todo dado deve ser fictício ou sintético.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Três escolhas produtivas permanecem pendentes: provedor e configuração final de identidade, hospedagem/cofre de segredos e parâmetros definitivos de recuperação e retenção. O desenvolvimento pode avançar com contratos de integração e adaptadores, mas nenhuma dessas pendências pode ser resolvida informalmente no código.</w:t>
      </w:r>
    </w:p>
    <w:tbl>
      <w:tblPr>
        <w:tblW w:type="dxa" w:w="9360"/>
        <w:tblBorders>
          <w:top w:val="single" w:color="FFF4CC" w:sz="2"/>
          <w:left w:val="single" w:color="9A6700" w:sz="16"/>
          <w:bottom w:val="single" w:color="FFF4CC" w:sz="2"/>
          <w:right w:val="single" w:color="FFF4C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color w:val="9A6700"/>
                <w:sz w:val="20"/>
                <w:szCs w:val="20"/>
              </w:rPr>
              <w:t xml:space="preserve">VEREDITO </w:t>
            </w: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 Gate 0 está documentalmente preparado para aprovação condicionada, mas permanece não efetivo. São necessárias as concordâncias de Management Tax, Jurídico, Segurança, TI/Plataforma e Auditoria, seguidas da ratificação final do CFO.</w:t>
            </w:r>
          </w:p>
        </w:tc>
      </w:tr>
    </w:tbl>
    <w:p>
      <w:pPr>
        <w:pStyle w:val="Heading2"/>
      </w:pPr>
      <w:r>
        <w:t xml:space="preserve">1.1 Objetivos mensuráveis do Gate 0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Eliminar ambiguidade sobre o modelo de produto e os limites do primeiro ciclo.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Definir uma arquitetura testável sem escolher prematuramente fornecedores produtivos.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Tornar identidade, autorização, isolamento e auditoria requisitos de fundação, não incrementos posteriores.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Registrar bloqueios claros para dados reais, privilege, integrações e produção.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Produzir evidências suficientes para iniciar histórias do MVP 0 e a especificação OpenAPI.</w:t>
      </w:r>
    </w:p>
    <w:p>
      <w:pPr>
        <w:pStyle w:val="Heading1"/>
      </w:pPr>
      <w:r>
        <w:t xml:space="preserve">2. Escopo e premissas aprováveis</w:t>
      </w:r>
    </w:p>
    <w:p>
      <w:pPr>
        <w:pStyle w:val="Heading2"/>
      </w:pPr>
      <w:r>
        <w:t xml:space="preserve">2.1 Dentro do MVP 0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Login federado por contrato OIDC ou SAML com o provedor corporativo existente; MFA aplicado pelo provedor.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Perfis e atribuições de acesso com menor privilégio, segregação de funções e negação por padrão.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Cadastro versionado de jurisdições, presença operacional, tiers e justificativas.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Cadastro de escritórios, cobertura por jurisdição, contatos e status de validação.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Classificação de informação explícita e herdável.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Contexto obrigatório de tenant e políticas PostgreSQL RLS para dados segregados.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Trilha de auditoria append-only para autenticação, acesso, alteração, exportação e administração.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Ambiente local reproduzível com Docker, PostgreSQL, Prisma ORM/Migrate e massa sintética.</w:t>
      </w:r>
    </w:p>
    <w:p>
      <w:pPr>
        <w:pStyle w:val="Heading2"/>
      </w:pPr>
      <w:r>
        <w:t xml:space="preserve">2.2 Fora da autorização deste Gate 0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Dados tributários reais, documentos de clientes, credenciais produtivas ou cópias de bancos corporativos.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Parecer jurídico integral ou material potencialmente privilegiado.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Integrações reais com ERP, identidade, contratos, litígios, e-mail ou armazenamento corporativo.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Uso externo, oferta SaaS, acesso de clientes ou escritórios por contas produtivas.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Recomendação tributária automática, declaração de vigência legal ou aprovação autônoma por IA.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Deploy produtivo, operação contínua ou compromisso de SLA externo.</w:t>
      </w:r>
    </w:p>
    <w:p>
      <w:r>
        <w:br w:type="page"/>
      </w:r>
    </w:p>
    <w:p>
      <w:pPr>
        <w:pStyle w:val="Heading2"/>
      </w:pPr>
      <w:r>
        <w:t xml:space="preserve">2.3 Premissas operacionais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Premissa</w:t>
            </w:r>
          </w:p>
        </w:tc>
        <w:tc>
          <w:tcPr>
            <w:tcW w:type="dxa" w:w="68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Tratamento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Produto interno</w:t>
            </w:r>
          </w:p>
        </w:tc>
        <w:tc>
          <w:tcPr>
            <w:tcW w:type="dxa" w:w="6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Confirmada pelo responsável do projeto em 14/08/2026; requer registro formal do Sponsor.</w:t>
            </w:r>
          </w:p>
        </w:tc>
      </w:tr>
      <w:tr>
        <w:trPr>
          <w:cantSplit/>
        </w:trPr>
        <w:tc>
          <w:tcPr>
            <w:tcW w:type="dxa" w:w="2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Identidade</w:t>
            </w:r>
          </w:p>
        </w:tc>
        <w:tc>
          <w:tcPr>
            <w:tcW w:type="dxa" w:w="6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Reutilizar o IdP corporativo; fornecedor e atributos finais serão mapeados no ADR-002.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Tenancy</w:t>
            </w:r>
          </w:p>
        </w:tc>
        <w:tc>
          <w:tcPr>
            <w:tcW w:type="dxa" w:w="6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Um grupo corporativo no piloto, mas tenant_id obrigatório para segregação e evolução.</w:t>
            </w:r>
          </w:p>
        </w:tc>
      </w:tr>
      <w:tr>
        <w:trPr>
          <w:cantSplit/>
        </w:trPr>
        <w:tc>
          <w:tcPr>
            <w:tcW w:type="dxa" w:w="2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Dados</w:t>
            </w:r>
          </w:p>
        </w:tc>
        <w:tc>
          <w:tcPr>
            <w:tcW w:type="dxa" w:w="6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sintéticos até Gate 2; dados reais exigem aprovação de Segurança, Jurídico e Produto.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Privilege</w:t>
            </w:r>
          </w:p>
        </w:tc>
        <w:tc>
          <w:tcPr>
            <w:tcW w:type="dxa" w:w="6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Parecer integral permanece fora; o MVP armazena apenas metadados/referência quando autorizado.</w:t>
            </w:r>
          </w:p>
        </w:tc>
      </w:tr>
      <w:tr>
        <w:trPr>
          <w:cantSplit/>
        </w:trPr>
        <w:tc>
          <w:tcPr>
            <w:tcW w:type="dxa" w:w="2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Baseline neutro em fornecedor; produção bloqueada até ADR específico.</w:t>
            </w:r>
          </w:p>
        </w:tc>
      </w:tr>
    </w:tbl>
    <w:p>
      <w:pPr>
        <w:pStyle w:val="Heading2"/>
      </w:pPr>
      <w:r>
        <w:t xml:space="preserve">2.4 Taxonomia de classificação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500"/>
        <w:gridCol w:w="1450"/>
        <w:gridCol w:w="4150"/>
        <w:gridCol w:w="2260"/>
      </w:tblGrid>
      <w:tr>
        <w:trPr>
          <w:tblHeader/>
        </w:trPr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Classe</w:t>
            </w:r>
          </w:p>
        </w:tc>
        <w:tc>
          <w:tcPr>
            <w:tcW w:type="dxa" w:w="14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Ordem</w:t>
            </w:r>
          </w:p>
        </w:tc>
        <w:tc>
          <w:tcPr>
            <w:tcW w:type="dxa" w:w="41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Uso permitido no MVP 0</w:t>
            </w:r>
          </w:p>
        </w:tc>
        <w:tc>
          <w:tcPr>
            <w:tcW w:type="dxa" w:w="22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Exportação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PÚBLICO</w:t>
            </w:r>
          </w:p>
        </w:tc>
        <w:tc>
          <w:tcPr>
            <w:tcW w:type="dxa" w:w="14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1 — menos restritiva</w:t>
            </w:r>
          </w:p>
        </w:tc>
        <w:tc>
          <w:tcPr>
            <w:tcW w:type="dxa" w:w="4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representações sintéticas de fontes públicas; nenhuma cópia ou dado real</w:t>
            </w:r>
          </w:p>
        </w:tc>
        <w:tc>
          <w:tcPr>
            <w:tcW w:type="dxa" w:w="2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Permitida conforme contrato e auditoria</w:t>
            </w:r>
          </w:p>
        </w:tc>
      </w:tr>
      <w:tr>
        <w:trPr>
          <w:cantSplit/>
        </w:trPr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INTERNO</w:t>
            </w:r>
          </w:p>
        </w:tc>
        <w:tc>
          <w:tcPr>
            <w:tcW w:type="dxa" w:w="14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</w:t>
            </w:r>
          </w:p>
        </w:tc>
        <w:tc>
          <w:tcPr>
            <w:tcW w:type="dxa" w:w="4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Metadados operacionais sintéticos</w:t>
            </w:r>
          </w:p>
        </w:tc>
        <w:tc>
          <w:tcPr>
            <w:tcW w:type="dxa" w:w="22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usuário interno autorizado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14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3</w:t>
            </w:r>
          </w:p>
        </w:tc>
        <w:tc>
          <w:tcPr>
            <w:tcW w:type="dxa" w:w="4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Estrutura e cenários sintéticos que revelem processo interno</w:t>
            </w:r>
          </w:p>
        </w:tc>
        <w:tc>
          <w:tcPr>
            <w:tcW w:type="dxa" w:w="2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Permissão específica, marca, finalidade e prazo</w:t>
            </w:r>
          </w:p>
        </w:tc>
      </w:tr>
      <w:tr>
        <w:trPr>
          <w:cantSplit/>
        </w:trPr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RESTRITO</w:t>
            </w:r>
          </w:p>
        </w:tc>
        <w:tc>
          <w:tcPr>
            <w:tcW w:type="dxa" w:w="14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 — mais restritiva</w:t>
            </w:r>
          </w:p>
        </w:tc>
        <w:tc>
          <w:tcPr>
            <w:tcW w:type="dxa" w:w="4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Segredos, credenciais e chaves ficam fora do domínio</w:t>
            </w:r>
          </w:p>
        </w:tc>
        <w:tc>
          <w:tcPr>
            <w:tcW w:type="dxa" w:w="22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Bloqueada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classe mais restritiva prevalece; herança ocorre do objeto pai para anexos, exports e eventos derivados.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Rebaixamento de classe exige Jurídico ou Segurança conforme a natureza, justificativa, aprovador, data e AuditEvent.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Acesso exige simultaneamente papel, tenant, jurisdição quando aplicável, classe e finalidade compatíveis.</w:t>
      </w:r>
    </w:p>
    <w:p>
      <w:pPr>
        <w:pStyle w:val="Heading2"/>
      </w:pPr>
      <w:r>
        <w:t xml:space="preserve">2.5 Metadados de parecer e privilege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Privilege é um atributo jurídico ortogonal à classificação da informação, nunca um degrau da escala PÚBLICO–RESTRITO. O campo legal_privilege admite NONE, POTENTIAL, CONFIRMED ou WAIVED. POTENTIAL e CONFIRMED aplicam controles adicionais independentemente da classe; WAIVED somente pode ser definido pelo Jurídico com decisão e evidência próprias.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Permitido somente após autorização do Jurídico</w:t>
            </w:r>
          </w:p>
        </w:tc>
        <w:tc>
          <w:tcPr>
            <w:tcW w:type="dxa" w:w="468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Proibido no MVP 0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reference_id opaco; jurisdição; escritório; data do parecer; categoria de assunto; status de validação; classe; owner; identificador da aprovação jurídica; política de retenção; URI opaca do repositório autorizado</w:t>
            </w:r>
          </w:p>
        </w:tc>
        <w:tc>
          <w:tcPr>
            <w:tcW w:type="dxa" w:w="46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Arquivo ou texto integral; conclusão; tese; recomendação; citação substantiva; resumo livre; e-mail; anexo; OCR; embedding; prompt; conteúdo extraído ou dado que revele a orientação jurídica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Inclusão de referência exige aprovação conjunta de Jurídico e Management Tax e permanece bloqueada até o Gate 2.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 repositório externo, o efeito sobre privilege e a retenção devem ser aprovados por jurisdição antes de qualquer referência real.</w:t>
      </w:r>
    </w:p>
    <w:p>
      <w:r>
        <w:br w:type="page"/>
      </w:r>
    </w:p>
    <w:p>
      <w:pPr>
        <w:pStyle w:val="Heading1"/>
      </w:pPr>
      <w:r>
        <w:t xml:space="preserve">3. Arquitetura de referência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arquitetura separa identidade, autorização, domínio, persistência e evidência. Cada camada deve negar acesso quando o contexto necessário estiver ausente e emitir eventos correlacionáveis para operações sensíveis.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700"/>
        <w:gridCol w:w="4080"/>
        <w:gridCol w:w="3580"/>
      </w:tblGrid>
      <w:tr>
        <w:trPr>
          <w:tblHeader/>
        </w:trPr>
        <w:tc>
          <w:tcPr>
            <w:tcW w:type="dxa" w:w="17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408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Responsabilidade</w:t>
            </w:r>
          </w:p>
        </w:tc>
        <w:tc>
          <w:tcPr>
            <w:tcW w:type="dxa" w:w="358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Controle obrigatório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Usuário e estação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Acesso por navegador ou cliente aprovado</w:t>
            </w:r>
          </w:p>
        </w:tc>
        <w:tc>
          <w:tcPr>
            <w:tcW w:type="dxa" w:w="35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Estação autorizada; sessão curta; nenhuma credencial compartilhada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Identidade corporativa</w:t>
            </w:r>
          </w:p>
        </w:tc>
        <w:tc>
          <w:tcPr>
            <w:tcW w:type="dxa" w:w="40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Autenticação, MFA e lifecycle</w:t>
            </w:r>
          </w:p>
        </w:tc>
        <w:tc>
          <w:tcPr>
            <w:tcW w:type="dxa" w:w="35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Federação; grupos/claims mínimos; revogação e trilha do IdP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API / gateway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TLS, validação de token, rate limit e correlation_id</w:t>
            </w:r>
          </w:p>
        </w:tc>
        <w:tc>
          <w:tcPr>
            <w:tcW w:type="dxa" w:w="35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Negação por padrão; erros sem vazamento; limites por identidade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40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RBAC para função e ABAC para tenant, jurisdição, classificação e contexto</w:t>
            </w:r>
          </w:p>
        </w:tc>
        <w:tc>
          <w:tcPr>
            <w:tcW w:type="dxa" w:w="35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 positivo e negativo; decisão auditável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Serviços de domínio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Jurisdictions, offices, identity administration e audit query</w:t>
            </w:r>
          </w:p>
        </w:tc>
        <w:tc>
          <w:tcPr>
            <w:tcW w:type="dxa" w:w="35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Validação; idempotência; regras versionadas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40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PostgreSQL e Prisma Migrate</w:t>
            </w:r>
          </w:p>
        </w:tc>
        <w:tc>
          <w:tcPr>
            <w:tcW w:type="dxa" w:w="35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tenant_id; RLS forçada; usuário da aplicação sem BYPASSRLS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Auditoria</w:t>
            </w:r>
          </w:p>
        </w:tc>
        <w:tc>
          <w:tcPr>
            <w:tcW w:type="dxa" w:w="40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Eventos append-only e evidência de integridade</w:t>
            </w:r>
          </w:p>
        </w:tc>
        <w:tc>
          <w:tcPr>
            <w:tcW w:type="dxa" w:w="358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UTC; actor; resource; before/after seguro; hash e correlation_id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Plataforma</w:t>
            </w:r>
          </w:p>
        </w:tc>
        <w:tc>
          <w:tcPr>
            <w:tcW w:type="dxa" w:w="40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Containers, pipeline, segredos, backup e observabilidade</w:t>
            </w:r>
          </w:p>
        </w:tc>
        <w:tc>
          <w:tcPr>
            <w:tcW w:type="dxa" w:w="358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Não root; imagem mínima; cofre; scans; artefato imutável</w:t>
            </w:r>
          </w:p>
        </w:tc>
      </w:tr>
    </w:tbl>
    <w:p>
      <w:pPr>
        <w:pStyle w:val="Heading2"/>
      </w:pPr>
      <w:r>
        <w:t xml:space="preserve">3.1 Fluxo de confiança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 usuário autentica no provedor corporativo e recebe token de curta duração.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API valida emissor, audiência, expiração, MFA/assurance e identificador da sessão.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 middleware resolve tenant, função, jurisdição e classificação; contexto incompleto é negado.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 serviço aplica autorização contextual e validação de domínio antes de consultar ou alterar dados.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sessão do banco recebe contexto controlado; RLS filtra linhas independentemente da consulta ORM.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operação e seu resultado geram AuditEvent com correlation_id e referência segura de antes/depois.</w:t>
      </w:r>
    </w:p>
    <w:p>
      <w:pPr>
        <w:pStyle w:val="ListParagraph"/>
        <w:numPr>
          <w:ilvl w:val="0"/>
          <w:numId w:val="3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Métricas e alertas detectam negações anormais, exportações, falhas de integridade e comportamento suspeito.</w:t>
      </w:r>
    </w:p>
    <w:p>
      <w:pPr>
        <w:pStyle w:val="Heading2"/>
      </w:pPr>
      <w:r>
        <w:t xml:space="preserve">3.2 Fronteiras de confiança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Fronteira</w:t>
            </w:r>
          </w:p>
        </w:tc>
        <w:tc>
          <w:tcPr>
            <w:tcW w:type="dxa" w:w="30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40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Regra de passagem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Usuário → identidade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Conta comprometida</w:t>
            </w:r>
          </w:p>
        </w:tc>
        <w:tc>
          <w:tcPr>
            <w:tcW w:type="dxa" w:w="4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MFA; lifecycle; detecção de risco; sem conta compartilhada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Identidade → API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Token forjado, expirado ou para outro público</w:t>
            </w:r>
          </w:p>
        </w:tc>
        <w:tc>
          <w:tcPr>
            <w:tcW w:type="dxa" w:w="4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Validação criptográfica completa e claims mínimos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API → domínio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Escalada por endpoint</w:t>
            </w:r>
          </w:p>
        </w:tc>
        <w:tc>
          <w:tcPr>
            <w:tcW w:type="dxa" w:w="4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Autorização central e contextual antes de qualquer ação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Domínio → banco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Acesso cruzado entre tenants</w:t>
            </w:r>
          </w:p>
        </w:tc>
        <w:tc>
          <w:tcPr>
            <w:tcW w:type="dxa" w:w="4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RLS forçada e contexto definido pela aplicação confiável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Sistema → exportação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Exfiltração</w:t>
            </w:r>
          </w:p>
        </w:tc>
        <w:tc>
          <w:tcPr>
            <w:tcW w:type="dxa" w:w="4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Permissão específica, propósito, classificação, marca e auditoria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Pipeline → produção</w:t>
            </w:r>
          </w:p>
        </w:tc>
        <w:tc>
          <w:tcPr>
            <w:tcW w:type="dxa" w:w="3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Artefato ou segredo indevido</w:t>
            </w:r>
          </w:p>
        </w:tc>
        <w:tc>
          <w:tcPr>
            <w:tcW w:type="dxa" w:w="4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Aprovação, scans, digest, cofre e ambiente protegido</w:t>
            </w:r>
          </w:p>
        </w:tc>
      </w:tr>
    </w:tbl>
    <w:p>
      <w:pPr>
        <w:pStyle w:val="Heading1"/>
      </w:pPr>
      <w:r>
        <w:t xml:space="preserve">4. Registros de decisão arquitetural — ADRs</w:t>
      </w:r>
    </w:p>
    <w:p>
      <w:pPr>
        <w:pStyle w:val="Heading3"/>
      </w:pPr>
      <w:r>
        <w:t xml:space="preserve">ADR-001 — Modelo de produto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Decisão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Ferramenta interna corporativa no primeiro ciclo.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Estado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PROPOSTO — não efetivo até concordâncias obrigatórias e ratificação do Sponsor.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Racional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Atende à governança regional sem introduzir contratos, billing, suporte externo ou tenancy comercial.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Não haverá acesso de clientes ou escritórios produtivos no MVP 0; evolução futura exige novo ADR e revisão de risco.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Aprovador/vigência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CFO/Sponsor; vigente somente após registro de assinatura e data.</w:t>
            </w:r>
          </w:p>
        </w:tc>
      </w:tr>
    </w:tbl>
    <w:p>
      <w:pPr>
        <w:pStyle w:val="Heading3"/>
      </w:pPr>
      <w:r>
        <w:t xml:space="preserve">ADR-002 — Identidade federada e MFA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Decisão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Usar o provedor corporativo existente por OIDC preferencialmente, ou SAML quando obrigatório; proibir senha local para contas humanas.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Estado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PROPOSTO — não efetivo; provedor, claims, grupos e lifecycle pendentes de TI/Segurança.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Racional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Centraliza MFA, revogação, joiner/mover/leaver e evidências de autenticação.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 desenvolvimento usa um adaptador de identidade e um emissor local sintético; integração real permanece bloqueada.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Aprovador/vigência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Segurança e TI concordam; CFO ratifica; vigente somente após assinatura e data.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ADR-003 — Isolamento por tenant e PostgreSQL RLS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Decisão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Todo dado segregável terá tenant_id não nulo; RLS será forçada no PostgreSQL e complementada por autorização contextual.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Estado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PROPOSTO — requisito não dispensável após ratificação.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Racional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Evita que erro de consulta, ORM ou endpoint exponha registros de outro escopo.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Migrações, índices, chaves únicas, testes e auditoria devem incluir tenant; BYPASSRLS é proibido para a aplicação.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Aprovador/vigência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Segurança concorda; TI/Engenharia responde pela implementação; CFO ratifica.</w:t>
            </w:r>
          </w:p>
        </w:tc>
      </w:tr>
    </w:tbl>
    <w:p>
      <w:pPr>
        <w:pStyle w:val="Heading3"/>
      </w:pPr>
      <w:r>
        <w:t xml:space="preserve">ADR-004 — Auditoria como domínio independente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Decisão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Eventos sensíveis serão append-only, correlacionáveis e protegidos por evidência de integridade.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Estado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PROPOSTO — requisito não dispensável após ratificação.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Racional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Logs operacionais não comprovam decisão, autorização, alteração nem cadeia de reliance.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Correções geram novos eventos; acesso e exportação da trilha também são auditados; segredos nunca entram no payload.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Aprovador/vigência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Auditoria e Segurança concordam; CFO ratifica; vigente somente após assinatura e data.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ADR-005 — Baseline portável de plataforma e segredos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Decisão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Desenvolvimento em containers não root, configuração externa e interface de cofre; fornecedor produtivo não será codificado no domínio.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Estado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PROPOSTO — baseline de desenvolvimento pendente de ratificação; hospedagem e cofre produtivos pendentes.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Racional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Permite avançar sem transformar uma escolha não aprovada em dependência estrutural.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Deploy produtivo é bloqueado até ADR de hospedagem, regiões, custos, chaves e responsabilidades operacionais.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Aprovador/vigência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Segurança e TI/Plataforma concordam; CFO ratifica; vigência limitada ao desenvolvimento.</w:t>
            </w:r>
          </w:p>
        </w:tc>
      </w:tr>
    </w:tbl>
    <w:p>
      <w:pPr>
        <w:pStyle w:val="Heading3"/>
      </w:pPr>
      <w:r>
        <w:t xml:space="preserve">ADR-006 — Dados sintéticos e privilege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Registro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Decisão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Até o Gate 2, somente dados sintéticos. Parecer integral e material potencialmente privilegiado ficam fora do sistema.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Estado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PROPOSTO — requisito não dispensável após ratificação.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Racional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Reduz exposição regulatória e evita perda de privilege antes de parecer jurídico por jurisdição.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Consequência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Fixtures devem ser manifestamente fictícias; anexos reais, dumps, e-mails e credenciais são proibidos.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Aprovador/vigência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Jurídico, Segurança e Management Tax concordam; CFO ratifica; vigente somente após assinatura e data.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Modelo lógico do MVP 0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Entidade</w:t>
            </w:r>
          </w:p>
        </w:tc>
        <w:tc>
          <w:tcPr>
            <w:tcW w:type="dxa" w:w="47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Finalidade e campos mínimos</w:t>
            </w:r>
          </w:p>
        </w:tc>
        <w:tc>
          <w:tcPr>
            <w:tcW w:type="dxa" w:w="2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Controles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nome interno, estado, criado_em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Raiz de segregação; alteração restrita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UserIdentity</w:t>
            </w:r>
          </w:p>
        </w:tc>
        <w:tc>
          <w:tcPr>
            <w:tcW w:type="dxa" w:w="47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user_id, subject_id, issuer, e-mail corporativo, estado, last_seen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Sem senha local; unique(issuer, subject_id); PII mínima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UserTenantMembership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user_id, estado, início/fim, requested_by, approved_by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FK composta; requester ≠ approver; sem tenant implícito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AccessRequest</w:t>
            </w:r>
          </w:p>
        </w:tc>
        <w:tc>
          <w:tcPr>
            <w:tcW w:type="dxa" w:w="47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user_id, role, jurisdictions, max_class, allowed_purposes, motivo, validade, requester, approvers, estado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Dupla aprovação quando privilegiado; expiração; AuditEvent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RoleAssignment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user_id, role, jurisdiction_id opcional, max_class, allowed_purposes, início/fim, approved_by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Derivada de AccessRequest; FK para membership; revogável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47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código, nome, presença, moeda, idioma, status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RLS; versão; owner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TierVersion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jurisdiction_id, tier, justificativa, vigente_de/até, aprovador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FK composta no mesmo tenant; histórico imutável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Office</w:t>
            </w:r>
          </w:p>
        </w:tc>
        <w:tc>
          <w:tcPr>
            <w:tcW w:type="dxa" w:w="47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firma, estado, classificação, contatos mínimos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RLS; minimização; classificação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OfficeCoverage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office_id, jurisdiction_id, escopo, início/fim, status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FKs compostas no mesmo tenant; conflito detectável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InformationClass</w:t>
            </w:r>
          </w:p>
        </w:tc>
        <w:tc>
          <w:tcPr>
            <w:tcW w:type="dxa" w:w="47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código PÚBLICO/INTERNO/CONFIDENCIAL/RESTRITO, regras de acesso, retenção e exportação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Política central versionada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PrivilegeMarker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resource_type/id, legal_privilege, jurisdiction_id, legal_approval_id, vigência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Ortogonal à classe; alteração exclusiva do Jurídico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PurposeCode</w:t>
            </w:r>
          </w:p>
        </w:tc>
        <w:tc>
          <w:tcPr>
            <w:tcW w:type="dxa" w:w="47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OPERATE_TAX, REVIEW_TAX, AUDIT, SECURITY_INVESTIGATION, PLATFORM_ADMIN, EXECUTIVE_REPORTING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Vocabulário fechado e versionado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AuditEvent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event_id, occurred_at_utc, actor, tenant, resource, action, result, correlation_id, prev_mac, integrity_mac, key_version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Append-only; writer dedicado; sem segredo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AccessReview</w:t>
            </w:r>
          </w:p>
        </w:tc>
        <w:tc>
          <w:tcPr>
            <w:tcW w:type="dxa" w:w="47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tenant_id, período, escopo, reviewer, achados, decisão, concluído_em</w:t>
            </w:r>
          </w:p>
        </w:tc>
        <w:tc>
          <w:tcPr>
            <w:tcW w:type="dxa" w:w="2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RLS; evidência de revisão periódica</w:t>
            </w:r>
          </w:p>
        </w:tc>
      </w:tr>
    </w:tbl>
    <w:p>
      <w:pPr>
        <w:pStyle w:val="Heading2"/>
      </w:pPr>
      <w:r>
        <w:t xml:space="preserve">5.1 Invariantes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Entidade sujeita a segregação não pode existir sem tenant_id.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Tier, cobertura e atribuição de acesso são temporais; alterações não apagam o histórico.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aplicação nunca aceita tenant_id fornecido pelo cliente como autoridade suficiente; o contexto deriva da identidade e da autorização.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AuditEvent não pode ser atualizado nem excluído pelo usuário da aplicação.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Toda operação administrativa exige motivo controlado, aprovador quando aplicável e correlation_id.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Classificação mais restritiva prevalece quando objeto, anexo e contexto divergirem.</w:t>
      </w:r>
    </w:p>
    <w:p>
      <w:pPr>
        <w:pStyle w:val="Heading2"/>
      </w:pPr>
      <w:r>
        <w:t xml:space="preserve">5.2 Semântica de tenant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No piloto, Tenant representa uma unidade corporativa isolada; Tenant A e Tenant B são partições sintéticas usadas para provar isolamento.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identidade autenticada não recebe acesso por existir no IdP: ela precisa de UserTenantMembership ativo e RoleAssignment válido.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Um usuário pode pertencer a mais de um tenant somente por memberships independentes e aprovados; não existe tenant global implícito.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Um header ou parâmetro de tenant pode selecionar entre memberships válidos, mas nunca concede autoridade. A API resolve e valida o contexto no servidor.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Acesso cruzado excepcional não existe no MVP 0; suporte futuro exigirá papel específico, dupla aprovação, prazo, finalidade e trilha separada.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FKs e unicidades compostas incluem tenant_id para impedir OfficeCoverage, TierVersion ou RoleAssignment entre tenants.</w:t>
      </w:r>
    </w:p>
    <w:p>
      <w:pPr>
        <w:pStyle w:val="Heading2"/>
      </w:pPr>
      <w:r>
        <w:t xml:space="preserve">5.3 Contrato PostgreSQL RLS e Prisma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71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Decisão técnica mínima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Papéis</w:t>
            </w:r>
          </w:p>
        </w:tc>
        <w:tc>
          <w:tcPr>
            <w:tcW w:type="dxa" w:w="7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app_migrator altera schema e não atende requisições; app_runtime não possui BYPASSRLS; app_audit_writer insere eventos e não atualiza/exclui.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Políticas</w:t>
            </w:r>
          </w:p>
        </w:tc>
        <w:tc>
          <w:tcPr>
            <w:tcW w:type="dxa" w:w="71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ENABLE ROW LEVEL SECURITY e FORCE ROW LEVEL SECURITY em toda tabela segregada; USING e WITH CHECK validam tenant_id.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Contexto</w:t>
            </w:r>
          </w:p>
        </w:tc>
        <w:tc>
          <w:tcPr>
            <w:tcW w:type="dxa" w:w="7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Cada operação abre transação e aplica set_config('app.tenant_id', valor_validado, true); nenhum contexto persiste fora da transação.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Pooling</w:t>
            </w:r>
          </w:p>
        </w:tc>
        <w:tc>
          <w:tcPr>
            <w:tcW w:type="dxa" w:w="71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Checkout não confia em estado anterior; reset e teste de ausência de contexto são obrigatórios; falha de contexto nega acesso.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Prisma</w:t>
            </w:r>
          </w:p>
        </w:tc>
        <w:tc>
          <w:tcPr>
            <w:tcW w:type="dxa" w:w="71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Acesso segregado ocorre dentro de wrapper transacional único; query fora do wrapper falha; migração não usa app_runtime.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</w:t>
            </w:r>
          </w:p>
        </w:tc>
        <w:tc>
          <w:tcPr>
            <w:tcW w:type="dxa" w:w="71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 A/B por tabela, leitura por ID conhecido, INSERT/UPDATE cruzado, ausência de contexto, pooling reutilizado e regressão após migração.</w:t>
            </w:r>
          </w:p>
        </w:tc>
      </w:tr>
    </w:tbl>
    <w:p>
      <w:pPr>
        <w:pStyle w:val="Heading2"/>
      </w:pPr>
      <w:r>
        <w:t xml:space="preserve">5.4 Integridade da auditoria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Um writer dedicado cria cada evento com prev_mac, integrity_mac autenticado e key_version; hash sem chave não é evidência suficiente contra agente com acesso ao banco.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chave vem do cofre, é separada do banco e rotacionável; o ambiente local usa chave sintética explicitamente não produtiva.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Update e delete são negados ao writer e ao runtime; correção produz evento compensatório vinculado ao original.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Um verificador independente recalcula a cadeia e registra resultado; produção exige ancoragem periódica do digest em destino externo imutável ou serviço corporativo de segurança.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Leitura, verificação e exportação da trilha são funções distintas e também geram eventos.</w:t>
      </w:r>
    </w:p>
    <w:p>
      <w:r>
        <w:br w:type="page"/>
      </w:r>
    </w:p>
    <w:p>
      <w:pPr>
        <w:pStyle w:val="Heading1"/>
      </w:pPr>
      <w:r>
        <w:t xml:space="preserve">6. Modelo de acesso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Legenda: A = administrar; E = editar; L = ler; X = exportar controladamente; — = sem acesso. Toda permissão continua sujeita a tenant, jurisdição, classificação, finalidade e estado do registro.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800"/>
        <w:gridCol w:w="1500"/>
        <w:gridCol w:w="1500"/>
        <w:gridCol w:w="1700"/>
        <w:gridCol w:w="1500"/>
        <w:gridCol w:w="1360"/>
      </w:tblGrid>
      <w:tr>
        <w:trPr>
          <w:tblHeader/>
        </w:trPr>
        <w:tc>
          <w:tcPr>
            <w:tcW w:type="dxa" w:w="18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Jurisd./tiers</w:t>
            </w:r>
          </w:p>
        </w:tc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Escritórios</w:t>
            </w:r>
          </w:p>
        </w:tc>
        <w:tc>
          <w:tcPr>
            <w:tcW w:type="dxa" w:w="17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Usuários/acessos</w:t>
            </w:r>
          </w:p>
        </w:tc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Auditoria</w:t>
            </w:r>
          </w:p>
        </w:tc>
        <w:tc>
          <w:tcPr>
            <w:tcW w:type="dxa" w:w="13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Configuração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Management Tax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Tax Reviewer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3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Security Admin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L/X</w:t>
            </w:r>
          </w:p>
        </w:tc>
        <w:tc>
          <w:tcPr>
            <w:tcW w:type="dxa" w:w="13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Auditor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L/X</w:t>
            </w:r>
          </w:p>
        </w:tc>
        <w:tc>
          <w:tcPr>
            <w:tcW w:type="dxa" w:w="13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Executive Reader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6.1 Políticas executáveis mínimas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400"/>
        <w:gridCol w:w="1200"/>
        <w:gridCol w:w="1900"/>
        <w:gridCol w:w="3460"/>
        <w:gridCol w:w="1400"/>
      </w:tblGrid>
      <w:tr>
        <w:trPr>
          <w:tblHeader/>
        </w:trPr>
        <w:tc>
          <w:tcPr>
            <w:tcW w:type="dxa" w:w="14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12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3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Condições cumulativas</w:t>
            </w:r>
          </w:p>
        </w:tc>
        <w:tc>
          <w:tcPr>
            <w:tcW w:type="dxa" w:w="14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Resposta de negação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Management Tax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read/write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Jurisdiction, TierVersion, Office, OfficeCoverage</w:t>
            </w:r>
          </w:p>
        </w:tc>
        <w:tc>
          <w:tcPr>
            <w:tcW w:type="dxa" w:w="3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membership ativo; mesmo tenant; jurisdição no escopo quando restrita; classe ≤ autorização</w:t>
            </w:r>
          </w:p>
        </w:tc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 para ação; 404 para ID fora do tenant</w:t>
            </w:r>
          </w:p>
        </w:tc>
      </w:tr>
      <w:tr>
        <w:trPr>
          <w:cantSplit/>
        </w:trPr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Management Tax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read</w:t>
            </w:r>
          </w:p>
        </w:tc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RoleAssignment</w:t>
            </w:r>
          </w:p>
        </w:tc>
        <w:tc>
          <w:tcPr>
            <w:tcW w:type="dxa" w:w="3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mesmo tenant; sem segredo técnico; finalidade administrativa</w:t>
            </w:r>
          </w:p>
        </w:tc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Tax Reviewer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read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Jurisdiction, Office</w:t>
            </w:r>
          </w:p>
        </w:tc>
        <w:tc>
          <w:tcPr>
            <w:tcW w:type="dxa" w:w="3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mesmo tenant; jurisdição atribuída; max_class ≥ classe; purpose REVIEW_TAX</w:t>
            </w:r>
          </w:p>
        </w:tc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404 para ID fora do escopo</w:t>
            </w:r>
          </w:p>
        </w:tc>
      </w:tr>
      <w:tr>
        <w:trPr>
          <w:cantSplit/>
        </w:trPr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Tax Reviewer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read</w:t>
            </w:r>
          </w:p>
        </w:tc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AuditEvent</w:t>
            </w:r>
          </w:p>
        </w:tc>
        <w:tc>
          <w:tcPr>
            <w:tcW w:type="dxa" w:w="3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eventos do próprio fluxo; sem before/after restrito</w:t>
            </w:r>
          </w:p>
        </w:tc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admin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Configuração técnica e identidade técnica</w:t>
            </w:r>
          </w:p>
        </w:tc>
        <w:tc>
          <w:tcPr>
            <w:tcW w:type="dxa" w:w="3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janela/justificativa; sem conteúdo fiscal; concessão privilegiada válida</w:t>
            </w:r>
          </w:p>
        </w:tc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 e alerta</w:t>
            </w:r>
          </w:p>
        </w:tc>
      </w:tr>
      <w:tr>
        <w:trPr>
          <w:cantSplit/>
        </w:trPr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Security Admin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read/export</w:t>
            </w:r>
          </w:p>
        </w:tc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AuditEvent e metadados</w:t>
            </w:r>
          </w:p>
        </w:tc>
        <w:tc>
          <w:tcPr>
            <w:tcW w:type="dxa" w:w="3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purpose SECURITY_INVESTIGATION; export aprovado; legal_privilege NONE por padrão</w:t>
            </w:r>
          </w:p>
        </w:tc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 e alerta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Auditor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read/export</w:t>
            </w:r>
          </w:p>
        </w:tc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Registros e AuditEvent</w:t>
            </w:r>
          </w:p>
        </w:tc>
        <w:tc>
          <w:tcPr>
            <w:tcW w:type="dxa" w:w="3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escopo e período aprovados; finalidade de auditoria; export marcado e temporário</w:t>
            </w:r>
          </w:p>
        </w:tc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Executive Reader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read</w:t>
            </w:r>
          </w:p>
        </w:tc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Visões consolidadas</w:t>
            </w:r>
          </w:p>
        </w:tc>
        <w:tc>
          <w:tcPr>
            <w:tcW w:type="dxa" w:w="3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mesmo tenant; purpose EXECUTIVE_REPORTING; classe diferente de RESTRITO; legal_privilege NONE</w:t>
            </w:r>
          </w:p>
        </w:tc>
        <w:tc>
          <w:tcPr>
            <w:tcW w:type="dxa" w:w="14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Sem identidade válida: 401. Recurso identificado por ID que pertença a outro tenant ou jurisdição invisível: 404. Identidade válida no escopo, mas sem permissão para a ação: 403. A OpenAPI deve aplicar essa regra uniformemente.</w:t>
      </w:r>
    </w:p>
    <w:p>
      <w:pPr>
        <w:pStyle w:val="Heading2"/>
      </w:pPr>
      <w:r>
        <w:t xml:space="preserve">6.2 Ciclo de concessão, revogação e revisão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800"/>
        <w:gridCol w:w="2300"/>
        <w:gridCol w:w="5260"/>
      </w:tblGrid>
      <w:tr>
        <w:trPr>
          <w:tblHeader/>
        </w:trPr>
        <w:tc>
          <w:tcPr>
            <w:tcW w:type="dxa" w:w="18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3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52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Regra executável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Solicitar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Management Tax ou gestor autorizado</w:t>
            </w:r>
          </w:p>
        </w:tc>
        <w:tc>
          <w:tcPr>
            <w:tcW w:type="dxa" w:w="5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Criar AccessRequest com tenant, papel, jurisdições, max_class, allowed_purposes, motivo e expiração; não cria acesso.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acesso de negócio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Owner Management Tax</w:t>
            </w:r>
          </w:p>
        </w:tc>
        <w:tc>
          <w:tcPr>
            <w:tcW w:type="dxa" w:w="52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Approver diferente do requester; confirma necessidade, jurisdição, classe e finalidade.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papel privilegiado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Security Admin + owner de negócio</w:t>
            </w:r>
          </w:p>
        </w:tc>
        <w:tc>
          <w:tcPr>
            <w:tcW w:type="dxa" w:w="5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Dupla aprovação obrigatória para Platform Admin, Security Admin, exportação ou classe RESTRITO.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Conceder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Serviço de identidade</w:t>
            </w:r>
          </w:p>
        </w:tc>
        <w:tc>
          <w:tcPr>
            <w:tcW w:type="dxa" w:w="52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AccessRequest APPROVED gera Membership/RoleAssignment; serviço não pode autoaprovar.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Revogar</w:t>
            </w:r>
          </w:p>
        </w:tc>
        <w:tc>
          <w:tcPr>
            <w:tcW w:type="dxa" w:w="2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Owner, Security Admin ou lifecycle do IdP</w:t>
            </w:r>
          </w:p>
        </w:tc>
        <w:tc>
          <w:tcPr>
            <w:tcW w:type="dxa" w:w="52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Revogação imediata, motivo, actor e AuditEvent; sessões e cache de autorização são invalidados.</w:t>
            </w:r>
          </w:p>
        </w:tc>
      </w:tr>
      <w:tr>
        <w:trPr>
          <w:cantSplit/>
        </w:trPr>
        <w:tc>
          <w:tcPr>
            <w:tcW w:type="dxa" w:w="1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Revisar</w:t>
            </w:r>
          </w:p>
        </w:tc>
        <w:tc>
          <w:tcPr>
            <w:tcW w:type="dxa" w:w="2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Owner + Segurança</w:t>
            </w:r>
          </w:p>
        </w:tc>
        <w:tc>
          <w:tcPr>
            <w:tcW w:type="dxa" w:w="52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Revisão trimestral e por mudança de função; acesso expirado ou sem owner é removido, nunca renovado silenciosamente.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autorização avalia role, membership, jurisdiction_id, max_class e purpose_code. A finalidade é escolhida em vocabulário fechado, deve estar em allowed_purposes do RoleAssignment e é registrada no AuditEvent; texto livre não concede finalidade.</w:t>
      </w:r>
    </w:p>
    <w:p>
      <w:pPr>
        <w:pStyle w:val="Heading2"/>
      </w:pPr>
      <w:r>
        <w:t xml:space="preserve">6.3 Regras transversais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Negação por padrão; nenhuma função implica acesso global por conveniência.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Platform Admin mantém infraestrutura, mas não recebe automaticamente conteúdo tributário.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Security Admin pode investigar eventos e metadados sem obter parecer privilegiado por padrão.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Auditor possui leitura controlada; exportação exige propósito, prazo, marca, autorização e evento de auditoria.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Atribuição privilegiada é temporária, justificada, revisada e incompatível com autoaprovação.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Acesso de escritório externo permanece fora do MVP 0 produtivo.</w:t>
      </w:r>
    </w:p>
    <w:p>
      <w:pPr>
        <w:pStyle w:val="Heading2"/>
      </w:pPr>
      <w:r>
        <w:t xml:space="preserve">6.4 Testes mínimos de autorização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3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30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Sem identidade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401 e nenhum dado</w:t>
            </w:r>
          </w:p>
        </w:tc>
        <w:tc>
          <w:tcPr>
            <w:tcW w:type="dxa" w:w="3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 de contrato e evento de negação</w:t>
            </w:r>
          </w:p>
        </w:tc>
      </w:tr>
      <w:tr>
        <w:trPr>
          <w:cantSplit/>
        </w:trPr>
        <w:tc>
          <w:tcPr>
            <w:tcW w:type="dxa" w:w="2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Identidade sem papel</w:t>
            </w:r>
          </w:p>
        </w:tc>
        <w:tc>
          <w:tcPr>
            <w:tcW w:type="dxa" w:w="3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403 e nenhum dado</w:t>
            </w:r>
          </w:p>
        </w:tc>
        <w:tc>
          <w:tcPr>
            <w:tcW w:type="dxa" w:w="3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 automatizado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 A tenta ler Tenant B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Nenhuma linha, inclusive por ID conhecido</w:t>
            </w:r>
          </w:p>
        </w:tc>
        <w:tc>
          <w:tcPr>
            <w:tcW w:type="dxa" w:w="3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 API + banco/RLS</w:t>
            </w:r>
          </w:p>
        </w:tc>
      </w:tr>
      <w:tr>
        <w:trPr>
          <w:cantSplit/>
        </w:trPr>
        <w:tc>
          <w:tcPr>
            <w:tcW w:type="dxa" w:w="2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Jurisdição fora do escopo consultada por ID</w:t>
            </w:r>
          </w:p>
        </w:tc>
        <w:tc>
          <w:tcPr>
            <w:tcW w:type="dxa" w:w="3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404 e nenhum dado</w:t>
            </w:r>
          </w:p>
        </w:tc>
        <w:tc>
          <w:tcPr>
            <w:tcW w:type="dxa" w:w="3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 de política e anti-enumeração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Platform Admin tenta conteúdo fiscal</w:t>
            </w:r>
          </w:p>
        </w:tc>
        <w:tc>
          <w:tcPr>
            <w:tcW w:type="dxa" w:w="3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Negado sem concessão separada</w:t>
            </w:r>
          </w:p>
        </w:tc>
        <w:tc>
          <w:tcPr>
            <w:tcW w:type="dxa" w:w="30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 de segregação</w:t>
            </w:r>
          </w:p>
        </w:tc>
      </w:tr>
      <w:tr>
        <w:trPr>
          <w:cantSplit/>
        </w:trPr>
        <w:tc>
          <w:tcPr>
            <w:tcW w:type="dxa" w:w="28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Exportação sem permissão</w:t>
            </w:r>
          </w:p>
        </w:tc>
        <w:tc>
          <w:tcPr>
            <w:tcW w:type="dxa" w:w="3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Negada e auditada</w:t>
            </w:r>
          </w:p>
        </w:tc>
        <w:tc>
          <w:tcPr>
            <w:tcW w:type="dxa" w:w="30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Teste funcional e AuditEvent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Threat model inicial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700"/>
        <w:gridCol w:w="2150"/>
        <w:gridCol w:w="3860"/>
        <w:gridCol w:w="1300"/>
        <w:gridCol w:w="1350"/>
      </w:tblGrid>
      <w:tr>
        <w:trPr>
          <w:tblHeader/>
        </w:trPr>
        <w:tc>
          <w:tcPr>
            <w:tcW w:type="dxa" w:w="7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Ameaça</w:t>
            </w:r>
          </w:p>
        </w:tc>
        <w:tc>
          <w:tcPr>
            <w:tcW w:type="dxa" w:w="38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Controle preventivo/detectivo</w:t>
            </w:r>
          </w:p>
        </w:tc>
        <w:tc>
          <w:tcPr>
            <w:tcW w:type="dxa" w:w="13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Residual</w:t>
            </w:r>
          </w:p>
        </w:tc>
        <w:tc>
          <w:tcPr>
            <w:tcW w:type="dxa" w:w="13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T-01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Acesso cruzado entre tenants</w:t>
            </w:r>
          </w:p>
        </w:tc>
        <w:tc>
          <w:tcPr>
            <w:tcW w:type="dxa" w:w="3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Contexto confiável; RLS forçada; chaves compostas; testes A/B; alerta de negação anormal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T-02</w:t>
            </w:r>
          </w:p>
        </w:tc>
        <w:tc>
          <w:tcPr>
            <w:tcW w:type="dxa" w:w="2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Escalada de privilégio</w:t>
            </w:r>
          </w:p>
        </w:tc>
        <w:tc>
          <w:tcPr>
            <w:tcW w:type="dxa" w:w="3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RBAC+ABAC; segregação; concessão temporária; revisão; trilha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</w:t>
            </w:r>
          </w:p>
        </w:tc>
        <w:tc>
          <w:tcPr>
            <w:tcW w:type="dxa" w:w="1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1–2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T-03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Adulteração da auditoria</w:t>
            </w:r>
          </w:p>
        </w:tc>
        <w:tc>
          <w:tcPr>
            <w:tcW w:type="dxa" w:w="3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Writer dedicado; MAC encadeado; chave externa; verificador; ancoragem externa em produção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T-04</w:t>
            </w:r>
          </w:p>
        </w:tc>
        <w:tc>
          <w:tcPr>
            <w:tcW w:type="dxa" w:w="2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Segredo em Git, imagem ou log</w:t>
            </w:r>
          </w:p>
        </w:tc>
        <w:tc>
          <w:tcPr>
            <w:tcW w:type="dxa" w:w="3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Cofre; scanners; rotação; redaction; imagem mínima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</w:t>
            </w:r>
          </w:p>
        </w:tc>
        <w:tc>
          <w:tcPr>
            <w:tcW w:type="dxa" w:w="1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T-05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Token roubado ou IdP comprometido</w:t>
            </w:r>
          </w:p>
        </w:tc>
        <w:tc>
          <w:tcPr>
            <w:tcW w:type="dxa" w:w="3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MFA; sessão curta; validação completa; revogação; detecção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Médio/alto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T-06</w:t>
            </w:r>
          </w:p>
        </w:tc>
        <w:tc>
          <w:tcPr>
            <w:tcW w:type="dxa" w:w="2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Exportação ou consulta em massa</w:t>
            </w:r>
          </w:p>
        </w:tc>
        <w:tc>
          <w:tcPr>
            <w:tcW w:type="dxa" w:w="3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Permissão específica; limites; marca; purpose binding; alertas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</w:t>
            </w:r>
          </w:p>
        </w:tc>
        <w:tc>
          <w:tcPr>
            <w:tcW w:type="dxa" w:w="1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T-07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Perda de privilege</w:t>
            </w:r>
          </w:p>
        </w:tc>
        <w:tc>
          <w:tcPr>
            <w:tcW w:type="dxa" w:w="3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Parecer integral fora; classificação; referência externa; aprovação jurídica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Alto até parecer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0/2</w:t>
            </w:r>
          </w:p>
        </w:tc>
      </w:tr>
      <w:tr>
        <w:trPr>
          <w:cantSplit/>
        </w:trPr>
        <w:tc>
          <w:tcPr>
            <w:tcW w:type="dxa" w:w="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T-08</w:t>
            </w:r>
          </w:p>
        </w:tc>
        <w:tc>
          <w:tcPr>
            <w:tcW w:type="dxa" w:w="2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Migração destrutiva</w:t>
            </w:r>
          </w:p>
        </w:tc>
        <w:tc>
          <w:tcPr>
            <w:tcW w:type="dxa" w:w="3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Prisma Migrate; PR; banco descartável; expand-contract; forward-fix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</w:t>
            </w:r>
          </w:p>
        </w:tc>
        <w:tc>
          <w:tcPr>
            <w:tcW w:type="dxa" w:w="1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T-09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Dependência comprometida</w:t>
            </w:r>
          </w:p>
        </w:tc>
        <w:tc>
          <w:tcPr>
            <w:tcW w:type="dxa" w:w="38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Lockfile; SCA; SBOM; assinatura/digest; atualização governada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Médio</w:t>
            </w:r>
          </w:p>
        </w:tc>
        <w:tc>
          <w:tcPr>
            <w:tcW w:type="dxa" w:w="1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3/7</w:t>
            </w:r>
          </w:p>
        </w:tc>
      </w:tr>
      <w:tr>
        <w:trPr>
          <w:cantSplit/>
        </w:trPr>
        <w:tc>
          <w:tcPr>
            <w:tcW w:type="dxa" w:w="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T-10</w:t>
            </w:r>
          </w:p>
        </w:tc>
        <w:tc>
          <w:tcPr>
            <w:tcW w:type="dxa" w:w="2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Uso de dado real em desenvolvimento</w:t>
            </w:r>
          </w:p>
        </w:tc>
        <w:tc>
          <w:tcPr>
            <w:tcW w:type="dxa" w:w="38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Fixtures sintéticas; bloqueio de pipeline; revisão de dataset; DLP quando disponível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Baixo/médio</w:t>
            </w:r>
          </w:p>
        </w:tc>
        <w:tc>
          <w:tcPr>
            <w:tcW w:type="dxa" w:w="1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</w:pPr>
      <w:r>
        <w:t xml:space="preserve">7.1 Casos de abuso prioritários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Usuário altera tenant_id ou jurisdiction_id na requisição para acessar objeto conhecido.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Administrador técnico consulta dados fiscais sem função de negócio.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Usuário autorizado exporta volume incompatível com sua finalidade.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Atacante reutiliza token expirado, de outro audience ou sessão revogada.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Desenvolvedor conecta Prisma Studio a banco não sintético.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Migração remove política RLS ou coluna de tenant sem detectar regressão.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Correção de evento apaga evidência em vez de produzir evento compensatório.</w:t>
      </w:r>
    </w:p>
    <w:p>
      <w:pPr>
        <w:pStyle w:val="ListParagraph"/>
        <w:numPr>
          <w:ilvl w:val="0"/>
          <w:numId w:val="4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Documento privilegiado é anexado a registro classificado incorretamente.</w:t>
      </w:r>
    </w:p>
    <w:p>
      <w:pPr>
        <w:pStyle w:val="Heading2"/>
      </w:pPr>
      <w:r>
        <w:t xml:space="preserve">7.2 Método, ownership e aceite residual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Severidade combina impacto e probabilidade em quatro níveis: Baixo, Médio, Alto e Crítico; o racional deve acompanhar cada mudança de nível.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Segurança mantém o registro e define prazo técnico; o owner de negócio responde pelo tratamento no domínio afetado.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Risco Alto ou Crítico não pode ser aceito apenas por Engenharia. Exige Segurança, owner de negócio e CFO; privilege exige também Jurídico.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Aceite residual possui justificativa, controles compensatórios, data de expiração e revisão no gate seguinte.</w:t>
      </w:r>
    </w:p>
    <w:p>
      <w:pPr>
        <w:pStyle w:val="Heading2"/>
      </w:pPr>
      <w:r>
        <w:t xml:space="preserve">7.3 Política executável de dados sintéticos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Fixtures ficam em diretório identificado, com manifest contendo owner, finalidade, gerador, data e declaração de não derivação de dado real.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Toda alteração de fixture exige revisão por segundo autor e teste automatizado de padrões de segredo, identificadores e PII.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 pipeline bloqueia arquivos fora do manifest, dumps, formatos não autorizados, chaves e padrões proibidos; falso positivo requer exceção registrada e temporária.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Valores canário e nomes obviamente fictícios permitem reconhecer a massa; cópia, anonimização ad hoc ou transformação de produção não são aceitas como dado sintético.</w:t>
      </w:r>
    </w:p>
    <w:p>
      <w:r>
        <w:br w:type="page"/>
      </w:r>
    </w:p>
    <w:p>
      <w:pPr>
        <w:pStyle w:val="Heading1"/>
      </w:pPr>
      <w:r>
        <w:t xml:space="preserve">8. RACI do Gate 0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R = executa; A = accountable/ratifica; C = consultado; I = informado; C* = concordância formal obrigatória; R* = responsável cuja concordância também é obrigatória.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200"/>
        <w:gridCol w:w="1050"/>
        <w:gridCol w:w="850"/>
        <w:gridCol w:w="1050"/>
        <w:gridCol w:w="1200"/>
        <w:gridCol w:w="1200"/>
        <w:gridCol w:w="1810"/>
      </w:tblGrid>
      <w:tr>
        <w:trPr>
          <w:tblHeader/>
        </w:trPr>
        <w:tc>
          <w:tcPr>
            <w:tcW w:type="dxa" w:w="22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Atividade</w:t>
            </w:r>
          </w:p>
        </w:tc>
        <w:tc>
          <w:tcPr>
            <w:tcW w:type="dxa" w:w="10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Mgmt Tax</w:t>
            </w:r>
          </w:p>
        </w:tc>
        <w:tc>
          <w:tcPr>
            <w:tcW w:type="dxa" w:w="8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CFO</w:t>
            </w:r>
          </w:p>
        </w:tc>
        <w:tc>
          <w:tcPr>
            <w:tcW w:type="dxa" w:w="10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Jurídico</w:t>
            </w:r>
          </w:p>
        </w:tc>
        <w:tc>
          <w:tcPr>
            <w:tcW w:type="dxa" w:w="12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Segurança</w:t>
            </w:r>
          </w:p>
        </w:tc>
        <w:tc>
          <w:tcPr>
            <w:tcW w:type="dxa" w:w="12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TI/Eng.</w:t>
            </w:r>
          </w:p>
        </w:tc>
        <w:tc>
          <w:tcPr>
            <w:tcW w:type="dxa" w:w="181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Auditoria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Modelo de produto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</w:t>
            </w:r>
          </w:p>
        </w:tc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8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Lista de jurisdições e tiers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</w:t>
            </w:r>
          </w:p>
        </w:tc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8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Materialidade e apetite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8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Classificação e privilege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A/R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8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Identidade e MFA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</w:t>
            </w:r>
          </w:p>
        </w:tc>
        <w:tc>
          <w:tcPr>
            <w:tcW w:type="dxa" w:w="18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Autorização e RLS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</w:t>
            </w:r>
          </w:p>
        </w:tc>
        <w:tc>
          <w:tcPr>
            <w:tcW w:type="dxa" w:w="18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Auditoria e evidências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</w:t>
            </w:r>
          </w:p>
        </w:tc>
        <w:tc>
          <w:tcPr>
            <w:tcW w:type="dxa" w:w="18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Hospedagem e cofre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</w:t>
            </w:r>
          </w:p>
        </w:tc>
        <w:tc>
          <w:tcPr>
            <w:tcW w:type="dxa" w:w="18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RPO/RTO e retenção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</w:t>
            </w:r>
          </w:p>
        </w:tc>
        <w:tc>
          <w:tcPr>
            <w:tcW w:type="dxa" w:w="18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Aceite do Gate 0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R*</w:t>
            </w:r>
          </w:p>
        </w:tc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</w:t>
            </w:r>
          </w:p>
        </w:tc>
        <w:tc>
          <w:tcPr>
            <w:tcW w:type="dxa" w:w="1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C*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C*</w:t>
            </w:r>
          </w:p>
        </w:tc>
        <w:tc>
          <w:tcPr>
            <w:tcW w:type="dxa" w:w="12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C*</w:t>
            </w:r>
          </w:p>
        </w:tc>
        <w:tc>
          <w:tcPr>
            <w:tcW w:type="dxa" w:w="18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C*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Para o aceite do Gate 0, CFO é o ratificador final (A), mas só pode ratificar após concordâncias formais e registradas de Management Tax, Jurídico, Segurança, TI/Plataforma e Auditoria. A concordância da Auditoria sobre o desenho de evidências é condição bloqueadora de eficácia e deve constar no registro de aprovação.</w:t>
      </w:r>
    </w:p>
    <w:p>
      <w:pPr>
        <w:pStyle w:val="Heading2"/>
      </w:pPr>
      <w:r>
        <w:t xml:space="preserve">8.1 Segregações mínimas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Quem solicita acesso não aprova a própria concessão privilegiada.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Quem desenvolve não aprova sozinho o release nem a migração produtiva.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Quem administra infraestrutura não recebe acesso automático ao conteúdo de negócio.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Quem publica regra tributária não pode alterar silenciosamente sua evidência histórica.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Quem investiga incidente preserva evidência e registra toda ação excepcional.</w:t>
      </w:r>
    </w:p>
    <w:p>
      <w:r>
        <w:br w:type="page"/>
      </w:r>
    </w:p>
    <w:p>
      <w:pPr>
        <w:pStyle w:val="Heading1"/>
      </w:pPr>
      <w:r>
        <w:t xml:space="preserve">9. Recuperação, retenção e descarte</w:t>
      </w:r>
    </w:p>
    <w:tbl>
      <w:tblPr>
        <w:tblW w:type="dxa" w:w="9360"/>
        <w:tblBorders>
          <w:top w:val="single" w:color="FFF4CC" w:sz="2"/>
          <w:left w:val="single" w:color="9A6700" w:sz="16"/>
          <w:bottom w:val="single" w:color="FFF4CC" w:sz="2"/>
          <w:right w:val="single" w:color="FFF4C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C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color w:val="9A6700"/>
                <w:sz w:val="20"/>
                <w:szCs w:val="20"/>
              </w:rPr>
              <w:t xml:space="preserve">PROPOSTA PROVISÓRIA </w:t>
            </w: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Os valores abaixo servem apenas para desenvolvimento sintético e planejamento. Parâmetros produtivos dependem de CFO, Jurídico, Segurança e Operações.</w:t>
            </w:r>
          </w:p>
        </w:tc>
      </w:tr>
    </w:tbl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/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2150"/>
        <w:gridCol w:w="1500"/>
        <w:gridCol w:w="1500"/>
        <w:gridCol w:w="2510"/>
        <w:gridCol w:w="1700"/>
      </w:tblGrid>
      <w:tr>
        <w:trPr>
          <w:tblHeader/>
        </w:trPr>
        <w:tc>
          <w:tcPr>
            <w:tcW w:type="dxa" w:w="21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Classe/ambiente</w:t>
            </w:r>
          </w:p>
        </w:tc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RPO proposto</w:t>
            </w:r>
          </w:p>
        </w:tc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RTO proposto</w:t>
            </w:r>
          </w:p>
        </w:tc>
        <w:tc>
          <w:tcPr>
            <w:tcW w:type="dxa" w:w="251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Retenção</w:t>
            </w:r>
          </w:p>
        </w:tc>
        <w:tc>
          <w:tcPr>
            <w:tcW w:type="dxa" w:w="17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Desenvolvimento sintético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24 horas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1 dia útil</w:t>
            </w:r>
          </w:p>
        </w:tc>
        <w:tc>
          <w:tcPr>
            <w:tcW w:type="dxa" w:w="25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30–90 dias; recriável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Pode avançar</w:t>
            </w:r>
          </w:p>
        </w:tc>
      </w:tr>
      <w:tr>
        <w:trPr>
          <w:cantSplit/>
        </w:trPr>
        <w:tc>
          <w:tcPr>
            <w:tcW w:type="dxa" w:w="2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Código e migrações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Por commit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4 horas</w:t>
            </w:r>
          </w:p>
        </w:tc>
        <w:tc>
          <w:tcPr>
            <w:tcW w:type="dxa" w:w="25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Histórico do repositório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Pode avançar</w:t>
            </w:r>
          </w:p>
        </w:tc>
      </w:tr>
      <w:tr>
        <w:trPr>
          <w:cantSplit/>
        </w:trP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Auditoria de teste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24 horas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1 dia útil</w:t>
            </w:r>
          </w:p>
        </w:tc>
        <w:tc>
          <w:tcPr>
            <w:tcW w:type="dxa" w:w="25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90 dias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Pode avançar</w:t>
            </w:r>
          </w:p>
        </w:tc>
      </w:tr>
      <w:tr>
        <w:trPr>
          <w:cantSplit/>
        </w:trPr>
        <w:tc>
          <w:tcPr>
            <w:tcW w:type="dxa" w:w="2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Produção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 definir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 definir</w:t>
            </w:r>
          </w:p>
        </w:tc>
        <w:tc>
          <w:tcPr>
            <w:tcW w:type="dxa" w:w="25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Por classe/jurisdição/legal hold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Bloqueado</w:t>
            </w:r>
          </w:p>
        </w:tc>
      </w:tr>
      <w:tr>
        <w:trPr>
          <w:cantSplit/>
        </w:trP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Parecer privilegiado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Fora do MVP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Não aplicável</w:t>
            </w:r>
          </w:p>
        </w:tc>
        <w:tc>
          <w:tcPr>
            <w:tcW w:type="dxa" w:w="25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Definida pelo Jurídico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Bloqueado</w:t>
            </w:r>
          </w:p>
        </w:tc>
      </w:tr>
    </w:tbl>
    <w:p>
      <w:pPr>
        <w:pStyle w:val="Heading2"/>
      </w:pPr>
      <w:r>
        <w:t xml:space="preserve">9.1 Regras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Retenção é definida por classe e jurisdição; prazo global não pode reduzir obrigação mais restritiva.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Legal hold suspende descarte sem alterar a evidência de que o prazo normal expirou.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Backups obedecem à mesma classificação dos dados de origem e não podem abastecer desenvolvimento.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Descarte deve ser verificável, auditado e propagado para réplicas, exports e mídias conforme capacidade técnica.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Teste de restauração deve validar schema, RLS, auditoria, chaves, regras e consistência funcional.</w:t>
      </w:r>
    </w:p>
    <w:p>
      <w:r>
        <w:br w:type="page"/>
      </w:r>
    </w:p>
    <w:p>
      <w:pPr>
        <w:pStyle w:val="Heading1"/>
      </w:pPr>
      <w:r>
        <w:t xml:space="preserve">10. Evidências e critérios de saída</w:t>
      </w:r>
    </w:p>
    <w:p>
      <w:pPr>
        <w:pStyle w:val="Heading2"/>
      </w:pPr>
      <w:r>
        <w:t xml:space="preserve">10.1 Matriz de rastreabilidade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Fontes: EC-0.1 = Especificação Consolidada v0.1; SG-0.1 = Especificação de Segurança, Governança e Auditabilidade v0.1, ambas de 14/08/2026.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3000"/>
        <w:gridCol w:w="1500"/>
        <w:gridCol w:w="3360"/>
        <w:gridCol w:w="1500"/>
      </w:tblGrid>
      <w:tr>
        <w:trPr>
          <w:tblHeader/>
        </w:trPr>
        <w:tc>
          <w:tcPr>
            <w:tcW w:type="dxa" w:w="30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Fonte/requisito</w:t>
            </w:r>
          </w:p>
        </w:tc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33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Evidência</w:t>
            </w:r>
          </w:p>
        </w:tc>
        <w:tc>
          <w:tcPr>
            <w:tcW w:type="dxa" w:w="15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EC-0.1 §12–13 — modelo interno e fundação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ADR-001</w:t>
            </w:r>
          </w:p>
        </w:tc>
        <w:tc>
          <w:tcPr>
            <w:tcW w:type="dxa" w:w="33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G0-E01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SG-0.1 §4 e SEC-IAM-001/002 — identidade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ADR-002</w:t>
            </w:r>
          </w:p>
        </w:tc>
        <w:tc>
          <w:tcPr>
            <w:tcW w:type="dxa" w:w="33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G0-E06 + ciclo 6.2 + testes 6.4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SG-0.1 §5 e SEC-DAT-001 — tenant/RLS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ADR-003</w:t>
            </w:r>
          </w:p>
        </w:tc>
        <w:tc>
          <w:tcPr>
            <w:tcW w:type="dxa" w:w="33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Contrato 5.2/5.3 + testes A/B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SG-0.1 §6 e SEC-AUD-001/002 — auditoria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ADR-004</w:t>
            </w:r>
          </w:p>
        </w:tc>
        <w:tc>
          <w:tcPr>
            <w:tcW w:type="dxa" w:w="33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Contrato 5.4 + verificação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SG-0.1 §7–8 e SEC-PLT-002 — plataforma/segredos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ADR-005</w:t>
            </w:r>
          </w:p>
        </w:tc>
        <w:tc>
          <w:tcPr>
            <w:tcW w:type="dxa" w:w="33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G0-E07 + pipeline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EC-0.1 §10 e SG-0.1 §3 — classificação/privilege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ADR-006</w:t>
            </w:r>
          </w:p>
        </w:tc>
        <w:tc>
          <w:tcPr>
            <w:tcW w:type="dxa" w:w="33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Taxonomia 2.4/2.5 + G0-E05</w:t>
            </w:r>
          </w:p>
        </w:tc>
        <w:tc>
          <w:tcPr>
            <w:tcW w:type="dxa" w:w="15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0/2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SG-0.1 §13 e D-002 — recuperação/retenção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 futuro de produção</w:t>
            </w:r>
          </w:p>
        </w:tc>
        <w:tc>
          <w:tcPr>
            <w:tcW w:type="dxa" w:w="33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G0-E08</w:t>
            </w:r>
          </w:p>
        </w:tc>
        <w:tc>
          <w:tcPr>
            <w:tcW w:type="dxa" w:w="15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0/5</w:t>
            </w:r>
          </w:p>
        </w:tc>
      </w:tr>
    </w:tbl>
    <w:p>
      <w:pPr>
        <w:pStyle w:val="Heading2"/>
      </w:pPr>
      <w:r>
        <w:t xml:space="preserve">10.2 Quadro de evidências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100"/>
        <w:gridCol w:w="2050"/>
        <w:gridCol w:w="3300"/>
        <w:gridCol w:w="1600"/>
        <w:gridCol w:w="1310"/>
      </w:tblGrid>
      <w:tr>
        <w:trPr>
          <w:tblHeader/>
        </w:trPr>
        <w:tc>
          <w:tcPr>
            <w:tcW w:type="dxa" w:w="11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Evidência</w:t>
            </w:r>
          </w:p>
        </w:tc>
        <w:tc>
          <w:tcPr>
            <w:tcW w:type="dxa" w:w="33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  <w:tc>
          <w:tcPr>
            <w:tcW w:type="dxa" w:w="16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31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Modelo de produto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ADR-001 ratificado pelo Sponsor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CFO/Mgmt Tax</w:t>
            </w:r>
          </w:p>
        </w:tc>
        <w:tc>
          <w:tcPr>
            <w:tcW w:type="dxa" w:w="13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Pendente assinatura</w:t>
            </w:r>
          </w:p>
        </w:tc>
      </w:tr>
      <w:tr>
        <w:trPr>
          <w:cantSplit/>
        </w:trPr>
        <w:tc>
          <w:tcPr>
            <w:tcW w:type="dxa" w:w="1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G0-E02</w:t>
            </w:r>
          </w:p>
        </w:tc>
        <w:tc>
          <w:tcPr>
            <w:tcW w:type="dxa" w:w="2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Arquitetura de referência</w:t>
            </w:r>
          </w:p>
        </w:tc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Camadas, fronteiras e fluxos revisados</w:t>
            </w:r>
          </w:p>
        </w:tc>
        <w:tc>
          <w:tcPr>
            <w:tcW w:type="dxa" w:w="16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Eng./Segurança</w:t>
            </w:r>
          </w:p>
        </w:tc>
        <w:tc>
          <w:tcPr>
            <w:tcW w:type="dxa" w:w="13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Proposta pronta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G0-E03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Threat model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Ameaças, controles, residual e gates revisados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3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Proposta pronta</w:t>
            </w:r>
          </w:p>
        </w:tc>
      </w:tr>
      <w:tr>
        <w:trPr>
          <w:cantSplit/>
        </w:trPr>
        <w:tc>
          <w:tcPr>
            <w:tcW w:type="dxa" w:w="1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G0-E04</w:t>
            </w:r>
          </w:p>
        </w:tc>
        <w:tc>
          <w:tcPr>
            <w:tcW w:type="dxa" w:w="2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RACI</w:t>
            </w:r>
          </w:p>
        </w:tc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Owners e segregações aceitos</w:t>
            </w:r>
          </w:p>
        </w:tc>
        <w:tc>
          <w:tcPr>
            <w:tcW w:type="dxa" w:w="16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</w:t>
            </w:r>
          </w:p>
        </w:tc>
        <w:tc>
          <w:tcPr>
            <w:tcW w:type="dxa" w:w="13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Proposta pronta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Classificação/privilege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Classes e regra de parecer aprovadas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Jurídico</w:t>
            </w:r>
          </w:p>
        </w:tc>
        <w:tc>
          <w:tcPr>
            <w:tcW w:type="dxa" w:w="13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1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G0-E06</w:t>
            </w:r>
          </w:p>
        </w:tc>
        <w:tc>
          <w:tcPr>
            <w:tcW w:type="dxa" w:w="2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IdP, protocolo, claims, lifecycle e MFA definidos</w:t>
            </w:r>
          </w:p>
        </w:tc>
        <w:tc>
          <w:tcPr>
            <w:tcW w:type="dxa" w:w="16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TI/Segurança</w:t>
            </w:r>
          </w:p>
        </w:tc>
        <w:tc>
          <w:tcPr>
            <w:tcW w:type="dxa" w:w="13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Hospedagem/cofre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Região, serviço, chaves, custo e owners definidos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TI/Segurança</w:t>
            </w:r>
          </w:p>
        </w:tc>
        <w:tc>
          <w:tcPr>
            <w:tcW w:type="dxa" w:w="13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1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G0-E08</w:t>
            </w:r>
          </w:p>
        </w:tc>
        <w:tc>
          <w:tcPr>
            <w:tcW w:type="dxa" w:w="20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RPO/RTO/retenção</w:t>
            </w:r>
          </w:p>
        </w:tc>
        <w:tc>
          <w:tcPr>
            <w:tcW w:type="dxa" w:w="3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Valores produtivos aprovados por classe</w:t>
            </w:r>
          </w:p>
        </w:tc>
        <w:tc>
          <w:tcPr>
            <w:tcW w:type="dxa" w:w="16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CFO/Jurídico/Ops</w:t>
            </w:r>
          </w:p>
        </w:tc>
        <w:tc>
          <w:tcPr>
            <w:tcW w:type="dxa" w:w="13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G0-E09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Política de dados sintéticos</w:t>
            </w:r>
          </w:p>
        </w:tc>
        <w:tc>
          <w:tcPr>
            <w:tcW w:type="dxa" w:w="3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Fixtures e bloqueios documentados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Produto/Segurança</w:t>
            </w:r>
          </w:p>
        </w:tc>
        <w:tc>
          <w:tcPr>
            <w:tcW w:type="dxa" w:w="13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Proposta pronta</w:t>
            </w:r>
          </w:p>
        </w:tc>
      </w:tr>
    </w:tbl>
    <w:p>
      <w:pPr>
        <w:pStyle w:val="Heading2"/>
      </w:pPr>
      <w:r>
        <w:t xml:space="preserve">10.3 Definition of Ready para o MVP 0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ADRs versionados e sem conflito com as especificações anteriores.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Histórias possuem critérios de autorização positiva e negativa.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Modelo lógico identifica tenant, classificação, owner e histórico.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Contratos de AuditEvent e erros estão definidos na OpenAPI.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Massa sintética identificável e sem derivação de dado real.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Ambiente local reproduzível e sem credencial produtiva.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Pendências produtivas permanecem bloqueadas por configuração e pipeline, não apenas por instrução textual.</w:t>
      </w:r>
    </w:p>
    <w:p>
      <w:r>
        <w:br w:type="page"/>
      </w:r>
    </w:p>
    <w:p>
      <w:pPr>
        <w:pStyle w:val="Heading1"/>
      </w:pPr>
      <w:r>
        <w:t xml:space="preserve">11. Decisões abertas e bloqueios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850"/>
        <w:gridCol w:w="3150"/>
        <w:gridCol w:w="2100"/>
        <w:gridCol w:w="1700"/>
        <w:gridCol w:w="1560"/>
      </w:tblGrid>
      <w:tr>
        <w:trPr>
          <w:tblHeader/>
        </w:trPr>
        <w:tc>
          <w:tcPr>
            <w:tcW w:type="dxa" w:w="8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1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Decisão necessária</w:t>
            </w:r>
          </w:p>
        </w:tc>
        <w:tc>
          <w:tcPr>
            <w:tcW w:type="dxa" w:w="21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17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15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Efeito se pendente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D-01</w:t>
            </w:r>
          </w:p>
        </w:tc>
        <w:tc>
          <w:tcPr>
            <w:tcW w:type="dxa" w:w="3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Lista real de jurisdições com operação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CFO/Operações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do cadastro real</w:t>
            </w:r>
          </w:p>
        </w:tc>
        <w:tc>
          <w:tcPr>
            <w:tcW w:type="dxa" w:w="1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Usar somente fixtures</w:t>
            </w:r>
          </w:p>
        </w:tc>
      </w:tr>
      <w:tr>
        <w:trPr>
          <w:cantSplit/>
        </w:trPr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D-02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Materialidade numérica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CFO/Board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de gates de negócio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Sem automação de alçada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D-03</w:t>
            </w:r>
          </w:p>
        </w:tc>
        <w:tc>
          <w:tcPr>
            <w:tcW w:type="dxa" w:w="3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Apetite de risco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CFO/Board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de exceções</w:t>
            </w:r>
          </w:p>
        </w:tc>
        <w:tc>
          <w:tcPr>
            <w:tcW w:type="dxa" w:w="1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Negação conservadora</w:t>
            </w:r>
          </w:p>
        </w:tc>
      </w:tr>
      <w:tr>
        <w:trPr>
          <w:cantSplit/>
        </w:trPr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D-04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Classes autorizadas em IA/terceiros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Jurídico/Segurança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do módulo de conhecimento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Integração bloqueada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D-05</w:t>
            </w:r>
          </w:p>
        </w:tc>
        <w:tc>
          <w:tcPr>
            <w:tcW w:type="dxa" w:w="3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Destino de parecer privilegiado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Jurídico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de anexos/referências reais</w:t>
            </w:r>
          </w:p>
        </w:tc>
        <w:tc>
          <w:tcPr>
            <w:tcW w:type="dxa" w:w="1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Parecer fora do sistema</w:t>
            </w:r>
          </w:p>
        </w:tc>
      </w:tr>
      <w:tr>
        <w:trPr>
          <w:cantSplit/>
        </w:trPr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D-06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Sistemas fonte e contratos de integração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TI/Controladoria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de integração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Mocks/adaptadores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D-07</w:t>
            </w:r>
          </w:p>
        </w:tc>
        <w:tc>
          <w:tcPr>
            <w:tcW w:type="dxa" w:w="3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RPO, RTO, retenção e regiões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CFO/Jurídico/Segurança/Ops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de produção</w:t>
            </w:r>
          </w:p>
        </w:tc>
        <w:tc>
          <w:tcPr>
            <w:tcW w:type="dxa" w:w="1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Produção bloqueada</w:t>
            </w:r>
          </w:p>
        </w:tc>
      </w:tr>
      <w:tr>
        <w:trPr>
          <w:cantSplit/>
        </w:trPr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D-08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Owner de cada dado e indicador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Management Tax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de carga real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Sem carga real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D-09</w:t>
            </w:r>
          </w:p>
        </w:tc>
        <w:tc>
          <w:tcPr>
            <w:tcW w:type="dxa" w:w="3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Primeiro scorecard não punitivo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do MVP 2</w:t>
            </w:r>
          </w:p>
        </w:tc>
        <w:tc>
          <w:tcPr>
            <w:tcW w:type="dxa" w:w="1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Scorecard não publicado</w:t>
            </w:r>
          </w:p>
        </w:tc>
      </w:tr>
      <w:tr>
        <w:trPr>
          <w:cantSplit/>
        </w:trPr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D-10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Ratificar ferramenta interna corporativa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CFO/Sponsor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de iniciar o MVP 0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Pacote não efetivo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D-11</w:t>
            </w:r>
          </w:p>
        </w:tc>
        <w:tc>
          <w:tcPr>
            <w:tcW w:type="dxa" w:w="31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IdP, claims, grupos e lifecycle</w:t>
            </w:r>
          </w:p>
        </w:tc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TI/Segurança</w:t>
            </w:r>
          </w:p>
        </w:tc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do Gate 1</w:t>
            </w:r>
          </w:p>
        </w:tc>
        <w:tc>
          <w:tcPr>
            <w:tcW w:type="dxa" w:w="15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Emissor sintético local</w:t>
            </w:r>
          </w:p>
        </w:tc>
      </w:tr>
      <w:tr>
        <w:trPr>
          <w:cantSplit/>
        </w:trPr>
        <w:tc>
          <w:tcPr>
            <w:tcW w:type="dxa" w:w="8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D-12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Hospedagem, região e cofre</w:t>
            </w:r>
          </w:p>
        </w:tc>
        <w:tc>
          <w:tcPr>
            <w:tcW w:type="dxa" w:w="21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TI/Segurança</w:t>
            </w:r>
          </w:p>
        </w:tc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Antes do Gate 3</w:t>
            </w:r>
          </w:p>
        </w:tc>
        <w:tc>
          <w:tcPr>
            <w:tcW w:type="dxa" w:w="15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Somente local</w:t>
            </w:r>
          </w:p>
        </w:tc>
      </w:tr>
    </w:tbl>
    <w:tbl>
      <w:tblPr>
        <w:tblW w:type="dxa" w:w="9360"/>
        <w:tblBorders>
          <w:top w:val="single" w:color="EAF2F8" w:sz="2"/>
          <w:left w:val="single" w:color="2F75B5" w:sz="16"/>
          <w:bottom w:val="single" w:color="EAF2F8" w:sz="2"/>
          <w:right w:val="single" w:color="EAF2F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color w:val="2F75B5"/>
                <w:sz w:val="20"/>
                <w:szCs w:val="20"/>
              </w:rPr>
              <w:t xml:space="preserve">APÓS A RATIFICAÇÃO DO GATE 0 </w:t>
            </w: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As pendências produtivas acima não impedem a criação da OpenAPI, do modelo Prisma inicial, de testes com tenants fictícios e do ambiente Docker local. Antes da ratificação, porém, este pacote não autoriza iniciar o scaffold.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Plano de execução após aprovação</w:t>
      </w:r>
    </w:p>
    <w:p>
      <w:pPr>
        <w:pStyle w:val="Heading2"/>
      </w:pPr>
      <w:r>
        <w:t xml:space="preserve">12.1 Primeiros 10 dias úteis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Registrar este pacote e seus ADRs no repositório privado.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Criar OpenAPI 0.1 com health, identity context, jurisdictions, offices e audit-events.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Definir schema Prisma do MVP 0 e migração inicial sem dados reais.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Implementar contexto de tenant, autorização central e política RLS mínima.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Criar fixtures para Tenant A e Tenant B e testes adversariais de isolamento.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Definir schema mínimo de AuditEvent e eventos de autenticação, negação e alteração.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Configurar Docker local não root, healthcheck e PostgreSQL restrito a localhost.</w:t>
      </w:r>
    </w:p>
    <w:p>
      <w:pPr>
        <w:pStyle w:val="ListParagraph"/>
        <w:numPr>
          <w:ilvl w:val="0"/>
          <w:numId w:val="5"/>
        </w:numPr>
        <w:spacing w:after="9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Adicionar lint, testes, scan de segredo e verificação de migração ao pipeline local/CI.</w:t>
      </w:r>
    </w:p>
    <w:p>
      <w:pPr>
        <w:pStyle w:val="Heading2"/>
      </w:pPr>
      <w:r>
        <w:t xml:space="preserve">12.2 Critérios para avançar ao Gate 1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Contrato do IdP e claims aprovado, ainda que testado inicialmente por emissor sintético.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Matriz de acesso transformada em políticas executáveis e casos de teste.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Nenhuma rota de negócio funciona sem identidade e contexto válido.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Atribuições privilegiadas possuem validade, motivo, aprovador e evento de auditoria.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Documentação de setup não requer segredo produtivo nem dado real.</w:t>
      </w:r>
    </w:p>
    <w:p>
      <w:pPr>
        <w:pStyle w:val="Heading2"/>
      </w:pPr>
      <w:r>
        <w:t xml:space="preserve">12.3 Próximo artefato</w:t>
      </w:r>
    </w:p>
    <w:tbl>
      <w:tblPr>
        <w:tblW w:type="dxa" w:w="9360"/>
        <w:tblBorders>
          <w:top w:val="single" w:color="EAF2F8" w:sz="2"/>
          <w:left w:val="single" w:color="2F75B5" w:sz="16"/>
          <w:bottom w:val="single" w:color="EAF2F8" w:sz="2"/>
          <w:right w:val="single" w:color="EAF2F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2F8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ptos" w:cs="Aptos" w:eastAsia="Aptos" w:hAnsi="Aptos"/>
                <w:b/>
                <w:bCs/>
                <w:color w:val="2F75B5"/>
                <w:sz w:val="20"/>
                <w:szCs w:val="20"/>
              </w:rPr>
              <w:t xml:space="preserve">OPENAPI 0.1 </w:t>
            </w: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O próximo artefato técnico deve transformar este pacote em contratos verificáveis, incluindo autenticação, autorização, paginação, idempotência, erros, correlation_id e schemas do MVP 0.</w:t>
            </w:r>
          </w:p>
        </w:tc>
      </w:tr>
    </w:tbl>
    <w:p>
      <w:pPr>
        <w:pStyle w:val="Heading1"/>
      </w:pPr>
      <w:r>
        <w:t xml:space="preserve">13. Registro de aprovação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A assinatura abaixo confirma apenas o alcance indicado. Alterações de escopo, dados ou ambiente exigem nova avaliação.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700"/>
        <w:gridCol w:w="1600"/>
        <w:gridCol w:w="2350"/>
        <w:gridCol w:w="1300"/>
        <w:gridCol w:w="2410"/>
      </w:tblGrid>
      <w:tr>
        <w:trPr>
          <w:tblHeader/>
        </w:trPr>
        <w:tc>
          <w:tcPr>
            <w:tcW w:type="dxa" w:w="17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16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35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  <w:tc>
          <w:tcPr>
            <w:tcW w:type="dxa" w:w="13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41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Condições/observações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CFO / Sponsor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/ rejeitar / alterar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Management Tax</w:t>
            </w:r>
          </w:p>
        </w:tc>
        <w:tc>
          <w:tcPr>
            <w:tcW w:type="dxa" w:w="16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/ rejeitar / alterar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Jurídico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/ rejeitar / alterar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6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/ rejeitar / alterar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TI / Plataforma</w:t>
            </w:r>
          </w:p>
        </w:tc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/ rejeitar / alterar</w:t>
            </w:r>
          </w:p>
        </w:tc>
        <w:tc>
          <w:tcPr>
            <w:tcW w:type="dxa" w:w="1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Auditoria</w:t>
            </w:r>
          </w:p>
        </w:tc>
        <w:tc>
          <w:tcPr>
            <w:tcW w:type="dxa" w:w="16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Aprovar evidências / alterar</w:t>
            </w:r>
          </w:p>
        </w:tc>
        <w:tc>
          <w:tcPr>
            <w:tcW w:type="dxa" w:w="13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13.1 Declaração de aceite proposta</w:t>
      </w:r>
    </w:p>
    <w:p>
      <w:pPr>
        <w:spacing w:after="120" w:line="276"/>
      </w:pPr>
      <w:r>
        <w:rPr>
          <w:rFonts w:ascii="Aptos" w:cs="Aptos" w:eastAsia="Aptos" w:hAnsi="Aptos"/>
          <w:color w:val="1F2D3D"/>
          <w:sz w:val="20"/>
          <w:szCs w:val="20"/>
        </w:rPr>
        <w:t xml:space="preserve">Os signatários autorizam a preparação do MVP 0 em ambiente local ou de desenvolvimento isolado, utilizando exclusivamente dados sintéticos, observadas as decisões, restrições e evidências deste pacote. Nenhum signatário autoriza, por este ato, dados reais, parecer privilegiado, integração produtiva, acesso externo ou operação em produção.</w:t>
      </w:r>
    </w:p>
    <w:p>
      <w:pPr>
        <w:pStyle w:val="Heading2"/>
      </w:pPr>
      <w:r>
        <w:t xml:space="preserve">Apêndice A — Glossário</w:t>
      </w:r>
    </w:p>
    <w:tbl>
      <w:tblPr>
        <w:tblW w:type="dxa" w:w="9360"/>
        <w:tblBorders>
          <w:top w:val="single" w:color="7F8C8D" w:sz="4"/>
          <w:left w:val="single" w:color="7F8C8D" w:sz="4"/>
          <w:bottom w:val="single" w:color="7F8C8D" w:sz="4"/>
          <w:right w:val="single" w:color="7F8C8D" w:sz="4"/>
          <w:insideH w:val="single" w:color="7F8C8D" w:sz="4"/>
          <w:insideV w:val="single" w:color="7F8C8D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Termo</w:t>
            </w:r>
          </w:p>
        </w:tc>
        <w:tc>
          <w:tcPr>
            <w:tcW w:type="dxa" w:w="7460"/>
            <w:shd w:fill="2F75B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ABAC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Autorização baseada em atributos de identidade, dado e contexto.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ADR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Registro versionado de decisão arquitetural e suas consequências.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Gate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Portão formal com saída, evidência e aprovadores definidos.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IdP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Provedor corporativo de identidade.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MVP 0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Fundação: identidade, perfis, classificação, auditoria, jurisdições, tiers e escritórios.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RLS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Row-Level Security do PostgreSQL para restringir linhas pelo contexto confiável.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RPO/RTO</w:t>
            </w:r>
          </w:p>
        </w:tc>
        <w:tc>
          <w:tcPr>
            <w:tcW w:type="dxa" w:w="746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Perda de dados tolerada e tempo-alvo de recuperação.</w:t>
            </w:r>
          </w:p>
        </w:tc>
      </w:tr>
      <w:tr>
        <w:trPr>
          <w:cantSplit/>
        </w:trPr>
        <w:tc>
          <w:tcPr>
            <w:tcW w:type="dxa" w:w="190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Tenant</w:t>
            </w:r>
          </w:p>
        </w:tc>
        <w:tc>
          <w:tcPr>
            <w:tcW w:type="dxa" w:w="7460"/>
            <w:shd w:fill="F8FAFC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ptos" w:cs="Aptos" w:eastAsia="Aptos" w:hAnsi="Aptos"/>
                <w:color w:val="1F2D3D"/>
                <w:sz w:val="20"/>
                <w:szCs w:val="20"/>
              </w:rPr>
              <w:t xml:space="preserve">Unidade organizacional isolada logicamente no sistema.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50" w:right="1440" w:bottom="1050" w:left="144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67085"/>
        <w:sz w:val="15"/>
        <w:szCs w:val="15"/>
      </w:rPr>
      <w:t xml:space="preserve">CONFIDENCIAL — circulação interna  •  Página </w:t>
    </w:r>
    <w:r>
      <w:rPr>
        <w:rFonts w:ascii="Aptos" w:cs="Aptos" w:eastAsia="Aptos" w:hAnsi="Aptos"/>
        <w:color w:val="6670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/>
      </w:pBdr>
      <w:tabs>
        <w:tab w:val="right" w:pos="9360"/>
      </w:tabs>
      <w:spacing w:after="80"/>
    </w:pPr>
    <w:r>
      <w:rPr>
        <w:rFonts w:ascii="Aptos" w:cs="Aptos" w:eastAsia="Aptos" w:hAnsi="Aptos"/>
        <w:b/>
        <w:bCs/>
        <w:color w:val="667085"/>
        <w:sz w:val="15"/>
        <w:szCs w:val="15"/>
      </w:rPr>
      <w:t xml:space="preserve">API MANAGEMENT TAX  |  PACOTE GATE 0</w:t>
    </w:r>
    <w:r>
      <w:rPr>
        <w:rFonts w:ascii="Aptos" w:cs="Aptos" w:eastAsia="Aptos" w:hAnsi="Aptos"/>
        <w:b/>
        <w:bCs/>
        <w:color w:val="B42318"/>
        <w:sz w:val="15"/>
        <w:szCs w:val="15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D3D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 w:before="280"/>
      <w:outlineLvl w:val="0"/>
    </w:pPr>
    <w:rPr>
      <w:rFonts w:ascii="Aptos Display" w:cs="Aptos Display" w:eastAsia="Aptos Display" w:hAnsi="Aptos Display"/>
      <w:b/>
      <w:bCs/>
      <w:color w:val="1F2D3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50" w:before="280"/>
      <w:outlineLvl w:val="0"/>
    </w:pPr>
    <w:rPr>
      <w:rFonts w:ascii="Aptos Display" w:cs="Aptos Display" w:eastAsia="Aptos Display" w:hAnsi="Aptos Display"/>
      <w:b/>
      <w:bCs/>
      <w:color w:val="2F75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210"/>
      <w:outlineLvl w:val="1"/>
    </w:pPr>
    <w:rPr>
      <w:rFonts w:ascii="Aptos Display" w:cs="Aptos Display" w:eastAsia="Aptos Display" w:hAnsi="Aptos Display"/>
      <w:b/>
      <w:bCs/>
      <w:color w:val="2F75B5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70"/>
      <w:outlineLvl w:val="2"/>
    </w:pPr>
    <w:rPr>
      <w:rFonts w:ascii="Aptos" w:cs="Aptos" w:eastAsia="Aptos" w:hAnsi="Aptos"/>
      <w:b/>
      <w:bCs/>
      <w:color w:val="1F2D3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 de Decisão e Arquitetura — Gate 0</dc:title>
  <dc:subject>Fundação do MVP 0</dc:subject>
  <dc:creator>API Management Tax</dc:creator>
  <dc:description>Proposta para aprovação condicionada do Gate 0 do API Management Tax.</dc:description>
  <cp:lastModifiedBy>Un-named</cp:lastModifiedBy>
  <cp:revision>1</cp:revision>
  <dcterms:created xsi:type="dcterms:W3CDTF">2026-08-14T15:26:04.014Z</dcterms:created>
  <dcterms:modified xsi:type="dcterms:W3CDTF">2026-08-14T15:26:04.014Z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