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color w:val="2E74B5"/>
          <w:sz w:val="20"/>
        </w:rPr>
        <w:t>ESPECIFICAÇÃO NORMATIVA</w:t>
      </w:r>
    </w:p>
    <w:p>
      <w:pPr>
        <w:spacing w:after="100"/>
      </w:pPr>
      <w:r>
        <w:rPr>
          <w:rFonts w:ascii="Calibri" w:hAnsi="Calibri"/>
          <w:b/>
          <w:color w:val="202124"/>
          <w:sz w:val="46"/>
        </w:rPr>
        <w:t>Especificação de Segurança, Governança e Auditabilidade</w:t>
      </w:r>
    </w:p>
    <w:p>
      <w:pPr>
        <w:spacing w:after="320"/>
      </w:pPr>
      <w:r>
        <w:rPr>
          <w:rFonts w:ascii="Calibri" w:hAnsi="Calibri"/>
          <w:color w:val="5F6368"/>
          <w:sz w:val="28"/>
        </w:rPr>
        <w:t>API Management Tax — Fundação de Confiança e Portões de Produção</w:t>
      </w:r>
    </w:p>
    <w:p>
      <w:pPr>
        <w:spacing w:after="40" w:line="240" w:lineRule="auto"/>
      </w:pPr>
      <w:r>
        <w:rPr>
          <w:rFonts w:ascii="Calibri" w:hAnsi="Calibri"/>
          <w:b/>
        </w:rPr>
        <w:t xml:space="preserve">Documento: </w:t>
      </w:r>
      <w:r>
        <w:rPr>
          <w:rFonts w:ascii="Calibri" w:hAnsi="Calibri"/>
        </w:rPr>
        <w:t>AMT-GOV-SEC-001</w:t>
      </w:r>
    </w:p>
    <w:p>
      <w:pPr>
        <w:spacing w:after="40" w:line="240" w:lineRule="auto"/>
      </w:pPr>
      <w:r>
        <w:rPr>
          <w:rFonts w:ascii="Calibri" w:hAnsi="Calibri"/>
          <w:b/>
        </w:rPr>
        <w:t xml:space="preserve">Versão: </w:t>
      </w:r>
      <w:r>
        <w:rPr>
          <w:rFonts w:ascii="Calibri" w:hAnsi="Calibri"/>
        </w:rPr>
        <w:t>0.1</w:t>
      </w:r>
    </w:p>
    <w:p>
      <w:pPr>
        <w:spacing w:after="40" w:line="240" w:lineRule="auto"/>
      </w:pPr>
      <w:r>
        <w:rPr>
          <w:rFonts w:ascii="Calibri" w:hAnsi="Calibri"/>
          <w:b/>
        </w:rPr>
        <w:t xml:space="preserve">Data: </w:t>
      </w:r>
      <w:r>
        <w:rPr>
          <w:rFonts w:ascii="Calibri" w:hAnsi="Calibri"/>
        </w:rPr>
        <w:t>14 de agosto de 2026</w:t>
      </w:r>
    </w:p>
    <w:p>
      <w:pPr>
        <w:spacing w:after="40" w:line="240" w:lineRule="auto"/>
      </w:pPr>
      <w:r>
        <w:rPr>
          <w:rFonts w:ascii="Calibri" w:hAnsi="Calibri"/>
          <w:b/>
        </w:rPr>
        <w:t xml:space="preserve">Classificação: </w:t>
      </w:r>
      <w:r>
        <w:rPr>
          <w:rFonts w:ascii="Calibri" w:hAnsi="Calibri"/>
        </w:rPr>
        <w:t>CONFIDENCIAL</w:t>
      </w:r>
    </w:p>
    <w:p>
      <w:pPr>
        <w:spacing w:after="40" w:line="240" w:lineRule="auto"/>
      </w:pPr>
      <w:r>
        <w:rPr>
          <w:rFonts w:ascii="Calibri" w:hAnsi="Calibri"/>
          <w:b/>
        </w:rPr>
        <w:t xml:space="preserve">Status: </w:t>
      </w:r>
      <w:r>
        <w:rPr>
          <w:rFonts w:ascii="Calibri" w:hAnsi="Calibri"/>
        </w:rPr>
        <w:t>Minuta normativa para validação</w:t>
      </w:r>
    </w:p>
    <w:p>
      <w:pPr>
        <w:spacing w:after="40" w:line="240" w:lineRule="auto"/>
      </w:pPr>
      <w:r>
        <w:rPr>
          <w:rFonts w:ascii="Calibri" w:hAnsi="Calibri"/>
          <w:b/>
        </w:rPr>
        <w:t xml:space="preserve">Aplicação: </w:t>
      </w:r>
      <w:r>
        <w:rPr>
          <w:rFonts w:ascii="Calibri" w:hAnsi="Calibri"/>
        </w:rPr>
        <w:t>GitHub, VS Code, WSL2/Linux, Docker, PostgreSQL, Prisma ORM/Migrate e Prisma Studio</w:t>
      </w:r>
    </w:p>
    <w:p>
      <w:pPr>
        <w:spacing w:before="200" w:after="280"/>
        <w:pBdr>
          <w:bottom w:val="single" w:sz="12" w:space="6" w:color="2E74B5"/>
        </w:pBdr>
      </w:pPr>
    </w:p>
    <w:p>
      <w:pPr>
        <w:keepLines/>
        <w:spacing w:before="120" w:after="200"/>
        <w:ind w:left="259" w:right="144"/>
        <w:shd w:fill="FCE8E6"/>
        <w:pBdr>
          <w:left w:val="single" w:sz="18" w:space="8" w:color="B3261E"/>
        </w:pBdr>
      </w:pPr>
      <w:r>
        <w:rPr>
          <w:rFonts w:ascii="Calibri" w:hAnsi="Calibri"/>
          <w:b/>
          <w:color w:val="B3261E"/>
        </w:rPr>
        <w:t xml:space="preserve">DECISÃO DE CONTROLE  </w:t>
      </w:r>
      <w:r>
        <w:rPr>
          <w:rFonts w:ascii="Calibri" w:hAnsi="Calibri"/>
        </w:rPr>
        <w:t>Nenhum dado tributário real, credencial de produção ou operação produtiva será admitido antes da aprovação dos portões definidos neste documento. Segurança, isolamento, auditoria e reprodutibilidade são requisitos de produto, não atividades posteriores.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Público-alvo: responsável pelo produto, Management Tax, Engenharia, Segurança da Informação, Privacidade/DPO, Jurídico, Operações, Auditoria e aprovadores de produção.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Relação documental: este documento complementa a Especificação Consolidada do API Management Tax e prevalece para requisitos de proteção, governança, auditoria, migrações e regras de negócio.</w:t>
      </w:r>
    </w:p>
    <w:p>
      <w:r>
        <w:br w:type="page"/>
      </w:r>
    </w:p>
    <w:p>
      <w:pPr>
        <w:pStyle w:val="Heading1"/>
        <w:keepNext/>
      </w:pPr>
      <w:r>
        <w:t>0. Controle do documento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Proprietário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Responsável pelo produto API Management Tax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Aprovadores mínimos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Produto, Engenharia, Segurança, Management Tax e Privacidade/Jurídico quando aplicável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Periodicidade de revisão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Trimestral e também após incidente relevante, alteração arquitetural material ou mudança regulatória aplicável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Regra de mudança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Toda alteração deve ocorrer por pull request, com histórico, justificativa, revisão e aprovação dos proprietários definidos em CODEOWNERS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Evidência oficial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Versão aprovada no repositório privado, associada a commit/tag e hash do artefato publicado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0.1 Convenções normativas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DEVE / NÃO DEVE: requisito obrigatório para aprovação do portão correspondente.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DEVERIA: controle recomendado; eventual exceção exige risco documentado, responsável e prazo de correção.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PODE: opção permitida, desde que não reduza controles obrigatórios.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Evidência: artefato verificável que demonstra implementação e eficácia do controle.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Exceção: desvio temporário formalmente aprovado; nunca substitui correção definitiva.</w:t>
      </w:r>
    </w:p>
    <w:p>
      <w:pPr>
        <w:pStyle w:val="Heading2"/>
        <w:keepNext/>
      </w:pPr>
      <w:r>
        <w:t>0.2 Hierarquia de autoridade</w:t>
      </w:r>
    </w:p>
    <w:p>
      <w:pPr>
        <w:pStyle w:val="ListNumber"/>
        <w:spacing w:after="80"/>
      </w:pPr>
      <w:r>
        <w:rPr>
          <w:rFonts w:ascii="Calibri" w:hAnsi="Calibri"/>
        </w:rPr>
        <w:t>Lei, regulação, obrigação contratual e política corporativa aplicável.</w:t>
      </w:r>
    </w:p>
    <w:p>
      <w:pPr>
        <w:pStyle w:val="ListNumber"/>
        <w:spacing w:after="80"/>
      </w:pPr>
      <w:r>
        <w:rPr>
          <w:rFonts w:ascii="Calibri" w:hAnsi="Calibri"/>
        </w:rPr>
        <w:t>Esta especificação e decisões arquiteturais aprovadas (ADRs).</w:t>
      </w:r>
    </w:p>
    <w:p>
      <w:pPr>
        <w:pStyle w:val="ListNumber"/>
        <w:spacing w:after="80"/>
      </w:pPr>
      <w:r>
        <w:rPr>
          <w:rFonts w:ascii="Calibri" w:hAnsi="Calibri"/>
        </w:rPr>
        <w:t>Regras de negócio publicadas e versionadas.</w:t>
      </w:r>
    </w:p>
    <w:p>
      <w:pPr>
        <w:pStyle w:val="ListNumber"/>
        <w:spacing w:after="80"/>
      </w:pPr>
      <w:r>
        <w:rPr>
          <w:rFonts w:ascii="Calibri" w:hAnsi="Calibri"/>
        </w:rPr>
        <w:t>Procedimentos operacionais, runbooks e instruções de trabalho.</w:t>
      </w:r>
    </w:p>
    <w:p>
      <w:pPr>
        <w:keepLines/>
        <w:spacing w:before="120" w:after="200"/>
        <w:ind w:left="259" w:right="144"/>
        <w:shd w:fill="EAF2F8"/>
        <w:pBdr>
          <w:left w:val="single" w:sz="18" w:space="8" w:color="2E74B5"/>
        </w:pBdr>
      </w:pPr>
      <w:r>
        <w:rPr>
          <w:rFonts w:ascii="Calibri" w:hAnsi="Calibri"/>
          <w:b/>
          <w:color w:val="2E74B5"/>
        </w:rPr>
        <w:t xml:space="preserve">REGRA DE CONFLITO  </w:t>
      </w:r>
      <w:r>
        <w:rPr>
          <w:rFonts w:ascii="Calibri" w:hAnsi="Calibri"/>
        </w:rPr>
        <w:t>Quando houver conflito, aplica-se o requisito mais restritivo até decisão formal dos responsáveis por Segurança, Jurídico/Privacidade e Produto.</w:t>
      </w:r>
    </w:p>
    <w:p>
      <w:pPr>
        <w:pStyle w:val="Heading1"/>
        <w:keepNext/>
      </w:pPr>
      <w:r>
        <w:t>1. Decisão executiva e política inegociável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O API Management Tax será construído como sistema auditável de suporte à gestão tributária. A plataforma não substitui validação profissional e não pode converter fonte preliminar em posição tributária aprovada sem fluxo formal de revisão.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Acesso é negado por padrão e concedido somente pelo menor privilégio necessário.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Todo registro sujeito a segregação deve possuir contexto explícito de tenant e jurisdição.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Toda decisão material deve ser reproduzível com a versão exata da regra e das fontes utilizadas.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Todo evento sensível deve produzir trilha de auditoria independente da vontade do usuário comum.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Migrações de banco e alterações de regras devem ser versionadas, revisadas, testadas e aprovadas.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Prisma Studio é ferramenta de desenvolvimento local; não é mecanismo operacional de produção.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McAfee reduz riscos no host Windows, mas não substitui controles de WSL, containers, dependências, identidade, aplicação ou banco de dados.</w:t>
      </w:r>
    </w:p>
    <w:p>
      <w:pPr>
        <w:pStyle w:val="Heading2"/>
        <w:keepNext/>
      </w:pPr>
      <w:r>
        <w:t>1.1 Condição para iniciar desenvolvimento funcional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Endpoints, telas e integrações funcionais podem ser prototipados somente com dados sintéticos após o Gate 1. Dados reais permanecem proibidos até a aprovação do Gate 2. Produção permanece proibida até o Gate 7.</w:t>
      </w:r>
    </w:p>
    <w:p>
      <w:pPr>
        <w:pStyle w:val="Heading1"/>
        <w:keepNext/>
      </w:pPr>
      <w:r>
        <w:t>2. Escopo, premissas e fronteiras de confiança</w:t>
      </w:r>
    </w:p>
    <w:p>
      <w:pPr>
        <w:pStyle w:val="Heading2"/>
        <w:keepNext/>
      </w:pPr>
      <w:r>
        <w:t>2.1 Escopo obrigatório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Código-fonte, infraestrutura como código, pipelines, imagens de container e dependências.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Identidades humanas, contas técnicas, tokens, chaves, certificados e segredos.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Banco PostgreSQL, Prisma ORM/Migrate, Prisma Studio, backups, exports e réplicas.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Regras tributárias, fontes legais, pareceres, evidências, anexos e decisões.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Ambientes de desenvolvimento, integração, homologação, produção e recuperação.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GitHub, VS Code conectado ao WSL2, Docker e estações autorizadas.</w:t>
      </w:r>
    </w:p>
    <w:p>
      <w:pPr>
        <w:pStyle w:val="Heading2"/>
        <w:keepNext/>
      </w:pPr>
      <w:r>
        <w:t>2.2 Fronteiras de confiança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2900"/>
        <w:gridCol w:w="45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Fronteira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Risco principal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Controle mínimo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Usuário → API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Uso indevido de identidade ou escopo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SSO, MFA, sessão curta, autorização contextual, rate limit e auditoria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API → banco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Bypass de isolamento ou privilégio excessivo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Conta runtime restrita, RLS, parâmetros, TLS e credencial rotacionável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CI/CD → ambiente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Comprometimento da cadeia de entrega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OIDC, aprovação de ambiente, artefato assinado, SHA fixo e permissões mínimas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Windows → WSL2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Exposição por host ou montagem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Disco protegido, projeto no filesystem Linux, extensão confiável e portas locais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Container → host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Escalada e movimento lateral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Usuário não root, capabilities removidas, filesystem somente leitura e sem Docker socket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Sistema → exportação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Exfiltração de dados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Autorização específica, marca d'água/classificação, expiração e auditoria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Regra → decisão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Resultado não reproduzível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Versão imutável, fonte vinculada, checksum, vigência e registro da execução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Classificação e tratamento de dados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600"/>
        <w:gridCol w:w="3200"/>
        <w:gridCol w:w="45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Classe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Exemplos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Tratamento mínimo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Público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Legislação oficialmente pública já validada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Integridade, fonte, data de captura e licença/termos de uso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Interno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Roadmaps, arquitetura não sensível e backlog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Acesso autenticado e compartilhamento controlado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Confidencial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Posições tributárias, pareceres, contratos, dados de entidades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Criptografia, menor privilégio, log de acesso e proibição em repositório público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Restrito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Credenciais, chaves, dados pessoais sensíveis, investigações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Vault, acesso just-in-time, dupla aprovação quando aplicável, retenção mínima e alerta</w:t>
            </w:r>
          </w:p>
        </w:tc>
      </w:tr>
    </w:tbl>
    <w:p>
      <w:pPr>
        <w:spacing w:after="40"/>
      </w:pPr>
    </w:p>
    <w:p>
      <w:pPr>
        <w:pStyle w:val="ListBullet"/>
        <w:spacing w:after="80" w:line="264" w:lineRule="auto"/>
      </w:pPr>
      <w:r>
        <w:rPr>
          <w:rFonts w:ascii="Calibri" w:hAnsi="Calibri"/>
        </w:rPr>
        <w:t>Todo objeto persistido deve possuir classificação de informação explícita ou herdada de política verificável.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Logs, mensagens de erro, telemetria e dados de teste não devem conter segredos, tokens, senhas ou conteúdo integral de pareceres.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Dados reais não devem ser copiados para desenvolvimento. Quando necessário, utilizar dados sintetizados ou anonimizados com validação de irreversibilidade.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Exportações devem possuir propósito, destinatário, prazo de validade, classificação e evento de auditoria.</w:t>
      </w:r>
    </w:p>
    <w:p>
      <w:pPr>
        <w:pStyle w:val="Heading1"/>
        <w:keepNext/>
      </w:pPr>
      <w:r>
        <w:t>4. Identidade, autenticação e autorização</w:t>
      </w:r>
    </w:p>
    <w:p>
      <w:pPr>
        <w:pStyle w:val="Heading2"/>
        <w:keepNext/>
      </w:pPr>
      <w:r>
        <w:t>4.1 Requisitos de identidade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Contas humanas devem usar identidade corporativa, MFA resistente a phishing quando disponível e proibição de contas compartilhadas.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Contas técnicas devem ser não interativas, possuir proprietário, finalidade, escopo, validade e rotação definidos.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Acesso privilegiado deve ser temporário, justificado e revisado; elevação e uso devem ser auditados.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Desligamento ou mudança de função deve revogar acessos dentro do SLA corporativo e invalidar sessões ativas quando o risco exigir.</w:t>
      </w:r>
    </w:p>
    <w:p>
      <w:pPr>
        <w:pStyle w:val="Heading2"/>
        <w:keepNext/>
      </w:pPr>
      <w:r>
        <w:t>4.2 Modelo de autorização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A autorização deve combinar RBAC para funções estáveis e ABAC para contexto: tenant, jurisdição, entidade legal, escritório, classificação, materialidade, status do fluxo e relação com o caso.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4000"/>
        <w:gridCol w:w="3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Papel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Permissões típicas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Restrições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Leitor tributário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Consultar conteúdo aprovado e casos autorizados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Sem edição, aprovação, exportação ampla ou administração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Analista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Criar minutas, anexar fontes e executar simulações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Não publica regra nem aprova a própria posição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Revisor tributário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Revisar conteúdo e registrar validação profissional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Não altera evidência original; conflito de interesse controlado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Aprovador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Aprovar posição/regra dentro de alçada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Dupla aprovação em mudanças materiais ou retroativas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Administrador do tenant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Gerenciar usuários e parâmetros do próprio tenant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Sem acesso automático a conteúdo restrito; atos auditados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Operações/SRE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Operar infraestrutura e responder incidentes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Sem permissão funcional implícita para conteúdo tributário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Auditor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Consulta somente leitura de trilhas e evidências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Sem alteração de registros ou regras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Testes obrigatórios de autorização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Usuário autorizado conclui a operação e gera evidência.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Usuário sem papel adequado recebe negação sem revelar existência, conteúdo ou identificadores sensíveis.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Usuário do tenant A não acessa, pesquisa, exporta ou infere dados do tenant B.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Administrador não herda acesso a conteúdo restrito sem política explícita.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Mudança de papel invalida autorização cacheada e é refletida dentro do SLA definido.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Ações em lote, jobs assíncronos e integrações aplicam os mesmos filtros e políticas.</w:t>
      </w:r>
    </w:p>
    <w:p>
      <w:pPr>
        <w:pStyle w:val="Heading1"/>
        <w:keepNext/>
      </w:pPr>
      <w:r>
        <w:t>5. Isolamento de dados e PostgreSQL RLS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Todo registro sujeito a segregação deve conter tenant_id não nulo e, conforme o domínio, organization_id, jurisdiction_id, legal_entity_id, office_id e information_classification. O contexto deve ser propagado do token/autorização até a transação de banco, sem aceitar tenant_id fornecido pelo cliente como fonte de autoridade.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RLS deve estar habilitado e forçado nas tabelas multitenant; a conta runtime não pode possuir BYPASSRLS nem propriedade irrestrita das tabelas.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A conta de migração deve ser separada da conta de execução da API e não deve ser usada por serviços em tempo de execução.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Consultas administrativas cross-tenant exigem função específica, justificativa, escopo limitado e evento de auditoria crítico.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Cache, busca, fila, object storage, relatórios, anexos e backups devem preservar a mesma fronteira de isolamento.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Porta do PostgreSQL não deve ser publicada na internet; em desenvolvimento, exposição somente em localhost e com credenciais não produtivas.</w:t>
      </w:r>
    </w:p>
    <w:p>
      <w:pPr>
        <w:pStyle w:val="Heading2"/>
        <w:keepNext/>
      </w:pPr>
      <w:r>
        <w:t>5.1 Critérios de isolamento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00"/>
        <w:gridCol w:w="3900"/>
        <w:gridCol w:w="29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Cenário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Resultado esperado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Evidência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Consulta direta com tenant incorreto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Zero linhas e nenhum metadado revelado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Teste automatizado de integração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Tentativa de bypass por parâmetro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Contexto do token prevalece; requisição rejeitada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Teste negativo de API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Job assíncrono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Contexto do tenant é obrigatório e validado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Teste de fila + auditoria correlacionada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Exportação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Somente escopo autorizado, arquivo classificado e expiração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Teste funcional e evento de export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Backup/restauração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Restauração preserva segregação e acesso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Relatório de restore em ambiente isolado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Administrador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Sem leitura implícita de conteúdo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Matriz de autorização e teste adversarial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Auditoria imutável e evidência de integridade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A auditoria deve ser append-only para usuários e serviços comuns. Correções não apagam eventos: produzem novo evento relacionado. O armazenamento deve possuir retenção, controle de acesso, sincronização temporal e mecanismo de detecção de adulteração.</w:t>
      </w:r>
    </w:p>
    <w:p>
      <w:pPr>
        <w:pStyle w:val="Heading2"/>
        <w:keepNext/>
      </w:pPr>
      <w:r>
        <w:t>6.1 Evento mínimo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Obrigação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event_id / event_type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Identificador global e tipo estável/versionado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occurred_at_utc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Data/hora UTC com precisão e origem temporal conhecida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actor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Usuário/serviço, papel, tenant e método de autenticação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scope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Tenant, jurisdição, entidade legal, recurso e classificação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action / result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Ação solicitada, permitido/negado, status e motivo controlado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before / after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Diferenças relevantes ou referências seguras; nunca segredos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reason / source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Justificativa, origem da mudança e ticket/PR quando aplicável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correlation_id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Correlação entre gateway, aplicação, banco, job e pipeline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rule_version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Versão exata da regra usada na decisão, quando aplicável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integrity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Checksum/hash e referência ao encadeamento/lote de integridade</w:t>
            </w:r>
          </w:p>
        </w:tc>
      </w:tr>
    </w:tbl>
    <w:p>
      <w:pPr>
        <w:spacing w:after="40"/>
      </w:pPr>
    </w:p>
    <w:p>
      <w:pPr>
        <w:pStyle w:val="ListBullet"/>
        <w:spacing w:after="80" w:line="264" w:lineRule="auto"/>
      </w:pPr>
      <w:r>
        <w:rPr>
          <w:rFonts w:ascii="Calibri" w:hAnsi="Calibri"/>
        </w:rPr>
        <w:t>Leituras de conteúdo restrito, exportações, alterações de permissão, publicação de regra, migração, restauração e ações administrativas devem ser eventos sensíveis.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Eventos sensíveis devem gerar monitoramento ou alerta proporcional ao risco.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Logs operacionais não substituem trilha de auditoria; identidade, banco, infraestrutura e CI/CD também devem emitir evidências correlacionáveis.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Retenção e legal hold devem impedir descarte enquanto houver obrigação legal, investigação ou auditoria.</w:t>
      </w:r>
    </w:p>
    <w:p>
      <w:pPr>
        <w:pStyle w:val="Heading1"/>
        <w:keepNext/>
      </w:pPr>
      <w:r>
        <w:t>7. Baseline de plataforma: GitHub, VS Code, WSL2 e Docker</w:t>
      </w:r>
    </w:p>
    <w:p>
      <w:pPr>
        <w:pStyle w:val="Heading2"/>
        <w:keepNext/>
      </w:pPr>
      <w:r>
        <w:t>7.1 GitHub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Repositório privado, MFA/passkey, membros mínimos, revisão periódica de colaboradores e proibição de credenciais em código ou issues.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Branch principal protegida por ruleset: pull request, revisores obrigatórios, CODEOWNERS, checks aprovados, conversa resolvida e bloqueio de force-push/deletion.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Secret scanning, dependency review, atualização automatizada e análise estática habilitadas conforme plano/licença disponível.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Commits e tags de release devem ser assinados quando tecnicamente viável; releases devem referenciar artefato e SBOM.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GitHub Actions deve usar permissões mínimas, actions fixadas por SHA completo, OIDC para nuvem e aprovação de environment para produção.</w:t>
      </w:r>
    </w:p>
    <w:p>
      <w:pPr>
        <w:pStyle w:val="Heading2"/>
        <w:keepNext/>
      </w:pPr>
      <w:r>
        <w:t>7.2 VS Code e WSL2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O projeto deve residir no filesystem Linux do WSL2, não em /mnt/c, reduzindo diferenças de permissão, desempenho e observação de arquivos.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VS Code deve conectar via Remote WSL, usar Workspace Trust e permitir somente extensões aprovadas; extensão nova exige análise de origem e permissões.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O arquivo .env não deve ser versionado; exemplos devem usar valores fictícios e nomes sem segredos.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Serviços de desenvolvimento devem escutar em localhost; publicação de porta deve ser explícita e temporária.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Distribuição WSL, Docker, VS Code, extensões e pacotes devem permanecer atualizados segundo SLA de vulnerabilidade.</w:t>
      </w:r>
    </w:p>
    <w:p>
      <w:pPr>
        <w:pStyle w:val="Heading2"/>
        <w:keepNext/>
      </w:pPr>
      <w:r>
        <w:t>7.3 Docker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Containers devem executar como usuário não root, com capabilities removidas, filesystem somente leitura quando compatível e diretórios temporários explícitos.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O Docker socket não deve ser montado na aplicação; acesso privilegiado e host network são proibidos salvo exceção aprovada.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Imagens devem usar base mínima, versão/digest fixado, build multi-stage, usuário explícito, healthcheck e ausência de segredos em layers.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Tags latest são proibidas em produção. Imagens devem ser escaneadas, gerar SBOM e, no fluxo produtivo, ser assinadas e verificadas.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Bancos e serviços internos devem usar rede interna; somente o gateway necessário expõe porta e aplica TLS/rate limiting.</w:t>
      </w:r>
    </w:p>
    <w:p>
      <w:pPr>
        <w:pStyle w:val="Heading1"/>
        <w:keepNext/>
      </w:pPr>
      <w:r>
        <w:t>8. Segredos e criptografia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Segredos produtivos devem permanecer em cofre gerenciado, nunca em Git, imagem, compose, log, documentação, prompt, issue ou histórico de terminal compartilhado.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Credenciais devem ter menor escopo, validade curta quando possível, rotação e revogação testada.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Dados em trânsito devem usar TLS; dados confidenciais e backups devem ser criptografados em repouso com gestão de chaves separada do armazenamento.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Chaves devem possuir proprietário, finalidade, versão, rotação, revogação e registro de uso. A aplicação não deve registrar material criptográfico.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Detecção de segredo em commit e pipeline deve bloquear a entrega. Segredo exposto deve ser revogado, não apenas removido do arquivo.</w:t>
      </w:r>
    </w:p>
    <w:p>
      <w:pPr>
        <w:pStyle w:val="Heading1"/>
        <w:keepNext/>
      </w:pPr>
      <w:r>
        <w:t>9. Prisma, Prisma Studio e governança do banco</w:t>
      </w:r>
    </w:p>
    <w:p>
      <w:pPr>
        <w:keepLines/>
        <w:spacing w:before="120" w:after="200"/>
        <w:ind w:left="259" w:right="144"/>
        <w:shd w:fill="FCE8E6"/>
        <w:pBdr>
          <w:left w:val="single" w:sz="18" w:space="8" w:color="B3261E"/>
        </w:pBdr>
      </w:pPr>
      <w:r>
        <w:rPr>
          <w:rFonts w:ascii="Calibri" w:hAnsi="Calibri"/>
          <w:b/>
          <w:color w:val="B3261E"/>
        </w:rPr>
        <w:t xml:space="preserve">POLÍTICA DO PRISMA STUDIO  </w:t>
      </w:r>
      <w:r>
        <w:rPr>
          <w:rFonts w:ascii="Calibri" w:hAnsi="Calibri"/>
        </w:rPr>
        <w:t>Uso permitido somente em desenvolvimento local, com dados fictícios e credenciais sem acesso a produção. Não é ferramenta de correção operacional, alteração de schema, aprovação ou administração produtiva.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Alterações de schema devem ocorrer por Prisma Migrate e arquivos versionados; alterações manuais no banco são proibidas fora de procedimento emergencial aprovado.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Produção deve usar prisma migrate deploy por pipeline controlado; prisma migrate dev é restrito ao ambiente local.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Correções de dados produtivos devem ocorrer pela aplicação auditada ou script versionado, revisado, testado, aprovado e associado a ticket.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A conta usada pelo Prisma Studio local deve apontar somente para banco local/sintético e possuir nome visualmente distinto de qualquer conta produtiva.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A conexão produtiva deve ser tecnicamente inacessível a partir do Studio por ausência de credencial, rede e permissão.</w:t>
      </w:r>
    </w:p>
    <w:p>
      <w:pPr>
        <w:pStyle w:val="Heading1"/>
        <w:keepNext/>
      </w:pPr>
      <w:r>
        <w:t>10. Governança de migrações</w:t>
      </w:r>
    </w:p>
    <w:p>
      <w:pPr>
        <w:pStyle w:val="Heading2"/>
        <w:keepNext/>
      </w:pPr>
      <w:r>
        <w:t>10.1 Fluxo obrigatório</w:t>
      </w:r>
    </w:p>
    <w:p>
      <w:pPr>
        <w:pStyle w:val="ListNumber"/>
        <w:numPr>
          <w:ilvl w:val="0"/>
          <w:numId w:val="10"/>
        </w:numPr>
        <w:numPr>
          <w:ilvl w:val="0"/>
          <w:numId w:val="10"/>
        </w:numPr>
        <w:spacing w:after="80"/>
      </w:pPr>
      <w:r>
        <w:rPr>
          <w:rFonts w:ascii="Calibri" w:hAnsi="Calibri"/>
        </w:rPr>
        <w:t>Propor alteração de modelo e impacto em dados, APIs, regras, RLS, índices, locks e rollback/forward-fix.</w:t>
      </w:r>
    </w:p>
    <w:p>
      <w:pPr>
        <w:pStyle w:val="ListNumber"/>
        <w:numPr>
          <w:ilvl w:val="0"/>
          <w:numId w:val="10"/>
        </w:numPr>
        <w:numPr>
          <w:ilvl w:val="0"/>
          <w:numId w:val="10"/>
        </w:numPr>
        <w:spacing w:after="80"/>
      </w:pPr>
      <w:r>
        <w:rPr>
          <w:rFonts w:ascii="Calibri" w:hAnsi="Calibri"/>
        </w:rPr>
        <w:t>Gerar migração no ambiente local e revisar SQL produzido; nenhuma migração aplicada pode ser reescrita.</w:t>
      </w:r>
    </w:p>
    <w:p>
      <w:pPr>
        <w:pStyle w:val="ListNumber"/>
        <w:numPr>
          <w:ilvl w:val="0"/>
          <w:numId w:val="10"/>
        </w:numPr>
        <w:numPr>
          <w:ilvl w:val="0"/>
          <w:numId w:val="10"/>
        </w:numPr>
        <w:spacing w:after="80"/>
      </w:pPr>
      <w:r>
        <w:rPr>
          <w:rFonts w:ascii="Calibri" w:hAnsi="Calibri"/>
        </w:rPr>
        <w:t>Abrir pull request com migration plan, classificação de risco, evidências e responsáveis.</w:t>
      </w:r>
    </w:p>
    <w:p>
      <w:pPr>
        <w:pStyle w:val="ListNumber"/>
        <w:numPr>
          <w:ilvl w:val="0"/>
          <w:numId w:val="10"/>
        </w:numPr>
        <w:numPr>
          <w:ilvl w:val="0"/>
          <w:numId w:val="10"/>
        </w:numPr>
        <w:spacing w:after="80"/>
      </w:pPr>
      <w:r>
        <w:rPr>
          <w:rFonts w:ascii="Calibri" w:hAnsi="Calibri"/>
        </w:rPr>
        <w:t>Executar migração em banco descartável desde zero e também sobre cópia sintética do schema anterior.</w:t>
      </w:r>
    </w:p>
    <w:p>
      <w:pPr>
        <w:pStyle w:val="ListNumber"/>
        <w:numPr>
          <w:ilvl w:val="0"/>
          <w:numId w:val="10"/>
        </w:numPr>
        <w:numPr>
          <w:ilvl w:val="0"/>
          <w:numId w:val="10"/>
        </w:numPr>
        <w:spacing w:after="80"/>
      </w:pPr>
      <w:r>
        <w:rPr>
          <w:rFonts w:ascii="Calibri" w:hAnsi="Calibri"/>
        </w:rPr>
        <w:t>Validar compatibilidade entre versão antiga/nova da aplicação e expand-contract quando houver rollout gradual.</w:t>
      </w:r>
    </w:p>
    <w:p>
      <w:pPr>
        <w:pStyle w:val="ListNumber"/>
        <w:numPr>
          <w:ilvl w:val="0"/>
          <w:numId w:val="10"/>
        </w:numPr>
        <w:numPr>
          <w:ilvl w:val="0"/>
          <w:numId w:val="10"/>
        </w:numPr>
        <w:spacing w:after="80"/>
      </w:pPr>
      <w:r>
        <w:rPr>
          <w:rFonts w:ascii="Calibri" w:hAnsi="Calibri"/>
        </w:rPr>
        <w:t>Executar em homologação, medir duração/locks, testar backup e plano de recuperação.</w:t>
      </w:r>
    </w:p>
    <w:p>
      <w:pPr>
        <w:pStyle w:val="ListNumber"/>
        <w:numPr>
          <w:ilvl w:val="0"/>
          <w:numId w:val="10"/>
        </w:numPr>
        <w:numPr>
          <w:ilvl w:val="0"/>
          <w:numId w:val="10"/>
        </w:numPr>
        <w:spacing w:after="80"/>
      </w:pPr>
      <w:r>
        <w:rPr>
          <w:rFonts w:ascii="Calibri" w:hAnsi="Calibri"/>
        </w:rPr>
        <w:t>Obter aprovação exigida pelo risco e executar prisma migrate deploy via pipeline.</w:t>
      </w:r>
    </w:p>
    <w:p>
      <w:pPr>
        <w:pStyle w:val="ListNumber"/>
        <w:numPr>
          <w:ilvl w:val="0"/>
          <w:numId w:val="10"/>
        </w:numPr>
        <w:numPr>
          <w:ilvl w:val="0"/>
          <w:numId w:val="10"/>
        </w:numPr>
        <w:spacing w:after="80"/>
      </w:pPr>
      <w:r>
        <w:rPr>
          <w:rFonts w:ascii="Calibri" w:hAnsi="Calibri"/>
        </w:rPr>
        <w:t>Verificar saúde, integridade, RLS, auditoria e métricas; registrar resultado e eventual forward-fix.</w:t>
      </w:r>
    </w:p>
    <w:p>
      <w:pPr>
        <w:pStyle w:val="Heading2"/>
        <w:keepNext/>
      </w:pPr>
      <w:r>
        <w:t>10.2 Política expand-contract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600"/>
        <w:gridCol w:w="4300"/>
        <w:gridCol w:w="34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Fase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Ação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Proibição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Expandir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Adicionar estrutura compatível, nullable/default seguro, índice concorrente quando aplicável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Remover ou renomear campo ainda usado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Migrar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Backfill em lotes, observabilidade, idempotência e limite de carga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Transação longa sem estimativa/controle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Trocar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Aplicação passa a ler/escrever novo modelo com feature flag se necessário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Corte sem compatibilidade validada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Contrair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Remover legado somente após prova de não uso e janela aprovada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Drop destrutivo no mesmo release da expansão</w:t>
            </w:r>
          </w:p>
        </w:tc>
      </w:tr>
    </w:tbl>
    <w:p>
      <w:pPr>
        <w:spacing w:after="40"/>
      </w:pPr>
    </w:p>
    <w:p>
      <w:pPr>
        <w:pStyle w:val="ListBullet"/>
        <w:spacing w:after="80" w:line="264" w:lineRule="auto"/>
      </w:pPr>
      <w:r>
        <w:rPr>
          <w:rFonts w:ascii="Calibri" w:hAnsi="Calibri"/>
        </w:rPr>
        <w:t>Checksums de migrações aplicadas devem ser verificados. Divergência bloqueia deploy e exige investigação.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Migração destrutiva, retroativa ou de alto volume exige aprovação adicional de Banco/Plataforma, Segurança e proprietário do dado.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Rollback físico pode ser inseguro; o plano deve priorizar forward-fix, compatibilidade e restauração somente quando os critérios forem satisfeitos.</w:t>
      </w:r>
    </w:p>
    <w:p>
      <w:pPr>
        <w:pStyle w:val="Heading1"/>
        <w:keepNext/>
      </w:pPr>
      <w:r>
        <w:t>11. Regras de negócio versionadas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Toda regra tributária que influencie cálculo, classificação, prazo, obrigação, alçada, alerta ou decisão deve ser tratada como artefato versionado, explicável e reproduzível.</w:t>
      </w:r>
    </w:p>
    <w:p>
      <w:pPr>
        <w:pStyle w:val="Heading2"/>
        <w:keepNext/>
      </w:pPr>
      <w:r>
        <w:t>11.1 Modelo mínimo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Finalidade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rule_id / version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Identidade estável e versão imutável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tenant_id opcional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Regra global ou escopo específico autorizado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jurisdiction_id / rule_type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País/região e categoria funcional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status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Draft, Review, Validated, Approved, Published, Superseded ou Archived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effective_from / effective_to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Vigência legal separada da data de publicação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legal_basis / source_id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Base legal, fonte oficial, data de captura e confiabilidade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parameters / expression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Parâmetros e expressão determinística ou implementação referenciada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approval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Status, aprovadores, datas, alçada e segregação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supersedes_version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Relação explícita com versão anterior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checksum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Prova de integridade do conteúdo publicado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 Ciclo de vida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Draft → Review → Validated (especialista) → Approved → Published → Superseded → Archived.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Versão Published é imutável. Qualquer alteração cria nova versão e preserva a anterior.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Aprovação e publicação são eventos distintos; vigência legal pode anteceder ou suceder publicação e deve ser explícita.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Retroatividade exige justificativa, avaliação de impacto, dupla aprovação e reprocessamento controlado.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Conteúdo preliminar, fonte não confirmada ou resultado de pesquisa não pode ser publicado como regra aprovada.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Toda decisão deve armazenar rule_id, version, checksum, inputs relevantes, data de referência e resultado.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O sistema deve reproduzir decisão histórica sem substituir a regra usada pela versão corrente.</w:t>
      </w:r>
    </w:p>
    <w:p>
      <w:pPr>
        <w:pStyle w:val="Heading2"/>
        <w:keepNext/>
      </w:pPr>
      <w:r>
        <w:t>11.3 Critérios de publicação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Critério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Evidência obrigatória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Fonte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Fonte oficial ou classificação de confiabilidade, captura e referência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Validação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Parecer/revisão do especialista identificado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Teste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Casos normais, limites, exceções, datas e regressão histórica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Alçada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Aprovadores compatíveis com materialidade e jurisdição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Explicabilidade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Descrição legível, fórmula/parâmetros e razão da mudança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Integridade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Checksum e vínculo com commit/release do motor quando aplicável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SDLC, CI/CD e cadeia de suprimentos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Todo código entra por pull request com revisão independente; autor não aprova sozinho mudança material de segurança, migração ou regra.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Pipeline deve executar lint, testes unitários, integração, isolamento, migração, SAST, SCA, secret scan, container scan e geração de SBOM.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Dependências devem ser fixadas por lockfile, ter origem confiável e passar por política de vulnerabilidade/licença.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Build deve ser reproduzível e gerar artefato imutável promovido entre ambientes; produção não recompila código diferente.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Segredos não devem ser disponibilizados a pull requests não confiáveis. Permissões do token de automação devem ser read-only por padrão.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Release deve possuir versão, commit, imagem/digest, SBOM, migrações, regras compatíveis, aprovações e notas de mudança.</w:t>
      </w:r>
    </w:p>
    <w:p>
      <w:pPr>
        <w:pStyle w:val="Heading1"/>
        <w:keepNext/>
      </w:pPr>
      <w:r>
        <w:t>13. Backup, recuperação, retenção e descarte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Backups devem ser criptografados, segregados do ambiente de origem, monitorados e protegidos contra alteração/exclusão indevida.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RPO e RTO devem ser definidos por ambiente e aprovados pelo negócio; restauração deve ser testada periodicamente.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Teste de restore deve validar schema, migrações, RLS, anexos, regras, auditoria, chaves e consistência funcional.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Retenção deve considerar obrigação legal, fiscal, contratual, privacidade e legal hold; descarte deve ser verificável e auditado.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Backups não devem ser usados como atalho para disponibilizar dados reais em desenvolvimento.</w:t>
      </w:r>
    </w:p>
    <w:p>
      <w:pPr>
        <w:pStyle w:val="Heading1"/>
        <w:keepNext/>
      </w:pPr>
      <w:r>
        <w:t>14. Incidentes e vulnerabilidades</w:t>
      </w:r>
    </w:p>
    <w:p>
      <w:pPr>
        <w:pStyle w:val="Heading2"/>
        <w:keepNext/>
      </w:pPr>
      <w:r>
        <w:t>14.1 Resposta a incidentes</w:t>
      </w:r>
    </w:p>
    <w:p>
      <w:pPr>
        <w:pStyle w:val="ListNumber"/>
        <w:numPr>
          <w:ilvl w:val="0"/>
          <w:numId w:val="11"/>
        </w:numPr>
        <w:numPr>
          <w:ilvl w:val="0"/>
          <w:numId w:val="11"/>
        </w:numPr>
        <w:spacing w:after="80"/>
      </w:pPr>
      <w:r>
        <w:rPr>
          <w:rFonts w:ascii="Calibri" w:hAnsi="Calibri"/>
        </w:rPr>
        <w:t>Detectar e classificar o evento; preservar evidências e registrar horário UTC.</w:t>
      </w:r>
    </w:p>
    <w:p>
      <w:pPr>
        <w:pStyle w:val="ListNumber"/>
        <w:numPr>
          <w:ilvl w:val="0"/>
          <w:numId w:val="11"/>
        </w:numPr>
        <w:numPr>
          <w:ilvl w:val="0"/>
          <w:numId w:val="11"/>
        </w:numPr>
        <w:spacing w:after="80"/>
      </w:pPr>
      <w:r>
        <w:rPr>
          <w:rFonts w:ascii="Calibri" w:hAnsi="Calibri"/>
        </w:rPr>
        <w:t>Conter acesso, revogar credenciais e impedir propagação sem destruir evidências.</w:t>
      </w:r>
    </w:p>
    <w:p>
      <w:pPr>
        <w:pStyle w:val="ListNumber"/>
        <w:numPr>
          <w:ilvl w:val="0"/>
          <w:numId w:val="11"/>
        </w:numPr>
        <w:numPr>
          <w:ilvl w:val="0"/>
          <w:numId w:val="11"/>
        </w:numPr>
        <w:spacing w:after="80"/>
      </w:pPr>
      <w:r>
        <w:rPr>
          <w:rFonts w:ascii="Calibri" w:hAnsi="Calibri"/>
        </w:rPr>
        <w:t>Avaliar tenants, jurisdições, dados, regras e decisões afetadas.</w:t>
      </w:r>
    </w:p>
    <w:p>
      <w:pPr>
        <w:pStyle w:val="ListNumber"/>
        <w:numPr>
          <w:ilvl w:val="0"/>
          <w:numId w:val="11"/>
        </w:numPr>
        <w:numPr>
          <w:ilvl w:val="0"/>
          <w:numId w:val="11"/>
        </w:numPr>
        <w:spacing w:after="80"/>
      </w:pPr>
      <w:r>
        <w:rPr>
          <w:rFonts w:ascii="Calibri" w:hAnsi="Calibri"/>
        </w:rPr>
        <w:t>Notificar responsáveis conforme matriz legal, contratual e corporativa.</w:t>
      </w:r>
    </w:p>
    <w:p>
      <w:pPr>
        <w:pStyle w:val="ListNumber"/>
        <w:numPr>
          <w:ilvl w:val="0"/>
          <w:numId w:val="11"/>
        </w:numPr>
        <w:numPr>
          <w:ilvl w:val="0"/>
          <w:numId w:val="11"/>
        </w:numPr>
        <w:spacing w:after="80"/>
      </w:pPr>
      <w:r>
        <w:rPr>
          <w:rFonts w:ascii="Calibri" w:hAnsi="Calibri"/>
        </w:rPr>
        <w:t>Erradicar causa, recuperar de forma verificada e monitorar recorrência.</w:t>
      </w:r>
    </w:p>
    <w:p>
      <w:pPr>
        <w:pStyle w:val="ListNumber"/>
        <w:numPr>
          <w:ilvl w:val="0"/>
          <w:numId w:val="11"/>
        </w:numPr>
        <w:numPr>
          <w:ilvl w:val="0"/>
          <w:numId w:val="11"/>
        </w:numPr>
        <w:spacing w:after="80"/>
      </w:pPr>
      <w:r>
        <w:rPr>
          <w:rFonts w:ascii="Calibri" w:hAnsi="Calibri"/>
        </w:rPr>
        <w:t>Executar análise de causa, ações corretivas com prazos e atualização desta especificação quando necessário.</w:t>
      </w:r>
    </w:p>
    <w:p>
      <w:pPr>
        <w:pStyle w:val="Heading2"/>
        <w:keepNext/>
      </w:pPr>
      <w:r>
        <w:t>14.2 SLAs de vulnerabilidade propostos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000"/>
        <w:gridCol w:w="3000"/>
        <w:gridCol w:w="43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Severidade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Tratamento inicial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Correção/mitigação-alvo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Crítica explorável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Imediato; avaliar suspensão/bloqueio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24 a 72 horas conforme exposição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Alta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Até 1 dia útil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Até 7 dias corridos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Média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Até 5 dias úteis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Até 30 dias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Baixa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Backlog priorizado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Até 90 dias ou justificativa</w:t>
            </w:r>
          </w:p>
        </w:tc>
      </w:tr>
    </w:tbl>
    <w:p>
      <w:pPr>
        <w:spacing w:after="40"/>
      </w:pPr>
    </w:p>
    <w:p>
      <w:pPr>
        <w:keepNext w:val="0"/>
        <w:spacing w:after="120" w:line="264" w:lineRule="auto"/>
      </w:pPr>
      <w:r>
        <w:rPr>
          <w:rFonts w:ascii="Calibri" w:hAnsi="Calibri"/>
        </w:rPr>
        <w:t>Os SLAs acima são proposta inicial e devem ser alinhados à política corporativa; risco aceito exige proprietário, compensação, expiração e aprovação.</w:t>
      </w:r>
    </w:p>
    <w:p>
      <w:pPr>
        <w:pStyle w:val="Heading1"/>
        <w:keepNext/>
      </w:pPr>
      <w:r>
        <w:t>15. Governança geral e responsabilidades</w:t>
      </w:r>
    </w:p>
    <w:p>
      <w:pPr>
        <w:pStyle w:val="Heading2"/>
        <w:keepNext/>
      </w:pPr>
      <w:r>
        <w:t>15.1 Artefatos obrigatórios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SECURITY.md, CONTRIBUTING.md, CODEOWNERS e política de classificação de dados.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ADRs para decisões arquiteturais, RACI, matriz de acesso e inventário de ativos/dados.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Runbooks de incidente, restore, deploy, rollback/forward-fix e mudança emergencial.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Registro de riscos, exceções, vulnerabilidades, dependências, SBOM e evidências de portões.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Políticas de retenção/descarte, gestão de segredos, migrações e versionamento de regras.</w:t>
      </w:r>
    </w:p>
    <w:p>
      <w:pPr>
        <w:pStyle w:val="Heading2"/>
        <w:keepNext/>
      </w:pPr>
      <w:r>
        <w:t>15.2 RACI mínimo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700"/>
        <w:gridCol w:w="1700"/>
        <w:gridCol w:w="1700"/>
        <w:gridCol w:w="1700"/>
        <w:gridCol w:w="15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6"/>
              </w:rPr>
              <w:t>Atividade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6"/>
              </w:rPr>
              <w:t>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6"/>
              </w:rPr>
              <w:t>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6"/>
              </w:rPr>
              <w:t>C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Controle de acesso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Engenharia/Segurança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Segurança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Produto/Privacidade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Auditoria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Regra tributária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Management Tax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Aprovador tributário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Jurídico/Produto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Engenharia/Auditoria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Migração de banco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Engenharia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Líder técnico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DB/Segurança/Produto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Operações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Release produtivo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Engenharia/Operações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Responsável por produção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Segurança/Produto/Tax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Auditoria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Incidente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Incident Commander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Segurança/Negócio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Jurídico/Privacidade/Operações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Partes afetadas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Exceção de controle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Proponente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Dono do risco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Segurança/Jurídico/Produto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Auditoria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Portões obrigatórios de entrega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250"/>
        <w:gridCol w:w="2850"/>
        <w:gridCol w:w="3300"/>
        <w:gridCol w:w="1960"/>
      </w:tblGrid>
      <w:tr>
        <w:trPr>
          <w:tblHeader w:val="true"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5"/>
              </w:rPr>
              <w:t>Gate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5"/>
              </w:rPr>
              <w:t>Saída obrigatória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5"/>
              </w:rPr>
              <w:t>Evidência mínima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5"/>
              </w:rPr>
              <w:t>Aprovação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 — Fundação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Classificação, ameaça e arquitetura de segurança aprovadas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Inventário, diagrama de confiança, threat model, riscos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Produto + Segurança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— Identidade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Autenticação, tenant e autorização funcionam com dados sintéticos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Matriz de acesso e testes positivos/negativos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Engenharia + Segurança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 — Auditoria e isolamento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RLS, trilha imutável e exports testados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Testes tenant A/B, eventos e revisão adversarial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Segurança + Auditoria + Produto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3 — Migração e CI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Pipeline protegido e migração reproduzível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PR, banco descartável, checksum, scans e approvals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Engenharia + Plataforma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4 — Regras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Regras versionadas, aprovadas e reproduzíveis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Casos, replay histórico, checksum e segregação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Management Tax + Produto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5 — Resiliência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Backup, restore e incidente exercitados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Relatórios de teste, RPO/RTO e ações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Operações + Segurança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6 — Revisão independente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Pentest/revisão adversarial e privacidade concluídos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Relatório, correções e riscos residuais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Segurança + Privacidade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7 — Produção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Prontidão, operação e risco residual formalmente aceitos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Checklist completo, runbooks, owners, rollback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Comitê de produção</w:t>
            </w:r>
          </w:p>
        </w:tc>
      </w:tr>
    </w:tbl>
    <w:p>
      <w:pPr>
        <w:spacing w:after="40"/>
      </w:pPr>
    </w:p>
    <w:p>
      <w:pPr>
        <w:keepLines/>
        <w:spacing w:before="120" w:after="200"/>
        <w:ind w:left="259" w:right="144"/>
        <w:shd w:fill="FCE8E6"/>
        <w:pBdr>
          <w:left w:val="single" w:sz="18" w:space="8" w:color="B3261E"/>
        </w:pBdr>
      </w:pPr>
      <w:r>
        <w:rPr>
          <w:rFonts w:ascii="Calibri" w:hAnsi="Calibri"/>
          <w:b/>
          <w:color w:val="B3261E"/>
        </w:rPr>
        <w:t xml:space="preserve">BLOQUEIO  </w:t>
      </w:r>
      <w:r>
        <w:rPr>
          <w:rFonts w:ascii="Calibri" w:hAnsi="Calibri"/>
        </w:rPr>
        <w:t>Dados reais só podem ingressar após o Gate 2. O uso produtivo somente pode ocorrer após o Gate 7. Aprovação verbal, urgência comercial ou existência de antivírus não substituem evidência de gate.</w:t>
      </w:r>
    </w:p>
    <w:p>
      <w:pPr>
        <w:pStyle w:val="Heading1"/>
        <w:keepNext/>
      </w:pPr>
      <w:r>
        <w:t>17. Catálogo de controles prioritários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450"/>
        <w:gridCol w:w="3400"/>
        <w:gridCol w:w="2500"/>
        <w:gridCol w:w="1460"/>
        <w:gridCol w:w="550"/>
      </w:tblGrid>
      <w:tr>
        <w:trPr>
          <w:tblHeader w:val="true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5"/>
              </w:rPr>
              <w:t>ID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5"/>
              </w:rPr>
              <w:t>Requisito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5"/>
              </w:rPr>
              <w:t>Evidência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5"/>
              </w:rPr>
              <w:t>Owner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5"/>
              </w:rPr>
              <w:t>Gate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SEC-IAM-001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Negar por padrão e exigir identidade corporativa/MFA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Teste de acesso + configuração do IdP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Segurança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SEC-IAM-002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Separar contas humanas, técnicas e privilegiadas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Inventário, owners e revisão de acesso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Segurança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SEC-DAT-001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Aplicar tenant_id e RLS forçada no PostgreSQL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DDL/policies + testes A/B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Engenharia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SEC-DAT-002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Proibir dados reais em desenvolvimento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Pipeline/datasets + revisão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Produto/Privacidade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SEC-AUD-001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Registrar eventos sensíveis append-only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Schema, eventos e retenção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Engenharia/Auditoria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SEC-AUD-002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Detectar adulteração e correlacionar camadas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Hash/encadeamento e correlation_id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Segurança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SEC-SEC-001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Manter segredos em vault e rotacionáveis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Configuração, teste de rotação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Plataforma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SEC-PLT-001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Proteger GitHub, branch e pipeline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Ruleset, CODEOWNERS e checks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Engenharia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SEC-PLT-002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Executar containers não root e mínimos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Dockerfile, scan, teste runtime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Plataforma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GOV-MIG-001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Versionar e revisar toda migração Prisma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PR, SQL, checksums e banco descartável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Engenharia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GOV-MIG-002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Usar expand-contract e plano de forward-fix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Migration plan e teste de compatibilidade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Engenharia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GOV-RUL-001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Publicar regra imutável e versionada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Modelo, workflow, checksum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Management Tax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GOV-RUL-002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Reproduzir decisão histórica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Teste de replay com versão fixada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Produto/Tax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GOV-OPS-001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Testar backup e restauração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Relatório de restore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Operações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GOV-OPS-002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Manter runbook e simular incidente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Exercício e ações corretivas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Segurança/Ops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GOV-REL-001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Promover artefato imutável com SBOM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Digest, assinatura, SBOM e release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Plataforma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7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18. Estratégia de testes e Definition of Done</w:t>
      </w:r>
    </w:p>
    <w:p>
      <w:pPr>
        <w:pStyle w:val="Heading2"/>
        <w:keepNext/>
      </w:pPr>
      <w:r>
        <w:t>18.1 Famílias de testes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Unitários: validação, cálculo, autorização contextual e estados de regra.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Integração: PostgreSQL/RLS, Prisma, filas, storage, identidade e auditoria.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Contrato: APIs, schemas, erros sem vazamento e compatibilidade.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Migração: banco vazio, versão anterior, dados sintéticos em volume, locks e forward-fix.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Segurança: SAST, SCA, segredo, imagem, DAST, abuso de autorização e threat model.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Resiliência: backup/restore, perda de dependência, retry/idempotência e recuperação.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Regras: casos normais, bordas, datas, retroatividade, regressão e replay histórico.</w:t>
      </w:r>
    </w:p>
    <w:p>
      <w:pPr>
        <w:pStyle w:val="Heading2"/>
        <w:keepNext/>
      </w:pPr>
      <w:r>
        <w:t>18.2 Definition of Done de qualquer feature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Critérios funcionais e de segurança definidos e revisados.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Autorização positiva e negativa testada; isolamento multitenant comprovado quando aplicável.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Eventos de auditoria definidos, sem segredos e com correlation_id.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Migração e compatibilidade avaliadas; dados e regras versionados.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Testes automatizados aprovados e cobertura de risco suficiente.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Documentação, runbook, métricas, alertas e owner atualizados.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Nenhuma vulnerabilidade bloqueadora nem exceção expirada.</w:t>
      </w:r>
    </w:p>
    <w:p>
      <w:pPr>
        <w:pStyle w:val="Heading1"/>
        <w:keepNext/>
      </w:pPr>
      <w:r>
        <w:t>19. Registro inicial de riscos e decisões abertas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900"/>
        <w:gridCol w:w="2500"/>
        <w:gridCol w:w="3400"/>
        <w:gridCol w:w="1560"/>
        <w:gridCol w:w="100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5"/>
              </w:rPr>
              <w:t>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5"/>
              </w:rPr>
              <w:t>Risco/decisão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5"/>
              </w:rPr>
              <w:t>Tratamento proposto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5"/>
              </w:rPr>
              <w:t>Owner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5"/>
              </w:rPr>
              <w:t>Prazo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R-001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Acesso cruzado entre tenants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RLS forçada, autorização contextual e testes adversariais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Engenharia/Segurança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Antes do Gate 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R-002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Uso indevido do Prisma Studio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Bloqueio de rede/credencial e política local-only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Engenharia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Imediato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R-003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Migração destrutiva ou não reproduzível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Expand-contract, checksum, banco descartável e approval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Engenharia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Gate 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R-004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Regra alterada sem rastreabilidade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Versão imutável, workflow e checksum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Management Tax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Gate 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R-005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Segredo em Git/imagem/log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Vault, scanners, rotação e revisão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Plataforma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Gate 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D-001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Definir provedor de identidade e MFA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ADR com integração e lifecycle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Produto/Segurança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Gate 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D-002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Definir RPO/RTO e retenção por classe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Workshop com negócio, Jurídico e Operações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Produto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Gate 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D-003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Definir hospedagem e cofre de segredos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ADR, modelo de custos e threat model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Plataforma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Gate 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20. Plano de implantação 30/60/90 dias</w:t>
      </w:r>
    </w:p>
    <w:p>
      <w:pPr>
        <w:pStyle w:val="Heading2"/>
        <w:keepNext/>
      </w:pPr>
      <w:r>
        <w:t>0–30 dias — Fundação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Aprovar classificação, threat model, arquitetura de referência, RACI e decisões abertas do Gate 0.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Configurar repositório privado, ruleset, CODEOWNERS, scanners e padrão de ADR.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Definir identidade, tenant context, modelo de autorização, schema de auditoria e políticas RLS.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Criar baseline de WSL2/VS Code/Docker e proibir Prisma Studio fora do local sintético.</w:t>
      </w:r>
    </w:p>
    <w:p>
      <w:pPr>
        <w:pStyle w:val="Heading2"/>
        <w:keepNext/>
      </w:pPr>
      <w:r>
        <w:t>31–60 dias — Controles executáveis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Implementar autenticação/autorização, isolamento, auditoria e testes tenant A/B.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Implantar pipeline de migração, banco descartável, scans, SBOM e artefatos imutáveis.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Implementar modelo e workflow de regras versionadas com casos de teste e replay.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Documentar runbooks, política de segredo, backup/restore e vulnerabilidades.</w:t>
      </w:r>
    </w:p>
    <w:p>
      <w:pPr>
        <w:pStyle w:val="Heading2"/>
        <w:keepNext/>
      </w:pPr>
      <w:r>
        <w:t>61–90 dias — Prova de prontidão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Executar testes de restauração, incidente, migração de volume e mudança emergencial.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Realizar revisão adversarial independente, pentest proporcional e avaliação de privacidade.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Corrigir achados, registrar riscos residuais e completar evidências dos Gates 0 a 6.</w:t>
      </w:r>
    </w:p>
    <w:p>
      <w:pPr>
        <w:pStyle w:val="ListBullet"/>
        <w:spacing w:after="80" w:line="264" w:lineRule="auto"/>
      </w:pPr>
      <w:r>
        <w:rPr>
          <w:rFonts w:ascii="Calibri" w:hAnsi="Calibri"/>
        </w:rPr>
        <w:t>Submeter prontidão produtiva ao Gate 7; somente depois autorizar dados e operação conforme política.</w:t>
      </w:r>
    </w:p>
    <w:p>
      <w:r>
        <w:br w:type="page"/>
      </w:r>
    </w:p>
    <w:p>
      <w:pPr>
        <w:pStyle w:val="Heading1"/>
        <w:keepNext/>
      </w:pPr>
      <w:r>
        <w:t>Apêndice A — Schema de referência do evento de auditoria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350"/>
        <w:gridCol w:w="1650"/>
        <w:gridCol w:w="1300"/>
        <w:gridCol w:w="4060"/>
      </w:tblGrid>
      <w:tr>
        <w:trPr>
          <w:tblHeader w:val="true"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6"/>
              </w:rPr>
              <w:t>Campo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6"/>
              </w:rPr>
              <w:t>Tipo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6"/>
              </w:rPr>
              <w:t>Obrigatório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event_id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Sim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Identificador global imutável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event_type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string versionada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Sim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Tipo estável do evento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occurred_at_utc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timestamp UTC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Sim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Momento do fato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actor_id / actor_type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string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Sim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Humano, serviço ou processo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tenant_id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Condicional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Escopo do tenant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jurisdiction_id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UUID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Condicional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Escopo regulatório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resource_type / resource_id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string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Sim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Objeto afetado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action / result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enum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Sim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Operação e resultado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reason_code / reason_text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string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Condicional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Justificativa controlada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before_ref / after_ref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JSON/ref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Condicional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Diferença segura, sem segredo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correlation_id / session_id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string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Sim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Correlação ponta a ponta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rule_id / rule_version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string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Condicional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Regra efetivamente utilizada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source_ip / client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string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Condicional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Origem conforme privacidade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integrity_hash / prev_hash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hash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Sim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Detecção de adulteração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Apêndice B — Checklist de migração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[ ] Impacto funcional, regulatório, RLS, auditoria, volume e lock documentado.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[ ] SQL gerado revisado; nenhuma migração aplicada foi alterada.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[ ] Banco descartável criado desde zero e atualizado a partir da versão anterior.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[ ] Compatibilidade expand-contract e rollout/feature flag avaliados.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[ ] Backfill idempotente, observável e em lotes quando necessário.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[ ] Backup, restore e forward-fix definidos e testados proporcionalmente.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[ ] Aprovações de risco e janela de mudança registradas.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[ ] prisma migrate deploy executado somente pelo pipeline controlado.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[ ] Pós-deploy validou saúde, integridade, RLS, auditoria e métricas.</w:t>
      </w:r>
    </w:p>
    <w:p>
      <w:pPr>
        <w:pStyle w:val="Heading1"/>
        <w:keepNext/>
      </w:pPr>
      <w:r>
        <w:t>Apêndice C — Checklist de release e produção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[ ] Commit, tag, imagem/digest e SBOM identificados.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[ ] Testes funcionais, segurança, isolamento, migração e regras aprovados.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[ ] Vulnerabilidades bloqueadoras ausentes; exceções vigentes e aprovadas.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[ ] Segredos, chaves e acessos de produção preparados com menor privilégio.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[ ] Migrações e regras compatíveis com a versão do serviço.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[ ] Métricas, alertas, dashboards e correlation_id verificados.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[ ] Backup/restore, runbook de incidente e plano de forward-fix disponíveis.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[ ] Aprovação de environment e segregação de funções confirmadas.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[ ] Gates requeridos possuem evidências e assinaturas válidas.</w:t>
      </w:r>
    </w:p>
    <w:p>
      <w:pPr>
        <w:keepNext w:val="0"/>
        <w:spacing w:after="120" w:line="264" w:lineRule="auto"/>
      </w:pPr>
      <w:r>
        <w:rPr>
          <w:rFonts w:ascii="Calibri" w:hAnsi="Calibri"/>
        </w:rPr>
        <w:t>[ ] Comunicação, janela e responsáveis de plantão confirmados.</w:t>
      </w:r>
    </w:p>
    <w:p>
      <w:pPr>
        <w:pStyle w:val="Heading1"/>
        <w:keepNext/>
      </w:pPr>
      <w:r>
        <w:t>Apêndice D — Critérios de revisão do Prisma Studio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5600"/>
        <w:gridCol w:w="3760"/>
      </w:tblGrid>
      <w:tr>
        <w:trPr>
          <w:tblHeader w:val="true"/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Pergunta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Resposta exigida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O Studio possui credencial produtiva?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Não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 rede permite conexão produtiva a partir da estação?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Não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Os dados locais são reais?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Não; sintéticos ou anonimizados aprovados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Mudanças de schema são feitas pelo Studio?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Não; exclusivamente Prisma Migrate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Correções produtivas usam o Studio?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Não; aplicação auditada ou script governado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O uso local é documentado e revisável?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Sim; finalidade, owner e configuração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Apêndice E — Glossário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Termo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7365D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ABAC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Autorização baseada em atributos de identidade, dado e contexto.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ADR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Registro versionado de decisão arquitetural e suas consequências.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RLS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Row-Level Security do PostgreSQL para restringir linhas pelo contexto.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RPO / RTO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Perda de dados tolerada / tempo-alvo para recuperação.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SBOM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Inventário dos componentes e dependências do artefato de software.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Tenant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Unidade organizacional isolada logicamente no sistema.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Forward-fix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Correção posterior controlada que preserva compatibilidade e histórico.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Legal hold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Suspensão de descarte por obrigação legal, investigação ou auditoria.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F6368"/>
        <w:sz w:val="16"/>
      </w:rPr>
      <w:t xml:space="preserve">CONFIDENCIAL — uso interno autorizado   •   Página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F6368"/>
        <w:sz w:val="17"/>
      </w:rPr>
      <w:t>API MANAGEMENT TAX</w:t>
    </w:r>
    <w:r>
      <w:rPr>
        <w:rFonts w:ascii="Calibri" w:hAnsi="Calibri"/>
        <w:color w:val="5F6368"/>
        <w:sz w:val="17"/>
      </w:rPr>
      <w:t xml:space="preserve">   |   ESPECIFICAÇÃO DE SEGURANÇA E GOVERNANÇA   | 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ocumentProtection w:edit="readOnly" w:enforcement="1" w:formatting="0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ntrolID">
    <w:name w:val="Control ID"/>
    <w:rPr>
      <w:rFonts w:ascii="Consolas" w:hAnsi="Consolas"/>
      <w:b/>
      <w:color w:val="17365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Segurança, Governança e Auditabilidade — API Management Tax</dc:title>
  <dc:subject>Fundação de Confiança e Portões de Produção</dc:subject>
  <dc:creator/>
  <cp:keywords>segurança; governança; auditoria; migrações; regras versionadas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