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A94" w:rsidRPr="00A71511" w:rsidRDefault="00320A94">
      <w:pPr>
        <w:rPr>
          <w:lang w:val="pt-BR"/>
        </w:rPr>
      </w:pPr>
    </w:p>
    <w:p w:rsidR="00320A94" w:rsidRDefault="005B514A">
      <w:r>
        <w:rPr>
          <w:rFonts w:ascii="Arial" w:hAnsi="Arial"/>
          <w:b/>
          <w:color w:val="1E3F66"/>
          <w:sz w:val="50"/>
        </w:rPr>
        <w:t>Relat</w:t>
      </w:r>
      <w:r w:rsidR="00A71511">
        <w:rPr>
          <w:rFonts w:ascii="Arial" w:hAnsi="Arial"/>
          <w:b/>
          <w:color w:val="1E3F66"/>
          <w:sz w:val="50"/>
        </w:rPr>
        <w:t>ó</w:t>
      </w:r>
      <w:r>
        <w:rPr>
          <w:rFonts w:ascii="Arial" w:hAnsi="Arial"/>
          <w:b/>
          <w:color w:val="1E3F66"/>
          <w:sz w:val="50"/>
        </w:rPr>
        <w:t>rio Executivo do Sistema de Equalizac</w:t>
      </w:r>
      <w:r w:rsidR="00A71511">
        <w:rPr>
          <w:rFonts w:ascii="Arial" w:hAnsi="Arial"/>
          <w:b/>
          <w:color w:val="1E3F66"/>
          <w:sz w:val="50"/>
        </w:rPr>
        <w:t>ão</w:t>
      </w:r>
    </w:p>
    <w:p w:rsidR="00320A94" w:rsidRDefault="005B514A">
      <w:r>
        <w:rPr>
          <w:rFonts w:ascii="Arial" w:hAnsi="Arial"/>
          <w:color w:val="6B7280"/>
          <w:sz w:val="23"/>
        </w:rPr>
        <w:t>Quantidade de processos e carga de trabalho por magistrado | P</w:t>
      </w:r>
      <w:r w:rsidR="00A71511">
        <w:rPr>
          <w:rFonts w:ascii="Arial" w:hAnsi="Arial"/>
          <w:color w:val="6B7280"/>
          <w:sz w:val="23"/>
        </w:rPr>
        <w:t>ú</w:t>
      </w:r>
      <w:r>
        <w:rPr>
          <w:rFonts w:ascii="Arial" w:hAnsi="Arial"/>
          <w:color w:val="6B7280"/>
          <w:sz w:val="23"/>
        </w:rPr>
        <w:t>blico externo</w:t>
      </w:r>
    </w:p>
    <w:p w:rsidR="00320A94" w:rsidRDefault="005B514A">
      <w:r>
        <w:rPr>
          <w:rFonts w:ascii="Arial" w:hAnsi="Arial"/>
          <w:b/>
          <w:color w:val="2F8492"/>
        </w:rPr>
        <w:t>Período analisado: 1º/07/2026 a 03/08/2026</w:t>
      </w:r>
    </w:p>
    <w:p w:rsidR="00320A94" w:rsidRDefault="00320A94"/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320A94">
        <w:trPr>
          <w:jc w:val="center"/>
        </w:trPr>
        <w:tc>
          <w:tcPr>
            <w:tcW w:w="2074" w:type="dxa"/>
            <w:shd w:val="clear" w:color="auto" w:fill="4F81BD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11.785</w:t>
            </w:r>
            <w:r>
              <w:rPr>
                <w:rFonts w:ascii="Arial" w:hAnsi="Arial"/>
                <w:b/>
                <w:color w:val="FFFFFF"/>
                <w:sz w:val="32"/>
              </w:rPr>
              <w:br/>
            </w:r>
            <w:r>
              <w:rPr>
                <w:rFonts w:ascii="Arial" w:hAnsi="Arial"/>
                <w:color w:val="FFFFFF"/>
                <w:sz w:val="16"/>
              </w:rPr>
              <w:t>casos novos</w:t>
            </w:r>
          </w:p>
        </w:tc>
        <w:tc>
          <w:tcPr>
            <w:tcW w:w="2074" w:type="dxa"/>
            <w:shd w:val="clear" w:color="auto" w:fill="4F81BD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946</w:t>
            </w:r>
            <w:r>
              <w:rPr>
                <w:rFonts w:ascii="Arial" w:hAnsi="Arial"/>
                <w:b/>
                <w:color w:val="FFFFFF"/>
                <w:sz w:val="32"/>
              </w:rPr>
              <w:br/>
            </w:r>
            <w:r>
              <w:rPr>
                <w:rFonts w:ascii="Arial" w:hAnsi="Arial"/>
                <w:color w:val="FFFFFF"/>
                <w:sz w:val="16"/>
              </w:rPr>
              <w:t>processos equalizados</w:t>
            </w:r>
          </w:p>
        </w:tc>
        <w:tc>
          <w:tcPr>
            <w:tcW w:w="2074" w:type="dxa"/>
            <w:shd w:val="clear" w:color="auto" w:fill="4F81BD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8,0%</w:t>
            </w:r>
            <w:r>
              <w:rPr>
                <w:rFonts w:ascii="Arial" w:hAnsi="Arial"/>
                <w:b/>
                <w:color w:val="FFFFFF"/>
                <w:sz w:val="32"/>
              </w:rPr>
              <w:br/>
            </w:r>
            <w:r>
              <w:rPr>
                <w:rFonts w:ascii="Arial" w:hAnsi="Arial"/>
                <w:color w:val="FFFFFF"/>
                <w:sz w:val="16"/>
              </w:rPr>
              <w:t>dos casos novos</w:t>
            </w:r>
          </w:p>
        </w:tc>
        <w:tc>
          <w:tcPr>
            <w:tcW w:w="2074" w:type="dxa"/>
            <w:shd w:val="clear" w:color="auto" w:fill="45818E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29,5%</w:t>
            </w:r>
            <w:r>
              <w:rPr>
                <w:rFonts w:ascii="Arial" w:hAnsi="Arial"/>
                <w:b/>
                <w:color w:val="FFFFFF"/>
                <w:sz w:val="24"/>
              </w:rPr>
              <w:br/>
            </w:r>
            <w:r>
              <w:rPr>
                <w:rFonts w:ascii="Arial" w:hAnsi="Arial"/>
                <w:color w:val="FFFFFF"/>
                <w:sz w:val="14"/>
              </w:rPr>
              <w:t xml:space="preserve">redução </w:t>
            </w:r>
            <w:r>
              <w:rPr>
                <w:rFonts w:ascii="Arial" w:hAnsi="Arial"/>
                <w:color w:val="FFFFFF"/>
                <w:sz w:val="14"/>
              </w:rPr>
              <w:t>relativa do CV</w:t>
            </w:r>
            <w:r>
              <w:rPr>
                <w:rFonts w:ascii="Arial" w:hAnsi="Arial"/>
                <w:color w:val="FFFFFF"/>
                <w:sz w:val="14"/>
              </w:rPr>
              <w:br/>
              <w:t>por unidade</w:t>
            </w:r>
          </w:p>
        </w:tc>
        <w:tc>
          <w:tcPr>
            <w:tcW w:w="2074" w:type="dxa"/>
            <w:shd w:val="clear" w:color="auto" w:fill="45818E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51,6%</w:t>
            </w:r>
            <w:r>
              <w:rPr>
                <w:rFonts w:ascii="Arial" w:hAnsi="Arial"/>
                <w:b/>
                <w:color w:val="FFFFFF"/>
                <w:sz w:val="24"/>
              </w:rPr>
              <w:br/>
            </w:r>
            <w:r>
              <w:rPr>
                <w:rFonts w:ascii="Arial" w:hAnsi="Arial"/>
                <w:color w:val="FFFFFF"/>
                <w:sz w:val="14"/>
              </w:rPr>
              <w:t>redução relativa do CV</w:t>
            </w:r>
            <w:r>
              <w:rPr>
                <w:rFonts w:ascii="Arial" w:hAnsi="Arial"/>
                <w:color w:val="FFFFFF"/>
                <w:sz w:val="14"/>
              </w:rPr>
              <w:br/>
              <w:t>por magistrado</w:t>
            </w:r>
          </w:p>
        </w:tc>
      </w:tr>
    </w:tbl>
    <w:p w:rsidR="00320A94" w:rsidRDefault="00320A94"/>
    <w:p w:rsidR="00320A94" w:rsidRDefault="005B514A">
      <w:r>
        <w:rPr>
          <w:rFonts w:ascii="Arial" w:hAnsi="Arial"/>
        </w:rPr>
        <w:t>Este relatório apresenta uma leitura executiva dos processos distribuídos e equalizados no período. A análise é feita em duas dimensões complementares: a quantidade de processos em ca</w:t>
      </w:r>
      <w:r>
        <w:rPr>
          <w:rFonts w:ascii="Arial" w:hAnsi="Arial"/>
        </w:rPr>
        <w:t>da unidade e a carga de trabalho medida pela quantidade de processos por magistrado.</w:t>
      </w:r>
    </w:p>
    <w:p w:rsidR="00320A94" w:rsidRDefault="005B514A">
      <w:pPr>
        <w:spacing w:before="280" w:after="120"/>
        <w:outlineLvl w:val="1"/>
      </w:pPr>
      <w:r>
        <w:rPr>
          <w:rFonts w:ascii="Arial" w:hAnsi="Arial"/>
          <w:b/>
          <w:color w:val="1E3F66"/>
          <w:sz w:val="36"/>
        </w:rPr>
        <w:t>1. Critérios de leitura</w:t>
      </w:r>
    </w:p>
    <w:p w:rsidR="00320A94" w:rsidRDefault="005B514A">
      <w:r>
        <w:rPr>
          <w:rFonts w:ascii="Arial" w:hAnsi="Arial"/>
        </w:rPr>
        <w:t>Um processo é considerado equalizado quando há movimentação de unidade cedente para unidade destinatária para fins de equalização, passando pelas u</w:t>
      </w:r>
      <w:r>
        <w:rPr>
          <w:rFonts w:ascii="Arial" w:hAnsi="Arial"/>
        </w:rPr>
        <w:t>nidades de triagem e com movimentos de redistribuição.</w:t>
      </w:r>
    </w:p>
    <w:p w:rsidR="00320A94" w:rsidRDefault="005B514A">
      <w:r>
        <w:rPr>
          <w:rFonts w:ascii="Arial" w:hAnsi="Arial"/>
        </w:rPr>
        <w:t>A principal medida para análise de eficiência do sistema é o coeficiente de variação, que mede o tamanho da desigualdade entre as unidades em comparação com o nível médio de processos ou de carga de tr</w:t>
      </w:r>
      <w:r>
        <w:rPr>
          <w:rFonts w:ascii="Arial" w:hAnsi="Arial"/>
        </w:rPr>
        <w:t>abalho. Para tanto, foi utilizada a seguinte escala:</w:t>
      </w:r>
    </w:p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320A94">
        <w:trPr>
          <w:tblHeader/>
          <w:jc w:val="center"/>
        </w:trPr>
        <w:tc>
          <w:tcPr>
            <w:tcW w:w="3402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CV</w:t>
            </w:r>
          </w:p>
        </w:tc>
        <w:tc>
          <w:tcPr>
            <w:tcW w:w="5669" w:type="dxa"/>
            <w:shd w:val="clear" w:color="auto" w:fill="285B87"/>
            <w:vAlign w:val="center"/>
          </w:tcPr>
          <w:p w:rsidR="00320A94" w:rsidRDefault="005B514A">
            <w:r>
              <w:rPr>
                <w:rFonts w:ascii="Arial" w:hAnsi="Arial"/>
                <w:b/>
                <w:color w:val="FFFFFF"/>
                <w:sz w:val="19"/>
              </w:rPr>
              <w:t>Classificação utilizada</w:t>
            </w:r>
          </w:p>
        </w:tc>
      </w:tr>
      <w:tr w:rsidR="00320A94">
        <w:trPr>
          <w:jc w:val="center"/>
        </w:trPr>
        <w:tc>
          <w:tcPr>
            <w:tcW w:w="3402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0% a 10%</w:t>
            </w:r>
          </w:p>
        </w:tc>
        <w:tc>
          <w:tcPr>
            <w:tcW w:w="5669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Distribuição bastante homogênea</w:t>
            </w:r>
          </w:p>
        </w:tc>
      </w:tr>
      <w:tr w:rsidR="00320A94">
        <w:trPr>
          <w:jc w:val="center"/>
        </w:trPr>
        <w:tc>
          <w:tcPr>
            <w:tcW w:w="3402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Acima de 10% a 20%</w:t>
            </w:r>
          </w:p>
        </w:tc>
        <w:tc>
          <w:tcPr>
            <w:tcW w:w="5669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Dispersão relativamente baixa</w:t>
            </w:r>
          </w:p>
        </w:tc>
      </w:tr>
      <w:tr w:rsidR="00320A94">
        <w:trPr>
          <w:jc w:val="center"/>
        </w:trPr>
        <w:tc>
          <w:tcPr>
            <w:tcW w:w="3402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Acima de 20% a 30%</w:t>
            </w:r>
          </w:p>
        </w:tc>
        <w:tc>
          <w:tcPr>
            <w:tcW w:w="5669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Dispersão relevante</w:t>
            </w:r>
          </w:p>
        </w:tc>
      </w:tr>
      <w:tr w:rsidR="00320A94">
        <w:trPr>
          <w:jc w:val="center"/>
        </w:trPr>
        <w:tc>
          <w:tcPr>
            <w:tcW w:w="3402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Acima de 30% a 40%</w:t>
            </w:r>
          </w:p>
        </w:tc>
        <w:tc>
          <w:tcPr>
            <w:tcW w:w="5669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Dispersão elevada</w:t>
            </w:r>
          </w:p>
        </w:tc>
      </w:tr>
      <w:tr w:rsidR="00320A94">
        <w:trPr>
          <w:jc w:val="center"/>
        </w:trPr>
        <w:tc>
          <w:tcPr>
            <w:tcW w:w="3402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Acima</w:t>
            </w:r>
            <w:r>
              <w:rPr>
                <w:rFonts w:ascii="Arial" w:hAnsi="Arial"/>
                <w:sz w:val="19"/>
              </w:rPr>
              <w:t xml:space="preserve"> de 40%</w:t>
            </w:r>
          </w:p>
        </w:tc>
        <w:tc>
          <w:tcPr>
            <w:tcW w:w="5669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Dispersão muito elevada</w:t>
            </w:r>
          </w:p>
        </w:tc>
      </w:tr>
    </w:tbl>
    <w:p w:rsidR="00320A94" w:rsidRDefault="00320A94"/>
    <w:p w:rsidR="00320A94" w:rsidRDefault="005B514A">
      <w:r>
        <w:rPr>
          <w:rFonts w:ascii="Arial" w:hAnsi="Arial"/>
        </w:rPr>
        <w:t>Além disso, as medidas são apresentadas em duas dimensões, comparando, quando possível, o cenário “com equalização” e “sem equalização”:</w:t>
      </w:r>
    </w:p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4535"/>
      </w:tblGrid>
      <w:tr w:rsidR="00320A94">
        <w:trPr>
          <w:tblHeader/>
          <w:jc w:val="center"/>
        </w:trPr>
        <w:tc>
          <w:tcPr>
            <w:tcW w:w="2551" w:type="dxa"/>
            <w:shd w:val="clear" w:color="auto" w:fill="285B87"/>
            <w:vAlign w:val="center"/>
          </w:tcPr>
          <w:p w:rsidR="00320A94" w:rsidRDefault="005B514A">
            <w:r>
              <w:rPr>
                <w:rFonts w:ascii="Arial" w:hAnsi="Arial"/>
                <w:b/>
                <w:color w:val="FFFFFF"/>
                <w:sz w:val="19"/>
              </w:rPr>
              <w:t>Dimensão</w:t>
            </w:r>
          </w:p>
        </w:tc>
        <w:tc>
          <w:tcPr>
            <w:tcW w:w="2551" w:type="dxa"/>
            <w:shd w:val="clear" w:color="auto" w:fill="285B87"/>
            <w:vAlign w:val="center"/>
          </w:tcPr>
          <w:p w:rsidR="00320A94" w:rsidRDefault="005B514A">
            <w:r>
              <w:rPr>
                <w:rFonts w:ascii="Arial" w:hAnsi="Arial"/>
                <w:b/>
                <w:color w:val="FFFFFF"/>
                <w:sz w:val="19"/>
              </w:rPr>
              <w:t>Medida principal</w:t>
            </w:r>
          </w:p>
        </w:tc>
        <w:tc>
          <w:tcPr>
            <w:tcW w:w="4535" w:type="dxa"/>
            <w:shd w:val="clear" w:color="auto" w:fill="285B87"/>
            <w:vAlign w:val="center"/>
          </w:tcPr>
          <w:p w:rsidR="00320A94" w:rsidRDefault="005B514A">
            <w:r>
              <w:rPr>
                <w:rFonts w:ascii="Arial" w:hAnsi="Arial"/>
                <w:b/>
                <w:color w:val="FFFFFF"/>
                <w:sz w:val="19"/>
              </w:rPr>
              <w:t>Leitura</w:t>
            </w:r>
          </w:p>
        </w:tc>
      </w:tr>
      <w:tr w:rsidR="00320A94">
        <w:trPr>
          <w:jc w:val="center"/>
        </w:trPr>
        <w:tc>
          <w:tcPr>
            <w:tcW w:w="2551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lastRenderedPageBreak/>
              <w:t>Quantidade por unidade</w:t>
            </w:r>
          </w:p>
        </w:tc>
        <w:tc>
          <w:tcPr>
            <w:tcW w:w="2551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Número de processos</w:t>
            </w:r>
          </w:p>
        </w:tc>
        <w:tc>
          <w:tcPr>
            <w:tcW w:w="45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Compara</w:t>
            </w:r>
            <w:r>
              <w:rPr>
                <w:rFonts w:ascii="Arial" w:hAnsi="Arial"/>
                <w:sz w:val="19"/>
              </w:rPr>
              <w:t xml:space="preserve"> quanto cada unidade concentra em relação à média das unidades.</w:t>
            </w:r>
          </w:p>
        </w:tc>
      </w:tr>
      <w:tr w:rsidR="00320A94">
        <w:trPr>
          <w:jc w:val="center"/>
        </w:trPr>
        <w:tc>
          <w:tcPr>
            <w:tcW w:w="2551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Carga de trabalho</w:t>
            </w:r>
          </w:p>
        </w:tc>
        <w:tc>
          <w:tcPr>
            <w:tcW w:w="2551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Processos por magistrado</w:t>
            </w:r>
          </w:p>
        </w:tc>
        <w:tc>
          <w:tcPr>
            <w:tcW w:w="45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Divide a quantidade da unidade pelo número de magistrados e compara com a média ponderada do sistema.</w:t>
            </w:r>
          </w:p>
        </w:tc>
      </w:tr>
    </w:tbl>
    <w:p w:rsidR="00320A94" w:rsidRDefault="00320A94"/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370"/>
      </w:tblGrid>
      <w:tr w:rsidR="00320A94">
        <w:trPr>
          <w:jc w:val="center"/>
        </w:trPr>
        <w:tc>
          <w:tcPr>
            <w:tcW w:w="10370" w:type="dxa"/>
            <w:shd w:val="clear" w:color="auto" w:fill="F3F6F8"/>
            <w:vAlign w:val="center"/>
          </w:tcPr>
          <w:p w:rsidR="00320A94" w:rsidRDefault="005B514A">
            <w:r>
              <w:rPr>
                <w:rFonts w:ascii="Arial" w:hAnsi="Arial"/>
                <w:b/>
                <w:color w:val="1E3F66"/>
                <w:sz w:val="18"/>
              </w:rPr>
              <w:t xml:space="preserve">Nota: </w:t>
            </w:r>
            <w:r>
              <w:rPr>
                <w:rFonts w:ascii="Arial" w:hAnsi="Arial"/>
                <w:color w:val="1E3F66"/>
                <w:sz w:val="18"/>
              </w:rPr>
              <w:t>os cenários “sem equalização” são proj</w:t>
            </w:r>
            <w:r>
              <w:rPr>
                <w:rFonts w:ascii="Arial" w:hAnsi="Arial"/>
                <w:color w:val="1E3F66"/>
                <w:sz w:val="18"/>
              </w:rPr>
              <w:t>eções que representam como seria a situação das unidades em termos de volume de processos e de carga de trabalho dos magistrados caso o sistema de equalização não tivesse sido implantado no período.</w:t>
            </w:r>
          </w:p>
        </w:tc>
      </w:tr>
    </w:tbl>
    <w:p w:rsidR="00320A94" w:rsidRDefault="00320A94"/>
    <w:p w:rsidR="00320A94" w:rsidRDefault="005B514A">
      <w:pPr>
        <w:spacing w:before="280" w:after="120"/>
        <w:outlineLvl w:val="1"/>
      </w:pPr>
      <w:r>
        <w:rPr>
          <w:rFonts w:ascii="Arial" w:hAnsi="Arial"/>
          <w:b/>
          <w:color w:val="1E3F66"/>
          <w:sz w:val="36"/>
        </w:rPr>
        <w:t>2. Resultado geral do período</w:t>
      </w:r>
    </w:p>
    <w:p w:rsidR="00320A94" w:rsidRDefault="005B514A">
      <w:r>
        <w:rPr>
          <w:rFonts w:ascii="Arial" w:hAnsi="Arial"/>
        </w:rPr>
        <w:t xml:space="preserve">Ingressaram no período </w:t>
      </w:r>
      <w:r>
        <w:rPr>
          <w:rFonts w:ascii="Arial" w:hAnsi="Arial"/>
        </w:rPr>
        <w:t>11.785 casos novos. Destes, 946 processos foram protocolados em unidades cedentes e foram equalizados, o que eq</w:t>
      </w:r>
      <w:bookmarkStart w:id="0" w:name="_GoBack"/>
      <w:bookmarkEnd w:id="0"/>
      <w:r>
        <w:rPr>
          <w:rFonts w:ascii="Arial" w:hAnsi="Arial"/>
        </w:rPr>
        <w:t>uivale a 8,0%.</w:t>
      </w:r>
    </w:p>
    <w:p w:rsidR="00320A94" w:rsidRDefault="005B514A">
      <w:r>
        <w:rPr>
          <w:rFonts w:ascii="Arial" w:hAnsi="Arial"/>
        </w:rPr>
        <w:t>As análises comparativas consideram 11.888 processos movimentados em 60 unidades e 101 magistrados(as) com lotação efetiva nas uni</w:t>
      </w:r>
      <w:r>
        <w:rPr>
          <w:rFonts w:ascii="Arial" w:hAnsi="Arial"/>
        </w:rPr>
        <w:t>dades judiciárias de primeiro grau, conforme o Provimento CR nº 03/2026.</w:t>
      </w:r>
    </w:p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370"/>
      </w:tblGrid>
      <w:tr w:rsidR="00320A94">
        <w:trPr>
          <w:jc w:val="center"/>
        </w:trPr>
        <w:tc>
          <w:tcPr>
            <w:tcW w:w="10370" w:type="dxa"/>
            <w:shd w:val="clear" w:color="auto" w:fill="F3F6F8"/>
            <w:vAlign w:val="center"/>
          </w:tcPr>
          <w:p w:rsidR="00320A94" w:rsidRDefault="005B514A">
            <w:r>
              <w:rPr>
                <w:rFonts w:ascii="Arial" w:hAnsi="Arial"/>
                <w:b/>
                <w:color w:val="1E3F66"/>
                <w:sz w:val="18"/>
              </w:rPr>
              <w:t xml:space="preserve">Nota: </w:t>
            </w:r>
            <w:r>
              <w:rPr>
                <w:rFonts w:ascii="Arial" w:hAnsi="Arial"/>
                <w:color w:val="1E3F66"/>
                <w:sz w:val="18"/>
              </w:rPr>
              <w:t>a diferença entre o número de casos novos (11.785) e a quantidade de processos movimentados (11.888) decorre de situações transitórias, inerentes ao processo de implantação do S</w:t>
            </w:r>
            <w:r>
              <w:rPr>
                <w:rFonts w:ascii="Arial" w:hAnsi="Arial"/>
                <w:color w:val="1E3F66"/>
                <w:sz w:val="18"/>
              </w:rPr>
              <w:t>istema de Equalização, em que ocorreram redistribuições de processos ingressados antes do período analisado, mas que influenciam os quantitativos utilizados nas análises comparativas.</w:t>
            </w:r>
          </w:p>
        </w:tc>
      </w:tr>
    </w:tbl>
    <w:p w:rsidR="00320A94" w:rsidRDefault="00320A94"/>
    <w:p w:rsidR="00320A94" w:rsidRDefault="005B514A">
      <w:r>
        <w:br w:type="page"/>
      </w:r>
    </w:p>
    <w:p w:rsidR="00320A94" w:rsidRDefault="005B514A">
      <w:pPr>
        <w:spacing w:before="280" w:after="120"/>
        <w:outlineLvl w:val="1"/>
      </w:pPr>
      <w:r>
        <w:rPr>
          <w:rFonts w:ascii="Arial" w:hAnsi="Arial"/>
          <w:b/>
          <w:color w:val="1E3F66"/>
          <w:sz w:val="36"/>
        </w:rPr>
        <w:lastRenderedPageBreak/>
        <w:t>3. Dimensão 1 — quantidade de processos por unidade</w:t>
      </w:r>
    </w:p>
    <w:p w:rsidR="00320A94" w:rsidRDefault="005B514A">
      <w:r>
        <w:rPr>
          <w:rFonts w:ascii="Arial" w:hAnsi="Arial"/>
        </w:rPr>
        <w:t>A média geral do</w:t>
      </w:r>
      <w:r>
        <w:rPr>
          <w:rFonts w:ascii="Arial" w:hAnsi="Arial"/>
        </w:rPr>
        <w:t xml:space="preserve"> estado no período foi de 198,13 processos por unidade nos dois cenários, “sem equalização” e “com equalização”. Como o total não muda, por se tratar do volume estadual de processos, o principal indicador de comparação utilizado é o coeficiente de variação</w:t>
      </w:r>
      <w:r>
        <w:rPr>
          <w:rFonts w:ascii="Arial" w:hAnsi="Arial"/>
        </w:rPr>
        <w:t>, que expressa a dispersão relativa das quantidades entre as unidades.</w:t>
      </w:r>
    </w:p>
    <w:p w:rsidR="00320A94" w:rsidRDefault="005B514A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760000" cy="3305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94" w:rsidRDefault="005B514A">
      <w:r>
        <w:rPr>
          <w:rFonts w:ascii="Arial" w:hAnsi="Arial"/>
          <w:i/>
          <w:color w:val="6B7280"/>
          <w:sz w:val="19"/>
        </w:rPr>
        <w:t>Figura 1. Coeficiente de variação da quantidade de processos nos cenários sem e com equalização.</w:t>
      </w:r>
    </w:p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3118"/>
      </w:tblGrid>
      <w:tr w:rsidR="00320A94">
        <w:trPr>
          <w:tblHeader/>
          <w:jc w:val="center"/>
        </w:trPr>
        <w:tc>
          <w:tcPr>
            <w:tcW w:w="2835" w:type="dxa"/>
            <w:shd w:val="clear" w:color="auto" w:fill="285B87"/>
            <w:vAlign w:val="center"/>
          </w:tcPr>
          <w:p w:rsidR="00320A94" w:rsidRDefault="005B514A">
            <w:r>
              <w:rPr>
                <w:rFonts w:ascii="Arial" w:hAnsi="Arial"/>
                <w:b/>
                <w:color w:val="FFFFFF"/>
                <w:sz w:val="19"/>
              </w:rPr>
              <w:t>Medida</w:t>
            </w:r>
          </w:p>
        </w:tc>
        <w:tc>
          <w:tcPr>
            <w:tcW w:w="2268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Sem equalização</w:t>
            </w:r>
          </w:p>
        </w:tc>
        <w:tc>
          <w:tcPr>
            <w:tcW w:w="2268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 equalização</w:t>
            </w:r>
          </w:p>
        </w:tc>
        <w:tc>
          <w:tcPr>
            <w:tcW w:w="3118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Variação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Média por unidade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198,13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198,13</w:t>
            </w:r>
          </w:p>
        </w:tc>
        <w:tc>
          <w:tcPr>
            <w:tcW w:w="311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 xml:space="preserve">sem </w:t>
            </w:r>
            <w:r>
              <w:rPr>
                <w:rFonts w:ascii="Arial" w:hAnsi="Arial"/>
                <w:sz w:val="19"/>
              </w:rPr>
              <w:t>alteração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Desvio-padrão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70,26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49,52</w:t>
            </w:r>
          </w:p>
        </w:tc>
        <w:tc>
          <w:tcPr>
            <w:tcW w:w="311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-29,5%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Coeficiente de variação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35,46%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24,99%</w:t>
            </w:r>
          </w:p>
        </w:tc>
        <w:tc>
          <w:tcPr>
            <w:tcW w:w="311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-10,47 p.p. (-29,5%)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Faixa do coeficiente de variação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Dispersão elevada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Dispersão relevante</w:t>
            </w:r>
          </w:p>
        </w:tc>
        <w:tc>
          <w:tcPr>
            <w:tcW w:w="311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melhora de faixa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Menor e maior quantidade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75 a 433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107 a 312</w:t>
            </w:r>
          </w:p>
        </w:tc>
        <w:tc>
          <w:tcPr>
            <w:tcW w:w="311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intervalo menor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Amplitude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358,00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205,00</w:t>
            </w:r>
          </w:p>
        </w:tc>
        <w:tc>
          <w:tcPr>
            <w:tcW w:w="311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-42,7%</w:t>
            </w:r>
          </w:p>
        </w:tc>
      </w:tr>
    </w:tbl>
    <w:p w:rsidR="00320A94" w:rsidRDefault="00320A94"/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370"/>
      </w:tblGrid>
      <w:tr w:rsidR="00320A94">
        <w:trPr>
          <w:jc w:val="center"/>
        </w:trPr>
        <w:tc>
          <w:tcPr>
            <w:tcW w:w="10370" w:type="dxa"/>
            <w:shd w:val="clear" w:color="auto" w:fill="F3F6F8"/>
            <w:vAlign w:val="center"/>
          </w:tcPr>
          <w:p w:rsidR="00320A94" w:rsidRDefault="005B514A">
            <w:r>
              <w:rPr>
                <w:rFonts w:ascii="Arial" w:hAnsi="Arial"/>
                <w:b/>
                <w:color w:val="1E3F66"/>
                <w:sz w:val="18"/>
              </w:rPr>
              <w:t xml:space="preserve">Indicador principal na dimensão quantitativa: coeficiente de variação. </w:t>
            </w:r>
            <w:r>
              <w:rPr>
                <w:rFonts w:ascii="Arial" w:hAnsi="Arial"/>
                <w:color w:val="1E3F66"/>
                <w:sz w:val="18"/>
              </w:rPr>
              <w:t>O coeficiente de variação caiu de 35,46% para 24,99%, redução de 10,47 pontos percentuais ou 29,5% em termos relativos. Pela faixa de leitura adotada, a</w:t>
            </w:r>
            <w:r>
              <w:rPr>
                <w:rFonts w:ascii="Arial" w:hAnsi="Arial"/>
                <w:color w:val="1E3F66"/>
                <w:sz w:val="18"/>
              </w:rPr>
              <w:t xml:space="preserve"> distribuição passou de dispersão elevada para dispersão relevante. O desvio-padrão também caiu 29,5%, e a amplitude entre a menor e a maior unidade caiu 42,7%.</w:t>
            </w:r>
          </w:p>
        </w:tc>
      </w:tr>
    </w:tbl>
    <w:p w:rsidR="00320A94" w:rsidRDefault="00320A94"/>
    <w:p w:rsidR="00320A94" w:rsidRDefault="005B514A">
      <w:pPr>
        <w:spacing w:before="280" w:after="120"/>
        <w:outlineLvl w:val="1"/>
      </w:pPr>
      <w:r>
        <w:rPr>
          <w:rFonts w:ascii="Arial" w:hAnsi="Arial"/>
          <w:b/>
          <w:color w:val="1E3F66"/>
          <w:sz w:val="36"/>
        </w:rPr>
        <w:lastRenderedPageBreak/>
        <w:t>4. Dimensão 2 — carga de trabalho por magistrado</w:t>
      </w:r>
    </w:p>
    <w:p w:rsidR="00320A94" w:rsidRDefault="005B514A">
      <w:r>
        <w:rPr>
          <w:rFonts w:ascii="Arial" w:hAnsi="Arial"/>
        </w:rPr>
        <w:t xml:space="preserve">A carga de trabalho é calculada dividindo </w:t>
      </w:r>
      <w:r>
        <w:rPr>
          <w:rFonts w:ascii="Arial" w:hAnsi="Arial"/>
        </w:rPr>
        <w:t>a quantidade de processos de cada unidade pelo número de magistrados lotados, conforme estabelecido no Provimento CR nº 03/2026. A média ponderada do sistema é de 117,70 processos por magistrado. Essa média permanece igual nos dois cenários, mas o coeficie</w:t>
      </w:r>
      <w:r>
        <w:rPr>
          <w:rFonts w:ascii="Arial" w:hAnsi="Arial"/>
        </w:rPr>
        <w:t>nte de variação mostra quanto as cargas das unidades se afastam proporcionalmente desse patamar.</w:t>
      </w:r>
    </w:p>
    <w:p w:rsidR="00320A94" w:rsidRDefault="005B514A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760000" cy="32281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94" w:rsidRDefault="005B514A">
      <w:r>
        <w:rPr>
          <w:rFonts w:ascii="Arial" w:hAnsi="Arial"/>
          <w:i/>
          <w:color w:val="6B7280"/>
          <w:sz w:val="19"/>
        </w:rPr>
        <w:t>Figura 2. Coeficiente de variação da carga de trabalho por magistrado nos cenários sem e com equalização.</w:t>
      </w:r>
    </w:p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3118"/>
      </w:tblGrid>
      <w:tr w:rsidR="00320A94">
        <w:trPr>
          <w:tblHeader/>
          <w:jc w:val="center"/>
        </w:trPr>
        <w:tc>
          <w:tcPr>
            <w:tcW w:w="2835" w:type="dxa"/>
            <w:shd w:val="clear" w:color="auto" w:fill="285B87"/>
            <w:vAlign w:val="center"/>
          </w:tcPr>
          <w:p w:rsidR="00320A94" w:rsidRDefault="005B514A">
            <w:r>
              <w:rPr>
                <w:rFonts w:ascii="Arial" w:hAnsi="Arial"/>
                <w:b/>
                <w:color w:val="FFFFFF"/>
                <w:sz w:val="19"/>
              </w:rPr>
              <w:t>Medida</w:t>
            </w:r>
          </w:p>
        </w:tc>
        <w:tc>
          <w:tcPr>
            <w:tcW w:w="2268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Sem equalização</w:t>
            </w:r>
          </w:p>
        </w:tc>
        <w:tc>
          <w:tcPr>
            <w:tcW w:w="2268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 equalização</w:t>
            </w:r>
          </w:p>
        </w:tc>
        <w:tc>
          <w:tcPr>
            <w:tcW w:w="3118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Variação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Média por magistrado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117,70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117,70</w:t>
            </w:r>
          </w:p>
        </w:tc>
        <w:tc>
          <w:tcPr>
            <w:tcW w:w="311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sem alteração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Desvio-padrão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51,54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24,96</w:t>
            </w:r>
          </w:p>
        </w:tc>
        <w:tc>
          <w:tcPr>
            <w:tcW w:w="311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-51,6%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Coeficiente de variação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43,79%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21,21%</w:t>
            </w:r>
          </w:p>
        </w:tc>
        <w:tc>
          <w:tcPr>
            <w:tcW w:w="311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-22,58 p.p. (-51,6%)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Faixa do coeficiente de variação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Dispersão muito elevada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Dispersão relevante</w:t>
            </w:r>
          </w:p>
        </w:tc>
        <w:tc>
          <w:tcPr>
            <w:tcW w:w="311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melhora de faixa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 xml:space="preserve">Menor e maior </w:t>
            </w:r>
            <w:r>
              <w:rPr>
                <w:rFonts w:ascii="Arial" w:hAnsi="Arial"/>
                <w:sz w:val="19"/>
              </w:rPr>
              <w:t>quantidade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48 a 315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76 a 181</w:t>
            </w:r>
          </w:p>
        </w:tc>
        <w:tc>
          <w:tcPr>
            <w:tcW w:w="311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intervalo menor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Amplitude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267,00</w:t>
            </w:r>
          </w:p>
        </w:tc>
        <w:tc>
          <w:tcPr>
            <w:tcW w:w="226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104,50</w:t>
            </w:r>
          </w:p>
        </w:tc>
        <w:tc>
          <w:tcPr>
            <w:tcW w:w="3118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-60,9%</w:t>
            </w:r>
          </w:p>
        </w:tc>
      </w:tr>
    </w:tbl>
    <w:p w:rsidR="00320A94" w:rsidRDefault="00320A94"/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370"/>
      </w:tblGrid>
      <w:tr w:rsidR="00320A94">
        <w:trPr>
          <w:jc w:val="center"/>
        </w:trPr>
        <w:tc>
          <w:tcPr>
            <w:tcW w:w="10370" w:type="dxa"/>
            <w:shd w:val="clear" w:color="auto" w:fill="F3F6F8"/>
            <w:vAlign w:val="center"/>
          </w:tcPr>
          <w:p w:rsidR="00320A94" w:rsidRDefault="005B514A">
            <w:r>
              <w:rPr>
                <w:rFonts w:ascii="Arial" w:hAnsi="Arial"/>
                <w:b/>
                <w:color w:val="1E3F66"/>
                <w:sz w:val="18"/>
              </w:rPr>
              <w:t xml:space="preserve">Indicador principal na dimensão quantitativa: coeficiente de variação. </w:t>
            </w:r>
            <w:r>
              <w:rPr>
                <w:rFonts w:ascii="Arial" w:hAnsi="Arial"/>
                <w:color w:val="1E3F66"/>
                <w:sz w:val="18"/>
              </w:rPr>
              <w:t xml:space="preserve">O coeficiente de variação caiu de 43,79% para 21,21%, redução de 22,58 pontos percentuais ou 51,6% em </w:t>
            </w:r>
            <w:r>
              <w:rPr>
                <w:rFonts w:ascii="Arial" w:hAnsi="Arial"/>
                <w:color w:val="1E3F66"/>
                <w:sz w:val="18"/>
              </w:rPr>
              <w:t>termos relativos. A classificação passou de dispersão muito elevada para dispersão relevante. O desvio-padrão caiu 51,6%, e a amplitude da carga caiu de 267,0 para 104,5 processos por magistrado, redução de 60,9%.</w:t>
            </w:r>
          </w:p>
        </w:tc>
      </w:tr>
    </w:tbl>
    <w:p w:rsidR="00320A94" w:rsidRDefault="00320A94"/>
    <w:p w:rsidR="00A71511" w:rsidRDefault="00A71511">
      <w:pPr>
        <w:spacing w:before="280" w:after="120"/>
        <w:outlineLvl w:val="1"/>
        <w:rPr>
          <w:rFonts w:ascii="Arial" w:hAnsi="Arial"/>
          <w:b/>
          <w:color w:val="1E3F66"/>
          <w:sz w:val="36"/>
        </w:rPr>
      </w:pPr>
    </w:p>
    <w:p w:rsidR="00320A94" w:rsidRDefault="005B514A">
      <w:pPr>
        <w:spacing w:before="280" w:after="120"/>
        <w:outlineLvl w:val="1"/>
      </w:pPr>
      <w:r>
        <w:rPr>
          <w:rFonts w:ascii="Arial" w:hAnsi="Arial"/>
          <w:b/>
          <w:color w:val="1E3F66"/>
          <w:sz w:val="36"/>
        </w:rPr>
        <w:t xml:space="preserve">5. Comparação entre cedentes, </w:t>
      </w:r>
      <w:r>
        <w:rPr>
          <w:rFonts w:ascii="Arial" w:hAnsi="Arial"/>
          <w:b/>
          <w:color w:val="1E3F66"/>
          <w:sz w:val="36"/>
        </w:rPr>
        <w:t>destinatárias e neutras</w:t>
      </w:r>
    </w:p>
    <w:p w:rsidR="00320A94" w:rsidRDefault="005B514A">
      <w:r>
        <w:rPr>
          <w:rFonts w:ascii="Arial" w:hAnsi="Arial"/>
        </w:rPr>
        <w:t>A comparação por grupo evidencia a mudança entre as unidades que enviaram processos, as que receberam processos e as unidades neutras. Os gráficos mostram a média de processos por unidade e a carga média por magistrado.</w:t>
      </w:r>
    </w:p>
    <w:p w:rsidR="00320A94" w:rsidRDefault="005B514A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6120000" cy="20044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94" w:rsidRDefault="005B514A">
      <w:r>
        <w:rPr>
          <w:rFonts w:ascii="Arial" w:hAnsi="Arial"/>
          <w:i/>
          <w:color w:val="6B7280"/>
          <w:sz w:val="19"/>
        </w:rPr>
        <w:t xml:space="preserve">Figura 3. </w:t>
      </w:r>
      <w:r>
        <w:rPr>
          <w:rFonts w:ascii="Arial" w:hAnsi="Arial"/>
          <w:i/>
          <w:color w:val="6B7280"/>
          <w:sz w:val="19"/>
        </w:rPr>
        <w:t>Média de processos por unidade e carga média por magistrado, por grupo.</w:t>
      </w:r>
    </w:p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640"/>
        <w:gridCol w:w="1082"/>
        <w:gridCol w:w="1076"/>
        <w:gridCol w:w="969"/>
        <w:gridCol w:w="1147"/>
        <w:gridCol w:w="1278"/>
        <w:gridCol w:w="969"/>
        <w:gridCol w:w="1147"/>
        <w:gridCol w:w="1278"/>
      </w:tblGrid>
      <w:tr w:rsidR="00320A94">
        <w:trPr>
          <w:tblHeader/>
          <w:jc w:val="center"/>
        </w:trPr>
        <w:tc>
          <w:tcPr>
            <w:tcW w:w="1152" w:type="dxa"/>
            <w:shd w:val="clear" w:color="auto" w:fill="285B87"/>
            <w:vAlign w:val="center"/>
          </w:tcPr>
          <w:p w:rsidR="00320A94" w:rsidRDefault="00320A94">
            <w:pPr>
              <w:jc w:val="center"/>
            </w:pPr>
          </w:p>
        </w:tc>
        <w:tc>
          <w:tcPr>
            <w:tcW w:w="1152" w:type="dxa"/>
            <w:shd w:val="clear" w:color="auto" w:fill="285B87"/>
            <w:vAlign w:val="center"/>
          </w:tcPr>
          <w:p w:rsidR="00320A94" w:rsidRDefault="00320A94">
            <w:pPr>
              <w:jc w:val="center"/>
            </w:pPr>
          </w:p>
        </w:tc>
        <w:tc>
          <w:tcPr>
            <w:tcW w:w="1152" w:type="dxa"/>
            <w:shd w:val="clear" w:color="auto" w:fill="285B87"/>
            <w:vAlign w:val="center"/>
          </w:tcPr>
          <w:p w:rsidR="00320A94" w:rsidRDefault="00320A94">
            <w:pPr>
              <w:jc w:val="center"/>
            </w:pPr>
          </w:p>
        </w:tc>
        <w:tc>
          <w:tcPr>
            <w:tcW w:w="3456" w:type="dxa"/>
            <w:gridSpan w:val="3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Sem equalização</w:t>
            </w:r>
          </w:p>
        </w:tc>
        <w:tc>
          <w:tcPr>
            <w:tcW w:w="3456" w:type="dxa"/>
            <w:gridSpan w:val="3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 equalização</w:t>
            </w:r>
          </w:p>
        </w:tc>
      </w:tr>
      <w:tr w:rsidR="00320A94">
        <w:trPr>
          <w:tblHeader/>
          <w:jc w:val="center"/>
        </w:trPr>
        <w:tc>
          <w:tcPr>
            <w:tcW w:w="1701" w:type="dxa"/>
            <w:shd w:val="clear" w:color="auto" w:fill="285B87"/>
            <w:vAlign w:val="center"/>
          </w:tcPr>
          <w:p w:rsidR="00320A94" w:rsidRDefault="005B514A">
            <w:r>
              <w:rPr>
                <w:rFonts w:ascii="Arial" w:hAnsi="Arial"/>
                <w:b/>
                <w:color w:val="FFFFFF"/>
                <w:sz w:val="18"/>
              </w:rPr>
              <w:t>Grupo</w:t>
            </w:r>
          </w:p>
        </w:tc>
        <w:tc>
          <w:tcPr>
            <w:tcW w:w="907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Unid.</w:t>
            </w:r>
          </w:p>
        </w:tc>
        <w:tc>
          <w:tcPr>
            <w:tcW w:w="907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Mag.</w:t>
            </w:r>
          </w:p>
        </w:tc>
        <w:tc>
          <w:tcPr>
            <w:tcW w:w="1020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Proc./unid.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Proc./mag.</w:t>
            </w:r>
          </w:p>
        </w:tc>
        <w:tc>
          <w:tcPr>
            <w:tcW w:w="1020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Proc./unid.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Proc./mag.</w:t>
            </w:r>
          </w:p>
        </w:tc>
      </w:tr>
      <w:tr w:rsidR="00320A94">
        <w:trPr>
          <w:jc w:val="center"/>
        </w:trPr>
        <w:tc>
          <w:tcPr>
            <w:tcW w:w="1701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Cedentes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4.198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262,38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167,92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3.255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203,44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130,20</w:t>
            </w:r>
          </w:p>
        </w:tc>
      </w:tr>
      <w:tr w:rsidR="00320A94">
        <w:trPr>
          <w:jc w:val="center"/>
        </w:trPr>
        <w:tc>
          <w:tcPr>
            <w:tcW w:w="1701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Neutras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45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5.067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194,88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112,60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5.068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194,92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112,62</w:t>
            </w:r>
          </w:p>
        </w:tc>
      </w:tr>
      <w:tr w:rsidR="00320A94">
        <w:trPr>
          <w:jc w:val="center"/>
        </w:trPr>
        <w:tc>
          <w:tcPr>
            <w:tcW w:w="1701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Destinatárias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2.623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145,72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84,61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3.565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198,06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115,00</w:t>
            </w:r>
          </w:p>
        </w:tc>
      </w:tr>
    </w:tbl>
    <w:p w:rsidR="00320A94" w:rsidRDefault="00320A94"/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370"/>
      </w:tblGrid>
      <w:tr w:rsidR="00320A94">
        <w:trPr>
          <w:jc w:val="center"/>
        </w:trPr>
        <w:tc>
          <w:tcPr>
            <w:tcW w:w="10370" w:type="dxa"/>
            <w:shd w:val="clear" w:color="auto" w:fill="F3F6F8"/>
            <w:vAlign w:val="center"/>
          </w:tcPr>
          <w:p w:rsidR="00320A94" w:rsidRDefault="005B514A">
            <w:r>
              <w:rPr>
                <w:rFonts w:ascii="Arial" w:hAnsi="Arial"/>
                <w:b/>
                <w:color w:val="1E3F66"/>
                <w:sz w:val="18"/>
              </w:rPr>
              <w:t xml:space="preserve">Quantidade por unidade: </w:t>
            </w:r>
            <w:r>
              <w:rPr>
                <w:rFonts w:ascii="Arial" w:hAnsi="Arial"/>
                <w:color w:val="1E3F66"/>
                <w:sz w:val="18"/>
              </w:rPr>
              <w:t>A diferença entre as médias de cedentes e destinatárias caiu de 116,65 para 5,38 processos por unidade, redução de 95,4%.</w:t>
            </w:r>
          </w:p>
        </w:tc>
      </w:tr>
    </w:tbl>
    <w:p w:rsidR="00320A94" w:rsidRDefault="00320A94"/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370"/>
      </w:tblGrid>
      <w:tr w:rsidR="00320A94">
        <w:trPr>
          <w:jc w:val="center"/>
        </w:trPr>
        <w:tc>
          <w:tcPr>
            <w:tcW w:w="10370" w:type="dxa"/>
            <w:shd w:val="clear" w:color="auto" w:fill="F3F6F8"/>
            <w:vAlign w:val="center"/>
          </w:tcPr>
          <w:p w:rsidR="00320A94" w:rsidRDefault="005B514A">
            <w:r>
              <w:rPr>
                <w:rFonts w:ascii="Arial" w:hAnsi="Arial"/>
                <w:b/>
                <w:color w:val="1E3F66"/>
                <w:sz w:val="18"/>
              </w:rPr>
              <w:t xml:space="preserve">Quantidade por magistrado: </w:t>
            </w:r>
            <w:r>
              <w:rPr>
                <w:rFonts w:ascii="Arial" w:hAnsi="Arial"/>
                <w:color w:val="1E3F66"/>
                <w:sz w:val="18"/>
              </w:rPr>
              <w:t>A diferença entre cedentes e destinatárias caiu de 83,31 para 15,20 processos por magistrado, redução de 81,8%.</w:t>
            </w:r>
          </w:p>
        </w:tc>
      </w:tr>
    </w:tbl>
    <w:p w:rsidR="00320A94" w:rsidRDefault="00320A94"/>
    <w:p w:rsidR="00320A94" w:rsidRDefault="005B514A">
      <w:r>
        <w:br w:type="page"/>
      </w:r>
    </w:p>
    <w:p w:rsidR="00320A94" w:rsidRDefault="00320A94">
      <w:pPr>
        <w:sectPr w:rsidR="00320A94">
          <w:headerReference w:type="default" r:id="rId11"/>
          <w:footerReference w:type="default" r:id="rId12"/>
          <w:pgSz w:w="12240" w:h="15840"/>
          <w:pgMar w:top="794" w:right="935" w:bottom="794" w:left="935" w:header="720" w:footer="720" w:gutter="0"/>
          <w:cols w:space="720"/>
          <w:docGrid w:linePitch="360"/>
        </w:sectPr>
      </w:pPr>
    </w:p>
    <w:p w:rsidR="00320A94" w:rsidRDefault="005B514A">
      <w:pPr>
        <w:spacing w:before="280" w:after="120"/>
        <w:outlineLvl w:val="1"/>
      </w:pPr>
      <w:r>
        <w:rPr>
          <w:rFonts w:ascii="Arial" w:hAnsi="Arial"/>
          <w:b/>
          <w:color w:val="1E3F66"/>
          <w:sz w:val="36"/>
        </w:rPr>
        <w:lastRenderedPageBreak/>
        <w:t>Anexo 1. Unidades cedentes</w:t>
      </w:r>
    </w:p>
    <w:p w:rsidR="00320A94" w:rsidRDefault="005B514A">
      <w:r>
        <w:rPr>
          <w:rFonts w:ascii="Arial" w:hAnsi="Arial"/>
        </w:rPr>
        <w:t>Fluxo do período e posição dos processos nos cenários sem e com equalização. Casos novos são atribuídos pela</w:t>
      </w:r>
      <w:r>
        <w:rPr>
          <w:rFonts w:ascii="Arial" w:hAnsi="Arial"/>
        </w:rPr>
        <w:t xml:space="preserve"> unidade de distribuição inicial.</w:t>
      </w:r>
    </w:p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2922"/>
        <w:gridCol w:w="1178"/>
        <w:gridCol w:w="1223"/>
        <w:gridCol w:w="1416"/>
        <w:gridCol w:w="1132"/>
        <w:gridCol w:w="1569"/>
        <w:gridCol w:w="1132"/>
        <w:gridCol w:w="1569"/>
        <w:gridCol w:w="1132"/>
        <w:gridCol w:w="1569"/>
      </w:tblGrid>
      <w:tr w:rsidR="00320A94">
        <w:trPr>
          <w:tblHeader/>
          <w:jc w:val="center"/>
        </w:trPr>
        <w:tc>
          <w:tcPr>
            <w:tcW w:w="1463" w:type="dxa"/>
            <w:shd w:val="clear" w:color="auto" w:fill="285B87"/>
            <w:vAlign w:val="center"/>
          </w:tcPr>
          <w:p w:rsidR="00320A94" w:rsidRDefault="00320A94">
            <w:pPr>
              <w:jc w:val="center"/>
            </w:pPr>
          </w:p>
        </w:tc>
        <w:tc>
          <w:tcPr>
            <w:tcW w:w="1463" w:type="dxa"/>
            <w:shd w:val="clear" w:color="auto" w:fill="285B87"/>
            <w:vAlign w:val="center"/>
          </w:tcPr>
          <w:p w:rsidR="00320A94" w:rsidRDefault="00320A94">
            <w:pPr>
              <w:jc w:val="center"/>
            </w:pPr>
          </w:p>
        </w:tc>
        <w:tc>
          <w:tcPr>
            <w:tcW w:w="1463" w:type="dxa"/>
            <w:shd w:val="clear" w:color="auto" w:fill="285B87"/>
            <w:vAlign w:val="center"/>
          </w:tcPr>
          <w:p w:rsidR="00320A94" w:rsidRDefault="00320A94">
            <w:pPr>
              <w:jc w:val="center"/>
            </w:pPr>
          </w:p>
        </w:tc>
        <w:tc>
          <w:tcPr>
            <w:tcW w:w="1463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Equalizados enviados</w:t>
            </w:r>
          </w:p>
        </w:tc>
        <w:tc>
          <w:tcPr>
            <w:tcW w:w="2926" w:type="dxa"/>
            <w:gridSpan w:val="2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Sem equalização</w:t>
            </w:r>
          </w:p>
        </w:tc>
        <w:tc>
          <w:tcPr>
            <w:tcW w:w="2926" w:type="dxa"/>
            <w:gridSpan w:val="2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 equalização</w:t>
            </w:r>
          </w:p>
        </w:tc>
        <w:tc>
          <w:tcPr>
            <w:tcW w:w="2926" w:type="dxa"/>
            <w:gridSpan w:val="2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Variação líquida</w:t>
            </w:r>
          </w:p>
        </w:tc>
      </w:tr>
      <w:tr w:rsidR="00320A94">
        <w:trPr>
          <w:tblHeader/>
          <w:jc w:val="center"/>
        </w:trPr>
        <w:tc>
          <w:tcPr>
            <w:tcW w:w="3685" w:type="dxa"/>
            <w:shd w:val="clear" w:color="auto" w:fill="285B87"/>
            <w:vAlign w:val="center"/>
          </w:tcPr>
          <w:p w:rsidR="00320A94" w:rsidRDefault="005B514A">
            <w:r>
              <w:rPr>
                <w:rFonts w:ascii="Arial" w:hAnsi="Arial"/>
                <w:b/>
                <w:color w:val="FFFFFF"/>
                <w:sz w:val="18"/>
              </w:rPr>
              <w:t>Unidade</w:t>
            </w:r>
          </w:p>
        </w:tc>
        <w:tc>
          <w:tcPr>
            <w:tcW w:w="907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Mag.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Casos novos</w:t>
            </w:r>
          </w:p>
        </w:tc>
        <w:tc>
          <w:tcPr>
            <w:tcW w:w="1247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Equaliz. enviados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Processos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Proc./mag.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Processos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Proc./mag.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Processos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Proc./mag.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1ª VARA DO TRABALHO DE CHAPECÓ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232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95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241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241,0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146,0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-95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-95,0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1ª VARA DO TRABALHO DE JOINVILLE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274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281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140,5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237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118,5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-44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-22,0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2ª VARA DO TRABALHO DE CHAPECÓ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191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179,0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147,0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-32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-32,0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2ª VARA DO TRABALHO DE JOINVILLE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272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276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138,0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232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116,0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-44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-22,0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 xml:space="preserve">3ª VARA </w:t>
            </w:r>
            <w:r>
              <w:rPr>
                <w:rFonts w:ascii="Arial" w:hAnsi="Arial"/>
                <w:sz w:val="18"/>
              </w:rPr>
              <w:t>DO TRABALHO DE CHAPECÓ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190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187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187,0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151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151,0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-36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-36,0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3ª VARA DO TRABALHO DE JOINVILLE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244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240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120,0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240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120,0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0,0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4ª VARA DO TRABALHO DE CHAPECÓ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215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76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225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225,0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149,0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-76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-76,0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4ª VARA DO TRABALHO DE JOINVILLE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230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230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115,0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230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115,0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0,0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5ª VARA DO TRABALHO DE JOINVILLE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279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287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143,5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233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116,5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-54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-27,0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VARA DO TRABALHO DE CONCÓRDIA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245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246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123,0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246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123,0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0,0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 xml:space="preserve">VARA DO TRABALHO DE </w:t>
            </w:r>
            <w:r>
              <w:rPr>
                <w:rFonts w:ascii="Arial" w:hAnsi="Arial"/>
                <w:sz w:val="18"/>
              </w:rPr>
              <w:lastRenderedPageBreak/>
              <w:t>IMBITUBA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176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173,0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137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137,0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-36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-36,0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lastRenderedPageBreak/>
              <w:t>VARA DO TRABALHO DE ITAPEMA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430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161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433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216,5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272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136,0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-161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-80,5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VARA DO TRABALHO DE NAVEGANTES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324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331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165,5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243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121,5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-88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-44,0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VARA DO TRABALHO DE PALHOÇA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276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279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139,5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233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116,5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-46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-23,0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VARA DO TRABALHO DE SÃO MIGUEL DO OESTE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311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136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315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315,0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181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181,0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-134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-134,0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VARA DO TRABALHO DE XANXERÊ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267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97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275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275,0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178,0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-97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-97,0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4.156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946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4.198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3.255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-943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—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b/>
                <w:sz w:val="18"/>
              </w:rPr>
              <w:t>MÉDIA POR UNIDADE / CARGA DO GRUPO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1,6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259,8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59,1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262,4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167,9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203,4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130,2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-58,9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-37,7</w:t>
            </w:r>
          </w:p>
        </w:tc>
      </w:tr>
    </w:tbl>
    <w:p w:rsidR="00320A94" w:rsidRDefault="00320A94"/>
    <w:p w:rsidR="00320A94" w:rsidRDefault="005B514A">
      <w:r>
        <w:br w:type="page"/>
      </w:r>
    </w:p>
    <w:p w:rsidR="00320A94" w:rsidRDefault="005B514A">
      <w:pPr>
        <w:spacing w:before="280" w:after="120"/>
        <w:outlineLvl w:val="1"/>
      </w:pPr>
      <w:r>
        <w:rPr>
          <w:rFonts w:ascii="Arial" w:hAnsi="Arial"/>
          <w:b/>
          <w:color w:val="1E3F66"/>
          <w:sz w:val="36"/>
        </w:rPr>
        <w:lastRenderedPageBreak/>
        <w:t>Anexo 2. Unidades destinatárias</w:t>
      </w:r>
    </w:p>
    <w:p w:rsidR="00320A94" w:rsidRDefault="005B514A">
      <w:r>
        <w:rPr>
          <w:rFonts w:ascii="Arial" w:hAnsi="Arial"/>
        </w:rPr>
        <w:t xml:space="preserve">Fluxo do período e </w:t>
      </w:r>
      <w:r>
        <w:rPr>
          <w:rFonts w:ascii="Arial" w:hAnsi="Arial"/>
        </w:rPr>
        <w:t>posição dos processos nos cenários sem e com equalização. Casos novos são atribuídos pela unidade de distribuição inicial.</w:t>
      </w:r>
    </w:p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2922"/>
        <w:gridCol w:w="1178"/>
        <w:gridCol w:w="1223"/>
        <w:gridCol w:w="1416"/>
        <w:gridCol w:w="1132"/>
        <w:gridCol w:w="1569"/>
        <w:gridCol w:w="1132"/>
        <w:gridCol w:w="1569"/>
        <w:gridCol w:w="1132"/>
        <w:gridCol w:w="1569"/>
      </w:tblGrid>
      <w:tr w:rsidR="00320A94">
        <w:trPr>
          <w:tblHeader/>
          <w:jc w:val="center"/>
        </w:trPr>
        <w:tc>
          <w:tcPr>
            <w:tcW w:w="1463" w:type="dxa"/>
            <w:shd w:val="clear" w:color="auto" w:fill="285B87"/>
            <w:vAlign w:val="center"/>
          </w:tcPr>
          <w:p w:rsidR="00320A94" w:rsidRDefault="00320A94">
            <w:pPr>
              <w:jc w:val="center"/>
            </w:pPr>
          </w:p>
        </w:tc>
        <w:tc>
          <w:tcPr>
            <w:tcW w:w="1463" w:type="dxa"/>
            <w:shd w:val="clear" w:color="auto" w:fill="285B87"/>
            <w:vAlign w:val="center"/>
          </w:tcPr>
          <w:p w:rsidR="00320A94" w:rsidRDefault="00320A94">
            <w:pPr>
              <w:jc w:val="center"/>
            </w:pPr>
          </w:p>
        </w:tc>
        <w:tc>
          <w:tcPr>
            <w:tcW w:w="1463" w:type="dxa"/>
            <w:shd w:val="clear" w:color="auto" w:fill="285B87"/>
            <w:vAlign w:val="center"/>
          </w:tcPr>
          <w:p w:rsidR="00320A94" w:rsidRDefault="00320A94">
            <w:pPr>
              <w:jc w:val="center"/>
            </w:pPr>
          </w:p>
        </w:tc>
        <w:tc>
          <w:tcPr>
            <w:tcW w:w="1463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Equalizados recebidos</w:t>
            </w:r>
          </w:p>
        </w:tc>
        <w:tc>
          <w:tcPr>
            <w:tcW w:w="2926" w:type="dxa"/>
            <w:gridSpan w:val="2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Sem equalização</w:t>
            </w:r>
          </w:p>
        </w:tc>
        <w:tc>
          <w:tcPr>
            <w:tcW w:w="2926" w:type="dxa"/>
            <w:gridSpan w:val="2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 equalização</w:t>
            </w:r>
          </w:p>
        </w:tc>
        <w:tc>
          <w:tcPr>
            <w:tcW w:w="2926" w:type="dxa"/>
            <w:gridSpan w:val="2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Variação líquida</w:t>
            </w:r>
          </w:p>
        </w:tc>
      </w:tr>
      <w:tr w:rsidR="00320A94">
        <w:trPr>
          <w:tblHeader/>
          <w:jc w:val="center"/>
        </w:trPr>
        <w:tc>
          <w:tcPr>
            <w:tcW w:w="3685" w:type="dxa"/>
            <w:shd w:val="clear" w:color="auto" w:fill="285B87"/>
            <w:vAlign w:val="center"/>
          </w:tcPr>
          <w:p w:rsidR="00320A94" w:rsidRDefault="005B514A">
            <w:r>
              <w:rPr>
                <w:rFonts w:ascii="Arial" w:hAnsi="Arial"/>
                <w:b/>
                <w:color w:val="FFFFFF"/>
                <w:sz w:val="18"/>
              </w:rPr>
              <w:t>Unidade</w:t>
            </w:r>
          </w:p>
        </w:tc>
        <w:tc>
          <w:tcPr>
            <w:tcW w:w="907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Mag.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Casos novos</w:t>
            </w:r>
          </w:p>
        </w:tc>
        <w:tc>
          <w:tcPr>
            <w:tcW w:w="1247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Equaliz. recebidos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Processos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Proc./mag.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Processos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Proc./mag.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Processos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Proc./mag.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1ª VARA DO TRABALHO DE BLUMENAU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170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85,0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221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110,5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25,5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1ª VARA DO TRABALHO DE BRUSQUE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268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273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136,5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312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156,0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19,5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1ª VARA DO TRABALHO DE LAGES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83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86,0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144,0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58,0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1ª VARA DO TRABALHO DE TUBARÃO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164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166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83,0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218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109,0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26,0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2ª VARA DO TRABALHO DE BLUMENAU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165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168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84,0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216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108,0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24,0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2ª VARA DO TRABALHO DE BRUSQUE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145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143,0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172,0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29,0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2ª VARA DO TRABALHO DE LAGES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97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96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48,0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88,5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40,5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2ª VARA DO TRABALHO DE TUBARÃO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50,0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153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76,5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26,5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3ª VARA DO TRABALHO DE BLUMENAU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189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190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95,0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220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110,0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15,0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3ª VARA DO TRABALHO DE LAGES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108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78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107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53,5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185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92,5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78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39,0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 xml:space="preserve">4ª VARA DO TRABALHO DE </w:t>
            </w:r>
            <w:r>
              <w:rPr>
                <w:rFonts w:ascii="Arial" w:hAnsi="Arial"/>
                <w:sz w:val="18"/>
              </w:rPr>
              <w:lastRenderedPageBreak/>
              <w:t>BLUMENAU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171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172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86,0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218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109,0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23,0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lastRenderedPageBreak/>
              <w:t>VARA DO TRABALHO DE ARARANGUÁ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225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225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112,5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276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138,0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25,5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VARA DO TRABALHO DE CANOINHAS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125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79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127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63,5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206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103,0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79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39,5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VARA DO TRABALHO DE CURITIBANOS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115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116,0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145,0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29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29,0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 xml:space="preserve">VARA DO TRABALHO DE </w:t>
            </w:r>
            <w:r>
              <w:rPr>
                <w:rFonts w:ascii="Arial" w:hAnsi="Arial"/>
                <w:sz w:val="18"/>
              </w:rPr>
              <w:t>FRAIBURGO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89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91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91,0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145,0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54,0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VARA DO TRABALHO DE INDAIAL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74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75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75,0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107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107,0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32,0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VARA DO TRABALHO DE MAFRA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160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66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162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81,0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227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113,5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65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32,5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VARA DO TRABALHO DE SÃO BENTO DO SUL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156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68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156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78,0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223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111,5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67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33,5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2.604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946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2.623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3.565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942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—</w:t>
            </w:r>
          </w:p>
        </w:tc>
      </w:tr>
      <w:tr w:rsidR="00320A94">
        <w:trPr>
          <w:jc w:val="center"/>
        </w:trPr>
        <w:tc>
          <w:tcPr>
            <w:tcW w:w="3685" w:type="dxa"/>
            <w:vAlign w:val="center"/>
          </w:tcPr>
          <w:p w:rsidR="00320A94" w:rsidRDefault="005B514A">
            <w:r>
              <w:rPr>
                <w:rFonts w:ascii="Arial" w:hAnsi="Arial"/>
                <w:b/>
                <w:sz w:val="18"/>
              </w:rPr>
              <w:t>MÉDIA POR UNIDADE / CARGA DO GRUPO</w:t>
            </w:r>
          </w:p>
        </w:tc>
        <w:tc>
          <w:tcPr>
            <w:tcW w:w="90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1,7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144,7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52,6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145,7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84,6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198,1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115,0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52,3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30,4</w:t>
            </w:r>
          </w:p>
        </w:tc>
      </w:tr>
    </w:tbl>
    <w:p w:rsidR="00320A94" w:rsidRDefault="00320A94"/>
    <w:p w:rsidR="00320A94" w:rsidRDefault="005B514A">
      <w:r>
        <w:br w:type="page"/>
      </w:r>
    </w:p>
    <w:p w:rsidR="00320A94" w:rsidRDefault="005B514A">
      <w:pPr>
        <w:spacing w:before="280" w:after="120"/>
        <w:outlineLvl w:val="1"/>
      </w:pPr>
      <w:r>
        <w:rPr>
          <w:rFonts w:ascii="Arial" w:hAnsi="Arial"/>
          <w:b/>
          <w:color w:val="1E3F66"/>
          <w:sz w:val="36"/>
        </w:rPr>
        <w:lastRenderedPageBreak/>
        <w:t>Anexo 3 – Resumo por Grupo de Unidade</w:t>
      </w:r>
    </w:p>
    <w:p w:rsidR="00320A94" w:rsidRDefault="005B514A">
      <w:r>
        <w:rPr>
          <w:rFonts w:ascii="Arial" w:hAnsi="Arial"/>
        </w:rPr>
        <w:t>Comparação dos cenários com e sem equalização</w:t>
      </w:r>
    </w:p>
    <w:p w:rsidR="00320A94" w:rsidRDefault="005B514A">
      <w:pPr>
        <w:spacing w:before="160" w:after="80"/>
      </w:pPr>
      <w:r>
        <w:rPr>
          <w:rFonts w:ascii="Arial" w:hAnsi="Arial"/>
          <w:b/>
          <w:color w:val="1E3F66"/>
          <w:sz w:val="26"/>
        </w:rPr>
        <w:t>Quadro 1 – Síntese das medidas por grupo</w:t>
      </w:r>
    </w:p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660"/>
        <w:gridCol w:w="1124"/>
        <w:gridCol w:w="1503"/>
        <w:gridCol w:w="997"/>
        <w:gridCol w:w="1206"/>
        <w:gridCol w:w="1777"/>
        <w:gridCol w:w="997"/>
        <w:gridCol w:w="1206"/>
        <w:gridCol w:w="1777"/>
        <w:gridCol w:w="1133"/>
        <w:gridCol w:w="1462"/>
      </w:tblGrid>
      <w:tr w:rsidR="00320A94">
        <w:trPr>
          <w:tblHeader/>
          <w:jc w:val="center"/>
        </w:trPr>
        <w:tc>
          <w:tcPr>
            <w:tcW w:w="1330" w:type="dxa"/>
            <w:shd w:val="clear" w:color="auto" w:fill="285B87"/>
            <w:vAlign w:val="center"/>
          </w:tcPr>
          <w:p w:rsidR="00320A94" w:rsidRDefault="00320A94">
            <w:pPr>
              <w:jc w:val="center"/>
            </w:pPr>
          </w:p>
        </w:tc>
        <w:tc>
          <w:tcPr>
            <w:tcW w:w="2660" w:type="dxa"/>
            <w:gridSpan w:val="2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Estrutura</w:t>
            </w:r>
          </w:p>
        </w:tc>
        <w:tc>
          <w:tcPr>
            <w:tcW w:w="3990" w:type="dxa"/>
            <w:gridSpan w:val="3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Cenário sem equalização</w:t>
            </w:r>
          </w:p>
        </w:tc>
        <w:tc>
          <w:tcPr>
            <w:tcW w:w="3990" w:type="dxa"/>
            <w:gridSpan w:val="3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Cenário com equalização</w:t>
            </w:r>
          </w:p>
        </w:tc>
        <w:tc>
          <w:tcPr>
            <w:tcW w:w="2660" w:type="dxa"/>
            <w:gridSpan w:val="2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Variação líquida</w:t>
            </w:r>
          </w:p>
        </w:tc>
      </w:tr>
      <w:tr w:rsidR="00320A94">
        <w:trPr>
          <w:tblHeader/>
          <w:jc w:val="center"/>
        </w:trPr>
        <w:tc>
          <w:tcPr>
            <w:tcW w:w="1701" w:type="dxa"/>
            <w:shd w:val="clear" w:color="auto" w:fill="285B87"/>
            <w:vAlign w:val="center"/>
          </w:tcPr>
          <w:p w:rsidR="00320A94" w:rsidRDefault="005B514A">
            <w:r>
              <w:rPr>
                <w:rFonts w:ascii="Arial" w:hAnsi="Arial"/>
                <w:b/>
                <w:color w:val="FFFFFF"/>
                <w:sz w:val="18"/>
              </w:rPr>
              <w:t>Grupo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Unidades</w:t>
            </w:r>
          </w:p>
        </w:tc>
        <w:tc>
          <w:tcPr>
            <w:tcW w:w="1247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Magistrados</w:t>
            </w:r>
          </w:p>
        </w:tc>
        <w:tc>
          <w:tcPr>
            <w:tcW w:w="1020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Média/unid.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Média/mag.</w:t>
            </w:r>
          </w:p>
        </w:tc>
        <w:tc>
          <w:tcPr>
            <w:tcW w:w="1020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Média/unid.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Média/mag.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Processos</w:t>
            </w:r>
          </w:p>
        </w:tc>
        <w:tc>
          <w:tcPr>
            <w:tcW w:w="1134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%</w:t>
            </w:r>
          </w:p>
        </w:tc>
      </w:tr>
      <w:tr w:rsidR="00320A94">
        <w:trPr>
          <w:jc w:val="center"/>
        </w:trPr>
        <w:tc>
          <w:tcPr>
            <w:tcW w:w="1701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Cedentes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4.198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262,38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167,92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3.255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203,44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130,20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-943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-22,5%</w:t>
            </w:r>
          </w:p>
        </w:tc>
      </w:tr>
      <w:tr w:rsidR="00320A94">
        <w:trPr>
          <w:jc w:val="center"/>
        </w:trPr>
        <w:tc>
          <w:tcPr>
            <w:tcW w:w="1701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Neutras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45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5.067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194,88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112,60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5.068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194,92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112,62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+0,0%</w:t>
            </w:r>
          </w:p>
        </w:tc>
      </w:tr>
      <w:tr w:rsidR="00320A94">
        <w:trPr>
          <w:jc w:val="center"/>
        </w:trPr>
        <w:tc>
          <w:tcPr>
            <w:tcW w:w="1701" w:type="dxa"/>
            <w:vAlign w:val="center"/>
          </w:tcPr>
          <w:p w:rsidR="00320A94" w:rsidRDefault="005B514A">
            <w:r>
              <w:rPr>
                <w:rFonts w:ascii="Arial" w:hAnsi="Arial"/>
                <w:sz w:val="18"/>
              </w:rPr>
              <w:t>Destinatárias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2.623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145,72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84,61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3.565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198,06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115,00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942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8"/>
              </w:rPr>
              <w:t>+35,9%</w:t>
            </w:r>
          </w:p>
        </w:tc>
      </w:tr>
      <w:tr w:rsidR="00320A94">
        <w:trPr>
          <w:jc w:val="center"/>
        </w:trPr>
        <w:tc>
          <w:tcPr>
            <w:tcW w:w="1701" w:type="dxa"/>
            <w:vAlign w:val="center"/>
          </w:tcPr>
          <w:p w:rsidR="00320A94" w:rsidRDefault="005B514A">
            <w:r>
              <w:rPr>
                <w:rFonts w:ascii="Arial" w:hAnsi="Arial"/>
                <w:b/>
                <w:sz w:val="18"/>
              </w:rPr>
              <w:t>Total do sistema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60</w:t>
            </w:r>
          </w:p>
        </w:tc>
        <w:tc>
          <w:tcPr>
            <w:tcW w:w="1247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101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11.888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198,13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117,70</w:t>
            </w:r>
          </w:p>
        </w:tc>
        <w:tc>
          <w:tcPr>
            <w:tcW w:w="1020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11.888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198,13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117,70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0,0%</w:t>
            </w:r>
          </w:p>
        </w:tc>
      </w:tr>
    </w:tbl>
    <w:p w:rsidR="00320A94" w:rsidRDefault="00320A94"/>
    <w:p w:rsidR="00320A94" w:rsidRDefault="005B514A">
      <w:pPr>
        <w:spacing w:before="160" w:after="80"/>
      </w:pPr>
      <w:r>
        <w:rPr>
          <w:rFonts w:ascii="Arial" w:hAnsi="Arial"/>
          <w:b/>
          <w:color w:val="1E3F66"/>
          <w:sz w:val="26"/>
        </w:rPr>
        <w:t>Leitura executiva por grupo</w:t>
      </w:r>
    </w:p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4875"/>
        <w:gridCol w:w="4875"/>
        <w:gridCol w:w="4875"/>
      </w:tblGrid>
      <w:tr w:rsidR="00320A94">
        <w:trPr>
          <w:jc w:val="center"/>
        </w:trPr>
        <w:tc>
          <w:tcPr>
            <w:tcW w:w="4875" w:type="dxa"/>
            <w:shd w:val="clear" w:color="auto" w:fill="F3F6F8"/>
            <w:vAlign w:val="center"/>
          </w:tcPr>
          <w:p w:rsidR="00320A94" w:rsidRDefault="005B514A">
            <w:r>
              <w:rPr>
                <w:rFonts w:ascii="Arial" w:hAnsi="Arial"/>
                <w:b/>
                <w:color w:val="1E3F66"/>
              </w:rPr>
              <w:t>CEDENTES</w:t>
            </w:r>
            <w:r>
              <w:rPr>
                <w:rFonts w:ascii="Arial" w:hAnsi="Arial"/>
                <w:b/>
                <w:color w:val="1E3F66"/>
              </w:rPr>
              <w:br/>
            </w:r>
            <w:r>
              <w:rPr>
                <w:rFonts w:ascii="Arial" w:hAnsi="Arial"/>
                <w:sz w:val="19"/>
              </w:rPr>
              <w:t>4.198 → 3.255 processos</w:t>
            </w:r>
            <w:r>
              <w:rPr>
                <w:rFonts w:ascii="Arial" w:hAnsi="Arial"/>
                <w:sz w:val="19"/>
              </w:rPr>
              <w:br/>
              <w:t xml:space="preserve">Média </w:t>
            </w:r>
            <w:r>
              <w:rPr>
                <w:rFonts w:ascii="Arial" w:hAnsi="Arial"/>
                <w:sz w:val="19"/>
              </w:rPr>
              <w:t>por unidade: 262,38 → 203,44</w:t>
            </w:r>
            <w:r>
              <w:rPr>
                <w:rFonts w:ascii="Arial" w:hAnsi="Arial"/>
                <w:sz w:val="19"/>
              </w:rPr>
              <w:br/>
              <w:t>Média por magistrado: 167,92 → 130,20</w:t>
            </w:r>
            <w:r>
              <w:rPr>
                <w:rFonts w:ascii="Arial" w:hAnsi="Arial"/>
                <w:sz w:val="19"/>
              </w:rPr>
              <w:br/>
              <w:t>Variação líquida: -943 processos (-22,5%)</w:t>
            </w:r>
          </w:p>
        </w:tc>
        <w:tc>
          <w:tcPr>
            <w:tcW w:w="4875" w:type="dxa"/>
            <w:shd w:val="clear" w:color="auto" w:fill="F3F6F8"/>
            <w:vAlign w:val="center"/>
          </w:tcPr>
          <w:p w:rsidR="00320A94" w:rsidRDefault="005B514A">
            <w:r>
              <w:rPr>
                <w:rFonts w:ascii="Arial" w:hAnsi="Arial"/>
                <w:b/>
                <w:color w:val="1E3F66"/>
              </w:rPr>
              <w:t>DESTINATÁRIAS</w:t>
            </w:r>
            <w:r>
              <w:rPr>
                <w:rFonts w:ascii="Arial" w:hAnsi="Arial"/>
                <w:b/>
                <w:color w:val="1E3F66"/>
              </w:rPr>
              <w:br/>
            </w:r>
            <w:r>
              <w:rPr>
                <w:rFonts w:ascii="Arial" w:hAnsi="Arial"/>
                <w:sz w:val="19"/>
              </w:rPr>
              <w:t>2.623 → 3.565 processos</w:t>
            </w:r>
            <w:r>
              <w:rPr>
                <w:rFonts w:ascii="Arial" w:hAnsi="Arial"/>
                <w:sz w:val="19"/>
              </w:rPr>
              <w:br/>
              <w:t>Média por unidade: 145,72 → 198,06</w:t>
            </w:r>
            <w:r>
              <w:rPr>
                <w:rFonts w:ascii="Arial" w:hAnsi="Arial"/>
                <w:sz w:val="19"/>
              </w:rPr>
              <w:br/>
              <w:t>Média por magistrado: 84,61 → 115,00</w:t>
            </w:r>
            <w:r>
              <w:rPr>
                <w:rFonts w:ascii="Arial" w:hAnsi="Arial"/>
                <w:sz w:val="19"/>
              </w:rPr>
              <w:br/>
              <w:t>Variação líquida: 942 processos (+35,</w:t>
            </w:r>
            <w:r>
              <w:rPr>
                <w:rFonts w:ascii="Arial" w:hAnsi="Arial"/>
                <w:sz w:val="19"/>
              </w:rPr>
              <w:t>9%)</w:t>
            </w:r>
          </w:p>
        </w:tc>
        <w:tc>
          <w:tcPr>
            <w:tcW w:w="4875" w:type="dxa"/>
            <w:shd w:val="clear" w:color="auto" w:fill="F3F6F8"/>
            <w:vAlign w:val="center"/>
          </w:tcPr>
          <w:p w:rsidR="00320A94" w:rsidRDefault="005B514A">
            <w:r>
              <w:rPr>
                <w:rFonts w:ascii="Arial" w:hAnsi="Arial"/>
                <w:b/>
                <w:color w:val="1E3F66"/>
              </w:rPr>
              <w:t>NEUTRAS</w:t>
            </w:r>
            <w:r>
              <w:rPr>
                <w:rFonts w:ascii="Arial" w:hAnsi="Arial"/>
                <w:b/>
                <w:color w:val="1E3F66"/>
              </w:rPr>
              <w:br/>
            </w:r>
            <w:r>
              <w:rPr>
                <w:rFonts w:ascii="Arial" w:hAnsi="Arial"/>
                <w:sz w:val="19"/>
              </w:rPr>
              <w:t>5.068 processos</w:t>
            </w:r>
            <w:r>
              <w:rPr>
                <w:rFonts w:ascii="Arial" w:hAnsi="Arial"/>
                <w:sz w:val="19"/>
              </w:rPr>
              <w:br/>
              <w:t>Média por unidade: 194,92</w:t>
            </w:r>
            <w:r>
              <w:rPr>
                <w:rFonts w:ascii="Arial" w:hAnsi="Arial"/>
                <w:sz w:val="19"/>
              </w:rPr>
              <w:br/>
              <w:t>Média por magistrado: 112,62</w:t>
            </w:r>
            <w:r>
              <w:rPr>
                <w:rFonts w:ascii="Arial" w:hAnsi="Arial"/>
                <w:sz w:val="19"/>
              </w:rPr>
              <w:br/>
              <w:t>Variação líquida: não se aplica</w:t>
            </w:r>
          </w:p>
        </w:tc>
      </w:tr>
    </w:tbl>
    <w:p w:rsidR="00320A94" w:rsidRDefault="00320A94"/>
    <w:p w:rsidR="00320A94" w:rsidRDefault="005B514A">
      <w:pPr>
        <w:spacing w:before="160" w:after="80"/>
      </w:pPr>
      <w:r>
        <w:rPr>
          <w:rFonts w:ascii="Arial" w:hAnsi="Arial"/>
          <w:b/>
          <w:color w:val="1E3F66"/>
          <w:sz w:val="26"/>
        </w:rPr>
        <w:t>Quadro 2 – Convergência das médias entre os grupos</w:t>
      </w:r>
    </w:p>
    <w:p w:rsidR="00320A94" w:rsidRDefault="005B514A">
      <w:r>
        <w:rPr>
          <w:rFonts w:ascii="Arial" w:hAnsi="Arial"/>
          <w:b/>
          <w:sz w:val="21"/>
        </w:rPr>
        <w:t>Diferença entre as médias das unidades cedentes e destinatárias</w:t>
      </w:r>
    </w:p>
    <w:tbl>
      <w:tblPr>
        <w:tblW w:w="0" w:type="auto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701"/>
        <w:gridCol w:w="1701"/>
      </w:tblGrid>
      <w:tr w:rsidR="00320A94">
        <w:trPr>
          <w:tblHeader/>
          <w:jc w:val="center"/>
        </w:trPr>
        <w:tc>
          <w:tcPr>
            <w:tcW w:w="2835" w:type="dxa"/>
            <w:shd w:val="clear" w:color="auto" w:fill="285B87"/>
            <w:vAlign w:val="center"/>
          </w:tcPr>
          <w:p w:rsidR="00320A94" w:rsidRDefault="005B514A">
            <w:r>
              <w:rPr>
                <w:rFonts w:ascii="Arial" w:hAnsi="Arial"/>
                <w:b/>
                <w:color w:val="FFFFFF"/>
                <w:sz w:val="19"/>
              </w:rPr>
              <w:t>Dimensão</w:t>
            </w:r>
          </w:p>
        </w:tc>
        <w:tc>
          <w:tcPr>
            <w:tcW w:w="1701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Sem equalização</w:t>
            </w:r>
          </w:p>
        </w:tc>
        <w:tc>
          <w:tcPr>
            <w:tcW w:w="1701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 equalização</w:t>
            </w:r>
          </w:p>
        </w:tc>
        <w:tc>
          <w:tcPr>
            <w:tcW w:w="1701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Redução absoluta</w:t>
            </w:r>
          </w:p>
        </w:tc>
        <w:tc>
          <w:tcPr>
            <w:tcW w:w="1701" w:type="dxa"/>
            <w:shd w:val="clear" w:color="auto" w:fill="285B87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Redução relativa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t>Média de processos por unidade</w:t>
            </w:r>
          </w:p>
        </w:tc>
        <w:tc>
          <w:tcPr>
            <w:tcW w:w="1701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116,65</w:t>
            </w:r>
          </w:p>
        </w:tc>
        <w:tc>
          <w:tcPr>
            <w:tcW w:w="1701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5,38</w:t>
            </w:r>
          </w:p>
        </w:tc>
        <w:tc>
          <w:tcPr>
            <w:tcW w:w="1701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111,27</w:t>
            </w:r>
          </w:p>
        </w:tc>
        <w:tc>
          <w:tcPr>
            <w:tcW w:w="1701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95,4%</w:t>
            </w:r>
          </w:p>
        </w:tc>
      </w:tr>
      <w:tr w:rsidR="00320A94">
        <w:trPr>
          <w:jc w:val="center"/>
        </w:trPr>
        <w:tc>
          <w:tcPr>
            <w:tcW w:w="2835" w:type="dxa"/>
            <w:vAlign w:val="center"/>
          </w:tcPr>
          <w:p w:rsidR="00320A94" w:rsidRDefault="005B514A">
            <w:r>
              <w:rPr>
                <w:rFonts w:ascii="Arial" w:hAnsi="Arial"/>
                <w:sz w:val="19"/>
              </w:rPr>
              <w:lastRenderedPageBreak/>
              <w:t>Média de processos por magistrado</w:t>
            </w:r>
          </w:p>
        </w:tc>
        <w:tc>
          <w:tcPr>
            <w:tcW w:w="1701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83,31</w:t>
            </w:r>
          </w:p>
        </w:tc>
        <w:tc>
          <w:tcPr>
            <w:tcW w:w="1701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15,20</w:t>
            </w:r>
          </w:p>
        </w:tc>
        <w:tc>
          <w:tcPr>
            <w:tcW w:w="1701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68,11</w:t>
            </w:r>
          </w:p>
        </w:tc>
        <w:tc>
          <w:tcPr>
            <w:tcW w:w="1701" w:type="dxa"/>
            <w:vAlign w:val="center"/>
          </w:tcPr>
          <w:p w:rsidR="00320A94" w:rsidRDefault="005B514A">
            <w:pPr>
              <w:jc w:val="center"/>
            </w:pPr>
            <w:r>
              <w:rPr>
                <w:rFonts w:ascii="Arial" w:hAnsi="Arial"/>
                <w:sz w:val="19"/>
              </w:rPr>
              <w:t>81,8%</w:t>
            </w:r>
          </w:p>
        </w:tc>
      </w:tr>
    </w:tbl>
    <w:p w:rsidR="00320A94" w:rsidRDefault="00320A94"/>
    <w:p w:rsidR="00320A94" w:rsidRDefault="005B514A">
      <w:pPr>
        <w:spacing w:before="160" w:after="80"/>
      </w:pPr>
      <w:r>
        <w:rPr>
          <w:rFonts w:ascii="Arial" w:hAnsi="Arial"/>
          <w:b/>
          <w:color w:val="1E3F66"/>
          <w:sz w:val="26"/>
        </w:rPr>
        <w:t>Síntese interpretativa</w:t>
      </w:r>
    </w:p>
    <w:p w:rsidR="00320A94" w:rsidRDefault="005B514A">
      <w:r>
        <w:rPr>
          <w:rFonts w:ascii="Arial" w:hAnsi="Arial"/>
        </w:rPr>
        <w:t xml:space="preserve">O quadro compara a distância entre as médias dos dois grupos </w:t>
      </w:r>
      <w:r>
        <w:rPr>
          <w:rFonts w:ascii="Arial" w:hAnsi="Arial"/>
        </w:rPr>
        <w:t>diretamente envolvidos no fluxo de equalização. As unidades cedentes são aquelas que redistribuem processos, enquanto as destinatárias recebem processos pelo sistema.</w:t>
      </w:r>
    </w:p>
    <w:p w:rsidR="00320A94" w:rsidRDefault="005B514A">
      <w:r>
        <w:rPr>
          <w:rFonts w:ascii="Arial" w:hAnsi="Arial"/>
        </w:rPr>
        <w:t>No cenário simulado sem equalização, a média das unidades cedentes superava a média das d</w:t>
      </w:r>
      <w:r>
        <w:rPr>
          <w:rFonts w:ascii="Arial" w:hAnsi="Arial"/>
        </w:rPr>
        <w:t>estinatárias em 116,65 processos por unidade. Após as redistribuições, essa diferença caiu para 5,38 processos, o que representa uma redução de 95,4%. O resultado indica uma forte aproximação entre os volumes médios de processos dos dois grupos.</w:t>
      </w:r>
    </w:p>
    <w:p w:rsidR="00320A94" w:rsidRDefault="005B514A">
      <w:r>
        <w:rPr>
          <w:rFonts w:ascii="Arial" w:hAnsi="Arial"/>
        </w:rPr>
        <w:t xml:space="preserve">A análise </w:t>
      </w:r>
      <w:r>
        <w:rPr>
          <w:rFonts w:ascii="Arial" w:hAnsi="Arial"/>
        </w:rPr>
        <w:t>da carga de trabalho por magistrado apresenta comportamento semelhante. Sem a equalização, a diferença entre as médias dos grupos seria de 83,31 processos por magistrado. No cenário com equalização, essa distância foi reduzida para 15,20 processos por magi</w:t>
      </w:r>
      <w:r>
        <w:rPr>
          <w:rFonts w:ascii="Arial" w:hAnsi="Arial"/>
        </w:rPr>
        <w:t>strado, correspondendo a uma redução de 81,8%.</w:t>
      </w:r>
    </w:p>
    <w:p w:rsidR="00320A94" w:rsidRDefault="005B514A">
      <w:r>
        <w:rPr>
          <w:rFonts w:ascii="Arial" w:hAnsi="Arial"/>
        </w:rPr>
        <w:t xml:space="preserve">Os resultados não significam que todas as unidades passaram a possuir exatamente a mesma quantidade de processos ou a mesma carga de trabalho. A comparação demonstra que, em termos médios, a diferença </w:t>
      </w:r>
      <w:r>
        <w:rPr>
          <w:rFonts w:ascii="Arial" w:hAnsi="Arial"/>
        </w:rPr>
        <w:t>estrutural entre unidades cedentes e destinatárias foi substancialmente reduzida. A medida por magistrado é especialmente relevante porque considera as diferenças de capacidade de trabalho entre as unidades, evitando que unidades com números distintos de m</w:t>
      </w:r>
      <w:r>
        <w:rPr>
          <w:rFonts w:ascii="Arial" w:hAnsi="Arial"/>
        </w:rPr>
        <w:t>agistrados sejam comparadas apenas pelo volume bruto de processos.</w:t>
      </w:r>
    </w:p>
    <w:p w:rsidR="00320A94" w:rsidRDefault="005B514A">
      <w:r>
        <w:rPr>
          <w:rFonts w:ascii="Arial" w:hAnsi="Arial"/>
        </w:rPr>
        <w:t>As unidades neutras não integram este quadro porque não enviam nem recebem processos pelo fluxo de equalização. Sua situação é considerada nas análises gerais de dispersão, mas não na compa</w:t>
      </w:r>
      <w:r>
        <w:rPr>
          <w:rFonts w:ascii="Arial" w:hAnsi="Arial"/>
        </w:rPr>
        <w:t>ração direta entre os dois grupos alcançados pelas redistribuições.</w:t>
      </w:r>
    </w:p>
    <w:sectPr w:rsidR="00320A94" w:rsidSect="00034616">
      <w:headerReference w:type="default" r:id="rId13"/>
      <w:footerReference w:type="default" r:id="rId14"/>
      <w:pgSz w:w="15840" w:h="12240" w:orient="landscape"/>
      <w:pgMar w:top="646" w:right="607" w:bottom="646" w:left="6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514A" w:rsidRDefault="005B514A">
      <w:pPr>
        <w:spacing w:after="0" w:line="240" w:lineRule="auto"/>
      </w:pPr>
      <w:r>
        <w:separator/>
      </w:r>
    </w:p>
  </w:endnote>
  <w:endnote w:type="continuationSeparator" w:id="0">
    <w:p w:rsidR="005B514A" w:rsidRDefault="005B5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0A94" w:rsidRDefault="005B514A">
    <w:pPr>
      <w:pStyle w:val="Rodap"/>
      <w:jc w:val="center"/>
    </w:pPr>
    <w:r>
      <w:rPr>
        <w:rFonts w:ascii="Arial" w:hAnsi="Arial"/>
        <w:color w:val="1F2937"/>
        <w:sz w:val="21"/>
      </w:rPr>
      <w:t xml:space="preserve">Relatório Executivo do Sistema de Equalização | Página </w:t>
    </w:r>
    <w:r>
      <w:fldChar w:fldCharType="begin"/>
    </w:r>
    <w:r>
      <w:instrText xml:space="preserve"> PAGE </w:instrText>
    </w:r>
    <w:r w:rsidR="00A71511">
      <w:fldChar w:fldCharType="separate"/>
    </w:r>
    <w:r w:rsidR="00A71511">
      <w:rPr>
        <w:noProof/>
      </w:rPr>
      <w:t>5</w:t>
    </w:r>
    <w:r>
      <w:fldChar w:fldCharType="end"/>
    </w:r>
    <w:r>
      <w:rPr>
        <w:rFonts w:ascii="Arial" w:hAnsi="Arial"/>
        <w:color w:val="1F2937"/>
        <w:sz w:val="21"/>
      </w:rPr>
      <w:t xml:space="preserve"> de </w:t>
    </w:r>
    <w:r>
      <w:fldChar w:fldCharType="begin"/>
    </w:r>
    <w:r>
      <w:instrText xml:space="preserve"> NUMPAGES </w:instrText>
    </w:r>
    <w:r w:rsidR="00A71511">
      <w:fldChar w:fldCharType="separate"/>
    </w:r>
    <w:r w:rsidR="00A71511">
      <w:rPr>
        <w:noProof/>
      </w:rPr>
      <w:t>11</w:t>
    </w:r>
    <w:r>
      <w:fldChar w:fldCharType="end"/>
    </w:r>
    <w:r>
      <w:rPr>
        <w:rFonts w:ascii="Arial" w:hAnsi="Arial"/>
        <w:color w:val="1F2937"/>
        <w:sz w:val="21"/>
      </w:rPr>
      <w:t xml:space="preserve"> | Gerado em 04/08/2026 14:13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0A94" w:rsidRDefault="005B514A">
    <w:pPr>
      <w:pStyle w:val="Rodap"/>
      <w:jc w:val="center"/>
    </w:pPr>
    <w:r>
      <w:rPr>
        <w:rFonts w:ascii="Arial" w:hAnsi="Arial"/>
        <w:color w:val="1F2937"/>
        <w:sz w:val="21"/>
      </w:rPr>
      <w:t xml:space="preserve">Relatório Executivo do Sistema de Equalização | Página </w:t>
    </w:r>
    <w:r>
      <w:fldChar w:fldCharType="begin"/>
    </w:r>
    <w:r>
      <w:instrText xml:space="preserve"> PAGE </w:instrText>
    </w:r>
    <w:r w:rsidR="00A71511">
      <w:fldChar w:fldCharType="separate"/>
    </w:r>
    <w:r w:rsidR="00A71511">
      <w:rPr>
        <w:noProof/>
      </w:rPr>
      <w:t>6</w:t>
    </w:r>
    <w:r>
      <w:fldChar w:fldCharType="end"/>
    </w:r>
    <w:r>
      <w:rPr>
        <w:rFonts w:ascii="Arial" w:hAnsi="Arial"/>
        <w:color w:val="1F2937"/>
        <w:sz w:val="21"/>
      </w:rPr>
      <w:t xml:space="preserve"> de </w:t>
    </w:r>
    <w:r>
      <w:fldChar w:fldCharType="begin"/>
    </w:r>
    <w:r>
      <w:instrText xml:space="preserve"> NUMPAGES </w:instrText>
    </w:r>
    <w:r w:rsidR="00A71511">
      <w:fldChar w:fldCharType="separate"/>
    </w:r>
    <w:r w:rsidR="00A71511">
      <w:rPr>
        <w:noProof/>
      </w:rPr>
      <w:t>11</w:t>
    </w:r>
    <w:r>
      <w:fldChar w:fldCharType="end"/>
    </w:r>
    <w:r>
      <w:rPr>
        <w:rFonts w:ascii="Arial" w:hAnsi="Arial"/>
        <w:color w:val="1F2937"/>
        <w:sz w:val="21"/>
      </w:rPr>
      <w:t xml:space="preserve"> | Gerado em 04/08/2026 14:13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514A" w:rsidRDefault="005B514A">
      <w:pPr>
        <w:spacing w:after="0" w:line="240" w:lineRule="auto"/>
      </w:pPr>
      <w:r>
        <w:separator/>
      </w:r>
    </w:p>
  </w:footnote>
  <w:footnote w:type="continuationSeparator" w:id="0">
    <w:p w:rsidR="005B514A" w:rsidRDefault="005B5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0A94" w:rsidRDefault="005B514A">
    <w:pPr>
      <w:pStyle w:val="Cabealho"/>
      <w:jc w:val="center"/>
    </w:pPr>
    <w:r>
      <w:rPr>
        <w:noProof/>
        <w:lang w:val="pt-BR" w:eastAsia="pt-BR"/>
      </w:rPr>
      <w:drawing>
        <wp:inline distT="0" distB="0" distL="0" distR="0">
          <wp:extent cx="1633500" cy="396000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trt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3500" cy="39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0A94" w:rsidRDefault="005B514A">
    <w:pPr>
      <w:pStyle w:val="Cabealho"/>
      <w:jc w:val="center"/>
    </w:pPr>
    <w:r>
      <w:rPr>
        <w:noProof/>
        <w:lang w:val="pt-BR" w:eastAsia="pt-BR"/>
      </w:rPr>
      <w:drawing>
        <wp:inline distT="0" distB="0" distL="0" distR="0">
          <wp:extent cx="1633500" cy="396000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trt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3500" cy="39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0A94"/>
    <w:rsid w:val="00326F90"/>
    <w:rsid w:val="005B514A"/>
    <w:rsid w:val="00A715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BD3A9E6-6D13-415A-93C1-5A0A0302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BEC488-F21C-49C8-93D3-CE1AC47CF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1963</Words>
  <Characters>10603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2</cp:revision>
  <dcterms:created xsi:type="dcterms:W3CDTF">2013-12-23T23:15:00Z</dcterms:created>
  <dcterms:modified xsi:type="dcterms:W3CDTF">2026-08-04T17:29:00Z</dcterms:modified>
  <cp:category/>
</cp:coreProperties>
</file>