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Arial" w:hAnsi="Arial"/>
          <w:b/>
          <w:color w:val="1E3F66"/>
          <w:sz w:val="50"/>
        </w:rPr>
        <w:t>Relatorio Executivo do Sistema de Equalizacao</w:t>
      </w:r>
    </w:p>
    <w:p>
      <w:r>
        <w:rPr>
          <w:rFonts w:ascii="Arial" w:hAnsi="Arial"/>
          <w:color w:val="6B7280"/>
          <w:sz w:val="23"/>
        </w:rPr>
        <w:t>Quantidade de processos e carga de trabalho por magistrado | Publico externo</w:t>
      </w:r>
    </w:p>
    <w:p>
      <w:r>
        <w:rPr>
          <w:rFonts w:ascii="Arial" w:hAnsi="Arial"/>
          <w:b/>
          <w:color w:val="2F8492"/>
          <w:sz w:val="22"/>
        </w:rPr>
        <w:t>Período analisado: 1º/07/2026 a 10/08/2026</w:t>
      </w:r>
    </w:p>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74"/>
        <w:gridCol w:w="2074"/>
        <w:gridCol w:w="2074"/>
        <w:gridCol w:w="2074"/>
        <w:gridCol w:w="2074"/>
      </w:tblGrid>
      <w:tr>
        <w:tc>
          <w:tcPr>
            <w:tcW w:type="dxa" w:w="2074"/>
            <w:vAlign w:val="center"/>
            <w:shd w:val="clear" w:fill="4F81BD"/>
          </w:tcPr>
          <w:p>
            <w:pPr>
              <w:jc w:val="center"/>
            </w:pPr>
            <w:r>
              <w:rPr>
                <w:rFonts w:ascii="Arial" w:hAnsi="Arial"/>
                <w:b/>
                <w:color w:val="FFFFFF"/>
                <w:sz w:val="32"/>
              </w:rPr>
              <w:t>14.314</w:t>
              <w:br/>
            </w:r>
            <w:r>
              <w:rPr>
                <w:rFonts w:ascii="Arial" w:hAnsi="Arial"/>
                <w:color w:val="FFFFFF"/>
                <w:sz w:val="16"/>
              </w:rPr>
              <w:t>casos novos</w:t>
            </w:r>
          </w:p>
        </w:tc>
        <w:tc>
          <w:tcPr>
            <w:tcW w:type="dxa" w:w="2074"/>
            <w:vAlign w:val="center"/>
            <w:shd w:val="clear" w:fill="4F81BD"/>
          </w:tcPr>
          <w:p>
            <w:pPr>
              <w:jc w:val="center"/>
            </w:pPr>
            <w:r>
              <w:rPr>
                <w:rFonts w:ascii="Arial" w:hAnsi="Arial"/>
                <w:b/>
                <w:color w:val="FFFFFF"/>
                <w:sz w:val="32"/>
              </w:rPr>
              <w:t>1.049</w:t>
              <w:br/>
            </w:r>
            <w:r>
              <w:rPr>
                <w:rFonts w:ascii="Arial" w:hAnsi="Arial"/>
                <w:color w:val="FFFFFF"/>
                <w:sz w:val="16"/>
              </w:rPr>
              <w:t>processos equalizados</w:t>
            </w:r>
          </w:p>
        </w:tc>
        <w:tc>
          <w:tcPr>
            <w:tcW w:type="dxa" w:w="2074"/>
            <w:vAlign w:val="center"/>
            <w:shd w:val="clear" w:fill="4F81BD"/>
          </w:tcPr>
          <w:p>
            <w:pPr>
              <w:jc w:val="center"/>
            </w:pPr>
            <w:r>
              <w:rPr>
                <w:rFonts w:ascii="Arial" w:hAnsi="Arial"/>
                <w:b/>
                <w:color w:val="FFFFFF"/>
                <w:sz w:val="32"/>
              </w:rPr>
              <w:t>7,3%</w:t>
              <w:br/>
            </w:r>
            <w:r>
              <w:rPr>
                <w:rFonts w:ascii="Arial" w:hAnsi="Arial"/>
                <w:color w:val="FFFFFF"/>
                <w:sz w:val="16"/>
              </w:rPr>
              <w:t>dos casos novos</w:t>
            </w:r>
          </w:p>
        </w:tc>
        <w:tc>
          <w:tcPr>
            <w:tcW w:type="dxa" w:w="2074"/>
            <w:vAlign w:val="center"/>
            <w:shd w:val="clear" w:fill="45818E"/>
          </w:tcPr>
          <w:p>
            <w:pPr>
              <w:jc w:val="center"/>
            </w:pPr>
            <w:r>
              <w:rPr>
                <w:rFonts w:ascii="Arial" w:hAnsi="Arial"/>
                <w:b/>
                <w:color w:val="FFFFFF"/>
                <w:sz w:val="24"/>
              </w:rPr>
              <w:t>26,5%</w:t>
              <w:br/>
            </w:r>
            <w:r>
              <w:rPr>
                <w:rFonts w:ascii="Arial" w:hAnsi="Arial"/>
                <w:color w:val="FFFFFF"/>
                <w:sz w:val="14"/>
              </w:rPr>
              <w:t>redução relativa do CV</w:t>
              <w:br/>
              <w:t>por unidade</w:t>
            </w:r>
          </w:p>
        </w:tc>
        <w:tc>
          <w:tcPr>
            <w:tcW w:type="dxa" w:w="2074"/>
            <w:vAlign w:val="center"/>
            <w:shd w:val="clear" w:fill="45818E"/>
          </w:tcPr>
          <w:p>
            <w:pPr>
              <w:jc w:val="center"/>
            </w:pPr>
            <w:r>
              <w:rPr>
                <w:rFonts w:ascii="Arial" w:hAnsi="Arial"/>
                <w:b/>
                <w:color w:val="FFFFFF"/>
                <w:sz w:val="24"/>
              </w:rPr>
              <w:t>49,1%</w:t>
              <w:br/>
            </w:r>
            <w:r>
              <w:rPr>
                <w:rFonts w:ascii="Arial" w:hAnsi="Arial"/>
                <w:color w:val="FFFFFF"/>
                <w:sz w:val="14"/>
              </w:rPr>
              <w:t>redução relativa do CV</w:t>
              <w:br/>
              <w:t>por magistrado</w:t>
            </w:r>
          </w:p>
        </w:tc>
      </w:tr>
    </w:tbl>
    <w:p/>
    <w:p>
      <w:r>
        <w:rPr>
          <w:rFonts w:ascii="Arial" w:hAnsi="Arial"/>
          <w:b w:val="0"/>
          <w:sz w:val="22"/>
        </w:rPr>
        <w:t>Este relatório apresenta uma leitura executiva dos processos distribuídos e equalizados no período. A análise é feita em duas dimensões complementares: a quantidade de processos em cada unidade e a carga de trabalho medida pela quantidade de processos por magistrado.</w:t>
      </w:r>
    </w:p>
    <w:p>
      <w:pPr>
        <w:spacing w:before="280" w:after="120"/>
        <w:outlineLvl w:val="1"/>
      </w:pPr>
      <w:r>
        <w:rPr>
          <w:rFonts w:ascii="Arial" w:hAnsi="Arial"/>
          <w:b/>
          <w:color w:val="1E3F66"/>
          <w:sz w:val="36"/>
        </w:rPr>
        <w:t>1. Critérios de leitura</w:t>
      </w:r>
    </w:p>
    <w:p>
      <w:r>
        <w:rPr>
          <w:rFonts w:ascii="Arial" w:hAnsi="Arial"/>
          <w:b w:val="0"/>
          <w:sz w:val="22"/>
        </w:rPr>
        <w:t>Um processo é considerado equalizado quando há movimentação de unidade cedente para unidade destinatária para fins de equalização, passando pelas unidades de triagem e com movimentos de redistribuição.</w:t>
      </w:r>
    </w:p>
    <w:p>
      <w:r>
        <w:rPr>
          <w:rFonts w:ascii="Arial" w:hAnsi="Arial"/>
          <w:b w:val="0"/>
          <w:sz w:val="22"/>
        </w:rPr>
        <w:t>A principal medida para análise de eficiência do sistema é o coeficiente de variação, que mede o tamanho da desigualdade entre as unidades em comparação com o nível médio de processos ou de carga de trabalho. Para tanto, foi utilizada a seguinte escala:</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185"/>
        <w:gridCol w:w="5185"/>
      </w:tblGrid>
      <w:tr>
        <w:trPr>
          <w:tblHeader w:val="true"/>
        </w:trPr>
        <w:tc>
          <w:tcPr>
            <w:tcW w:type="dxa" w:w="3402"/>
            <w:shd w:val="clear" w:fill="285B87"/>
            <w:vAlign w:val="center"/>
          </w:tcPr>
          <w:p>
            <w:pPr>
              <w:jc w:val="center"/>
            </w:pPr>
            <w:r/>
            <w:r>
              <w:rPr>
                <w:rFonts w:ascii="Arial" w:hAnsi="Arial"/>
                <w:b/>
                <w:color w:val="FFFFFF"/>
                <w:sz w:val="19"/>
              </w:rPr>
              <w:t>CV</w:t>
            </w:r>
          </w:p>
        </w:tc>
        <w:tc>
          <w:tcPr>
            <w:tcW w:type="dxa" w:w="5669"/>
            <w:shd w:val="clear" w:fill="285B87"/>
            <w:vAlign w:val="center"/>
          </w:tcPr>
          <w:p>
            <w:r/>
            <w:r>
              <w:rPr>
                <w:rFonts w:ascii="Arial" w:hAnsi="Arial"/>
                <w:b/>
                <w:color w:val="FFFFFF"/>
                <w:sz w:val="19"/>
              </w:rPr>
              <w:t>Classificação utilizada</w:t>
            </w:r>
          </w:p>
        </w:tc>
      </w:tr>
      <w:tr>
        <w:tc>
          <w:tcPr>
            <w:tcW w:type="dxa" w:w="3402"/>
            <w:vAlign w:val="center"/>
          </w:tcPr>
          <w:p>
            <w:pPr>
              <w:jc w:val="center"/>
            </w:pPr>
            <w:r/>
            <w:r>
              <w:rPr>
                <w:rFonts w:ascii="Arial" w:hAnsi="Arial"/>
                <w:b w:val="0"/>
                <w:sz w:val="19"/>
              </w:rPr>
              <w:t>0% a 10%</w:t>
            </w:r>
          </w:p>
        </w:tc>
        <w:tc>
          <w:tcPr>
            <w:tcW w:type="dxa" w:w="5669"/>
            <w:vAlign w:val="center"/>
          </w:tcPr>
          <w:p>
            <w:r/>
            <w:r>
              <w:rPr>
                <w:rFonts w:ascii="Arial" w:hAnsi="Arial"/>
                <w:b w:val="0"/>
                <w:sz w:val="19"/>
              </w:rPr>
              <w:t>Distribuição bastante homogênea</w:t>
            </w:r>
          </w:p>
        </w:tc>
      </w:tr>
      <w:tr>
        <w:tc>
          <w:tcPr>
            <w:tcW w:type="dxa" w:w="3402"/>
            <w:vAlign w:val="center"/>
          </w:tcPr>
          <w:p>
            <w:pPr>
              <w:jc w:val="center"/>
            </w:pPr>
            <w:r/>
            <w:r>
              <w:rPr>
                <w:rFonts w:ascii="Arial" w:hAnsi="Arial"/>
                <w:b w:val="0"/>
                <w:sz w:val="19"/>
              </w:rPr>
              <w:t>Acima de 10% a 20%</w:t>
            </w:r>
          </w:p>
        </w:tc>
        <w:tc>
          <w:tcPr>
            <w:tcW w:type="dxa" w:w="5669"/>
            <w:vAlign w:val="center"/>
          </w:tcPr>
          <w:p>
            <w:r/>
            <w:r>
              <w:rPr>
                <w:rFonts w:ascii="Arial" w:hAnsi="Arial"/>
                <w:b w:val="0"/>
                <w:sz w:val="19"/>
              </w:rPr>
              <w:t>Dispersão relativamente baixa</w:t>
            </w:r>
          </w:p>
        </w:tc>
      </w:tr>
      <w:tr>
        <w:tc>
          <w:tcPr>
            <w:tcW w:type="dxa" w:w="3402"/>
            <w:vAlign w:val="center"/>
          </w:tcPr>
          <w:p>
            <w:pPr>
              <w:jc w:val="center"/>
            </w:pPr>
            <w:r/>
            <w:r>
              <w:rPr>
                <w:rFonts w:ascii="Arial" w:hAnsi="Arial"/>
                <w:b w:val="0"/>
                <w:sz w:val="19"/>
              </w:rPr>
              <w:t>Acima de 20% a 30%</w:t>
            </w:r>
          </w:p>
        </w:tc>
        <w:tc>
          <w:tcPr>
            <w:tcW w:type="dxa" w:w="5669"/>
            <w:vAlign w:val="center"/>
          </w:tcPr>
          <w:p>
            <w:r/>
            <w:r>
              <w:rPr>
                <w:rFonts w:ascii="Arial" w:hAnsi="Arial"/>
                <w:b w:val="0"/>
                <w:sz w:val="19"/>
              </w:rPr>
              <w:t>Dispersão relevante</w:t>
            </w:r>
          </w:p>
        </w:tc>
      </w:tr>
      <w:tr>
        <w:tc>
          <w:tcPr>
            <w:tcW w:type="dxa" w:w="3402"/>
            <w:vAlign w:val="center"/>
          </w:tcPr>
          <w:p>
            <w:pPr>
              <w:jc w:val="center"/>
            </w:pPr>
            <w:r/>
            <w:r>
              <w:rPr>
                <w:rFonts w:ascii="Arial" w:hAnsi="Arial"/>
                <w:b w:val="0"/>
                <w:sz w:val="19"/>
              </w:rPr>
              <w:t>Acima de 30% a 40%</w:t>
            </w:r>
          </w:p>
        </w:tc>
        <w:tc>
          <w:tcPr>
            <w:tcW w:type="dxa" w:w="5669"/>
            <w:vAlign w:val="center"/>
          </w:tcPr>
          <w:p>
            <w:r/>
            <w:r>
              <w:rPr>
                <w:rFonts w:ascii="Arial" w:hAnsi="Arial"/>
                <w:b w:val="0"/>
                <w:sz w:val="19"/>
              </w:rPr>
              <w:t>Dispersão elevada</w:t>
            </w:r>
          </w:p>
        </w:tc>
      </w:tr>
      <w:tr>
        <w:tc>
          <w:tcPr>
            <w:tcW w:type="dxa" w:w="3402"/>
            <w:vAlign w:val="center"/>
          </w:tcPr>
          <w:p>
            <w:pPr>
              <w:jc w:val="center"/>
            </w:pPr>
            <w:r/>
            <w:r>
              <w:rPr>
                <w:rFonts w:ascii="Arial" w:hAnsi="Arial"/>
                <w:b w:val="0"/>
                <w:sz w:val="19"/>
              </w:rPr>
              <w:t>Acima de 40%</w:t>
            </w:r>
          </w:p>
        </w:tc>
        <w:tc>
          <w:tcPr>
            <w:tcW w:type="dxa" w:w="5669"/>
            <w:vAlign w:val="center"/>
          </w:tcPr>
          <w:p>
            <w:r/>
            <w:r>
              <w:rPr>
                <w:rFonts w:ascii="Arial" w:hAnsi="Arial"/>
                <w:b w:val="0"/>
                <w:sz w:val="19"/>
              </w:rPr>
              <w:t>Dispersão muito elevada</w:t>
            </w:r>
          </w:p>
        </w:tc>
      </w:tr>
    </w:tbl>
    <w:p/>
    <w:p>
      <w:r>
        <w:rPr>
          <w:rFonts w:ascii="Arial" w:hAnsi="Arial"/>
          <w:b w:val="0"/>
          <w:sz w:val="22"/>
        </w:rPr>
        <w:t>Além disso, as medidas são apresentadas em duas dimensões, comparando, quando possível, o cenário “com equalização” e “sem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57"/>
        <w:gridCol w:w="3457"/>
        <w:gridCol w:w="3457"/>
      </w:tblGrid>
      <w:tr>
        <w:trPr>
          <w:tblHeader w:val="true"/>
        </w:trPr>
        <w:tc>
          <w:tcPr>
            <w:tcW w:type="dxa" w:w="2551"/>
            <w:shd w:val="clear" w:fill="285B87"/>
            <w:vAlign w:val="center"/>
          </w:tcPr>
          <w:p>
            <w:r/>
            <w:r>
              <w:rPr>
                <w:rFonts w:ascii="Arial" w:hAnsi="Arial"/>
                <w:b/>
                <w:color w:val="FFFFFF"/>
                <w:sz w:val="19"/>
              </w:rPr>
              <w:t>Dimensão</w:t>
            </w:r>
          </w:p>
        </w:tc>
        <w:tc>
          <w:tcPr>
            <w:tcW w:type="dxa" w:w="2551"/>
            <w:shd w:val="clear" w:fill="285B87"/>
            <w:vAlign w:val="center"/>
          </w:tcPr>
          <w:p>
            <w:r/>
            <w:r>
              <w:rPr>
                <w:rFonts w:ascii="Arial" w:hAnsi="Arial"/>
                <w:b/>
                <w:color w:val="FFFFFF"/>
                <w:sz w:val="19"/>
              </w:rPr>
              <w:t>Medida principal</w:t>
            </w:r>
          </w:p>
        </w:tc>
        <w:tc>
          <w:tcPr>
            <w:tcW w:type="dxa" w:w="4535"/>
            <w:shd w:val="clear" w:fill="285B87"/>
            <w:vAlign w:val="center"/>
          </w:tcPr>
          <w:p>
            <w:r/>
            <w:r>
              <w:rPr>
                <w:rFonts w:ascii="Arial" w:hAnsi="Arial"/>
                <w:b/>
                <w:color w:val="FFFFFF"/>
                <w:sz w:val="19"/>
              </w:rPr>
              <w:t>Leitura</w:t>
            </w:r>
          </w:p>
        </w:tc>
      </w:tr>
      <w:tr>
        <w:tc>
          <w:tcPr>
            <w:tcW w:type="dxa" w:w="2551"/>
            <w:vAlign w:val="center"/>
          </w:tcPr>
          <w:p>
            <w:r/>
            <w:r>
              <w:rPr>
                <w:rFonts w:ascii="Arial" w:hAnsi="Arial"/>
                <w:b w:val="0"/>
                <w:sz w:val="19"/>
              </w:rPr>
              <w:t>Quantidade por unidade</w:t>
            </w:r>
          </w:p>
        </w:tc>
        <w:tc>
          <w:tcPr>
            <w:tcW w:type="dxa" w:w="2551"/>
            <w:vAlign w:val="center"/>
          </w:tcPr>
          <w:p>
            <w:r/>
            <w:r>
              <w:rPr>
                <w:rFonts w:ascii="Arial" w:hAnsi="Arial"/>
                <w:b w:val="0"/>
                <w:sz w:val="19"/>
              </w:rPr>
              <w:t>Número de processos</w:t>
            </w:r>
          </w:p>
        </w:tc>
        <w:tc>
          <w:tcPr>
            <w:tcW w:type="dxa" w:w="4535"/>
            <w:vAlign w:val="center"/>
          </w:tcPr>
          <w:p>
            <w:r/>
            <w:r>
              <w:rPr>
                <w:rFonts w:ascii="Arial" w:hAnsi="Arial"/>
                <w:b w:val="0"/>
                <w:sz w:val="19"/>
              </w:rPr>
              <w:t>Compara quanto cada unidade concentra em relação à média das unidades.</w:t>
            </w:r>
          </w:p>
        </w:tc>
      </w:tr>
      <w:tr>
        <w:tc>
          <w:tcPr>
            <w:tcW w:type="dxa" w:w="2551"/>
            <w:vAlign w:val="center"/>
          </w:tcPr>
          <w:p>
            <w:r/>
            <w:r>
              <w:rPr>
                <w:rFonts w:ascii="Arial" w:hAnsi="Arial"/>
                <w:b w:val="0"/>
                <w:sz w:val="19"/>
              </w:rPr>
              <w:t>Carga de trabalho</w:t>
            </w:r>
          </w:p>
        </w:tc>
        <w:tc>
          <w:tcPr>
            <w:tcW w:type="dxa" w:w="2551"/>
            <w:vAlign w:val="center"/>
          </w:tcPr>
          <w:p>
            <w:r/>
            <w:r>
              <w:rPr>
                <w:rFonts w:ascii="Arial" w:hAnsi="Arial"/>
                <w:b w:val="0"/>
                <w:sz w:val="19"/>
              </w:rPr>
              <w:t>Processos por magistrado</w:t>
            </w:r>
          </w:p>
        </w:tc>
        <w:tc>
          <w:tcPr>
            <w:tcW w:type="dxa" w:w="4535"/>
            <w:vAlign w:val="center"/>
          </w:tcPr>
          <w:p>
            <w:r/>
            <w:r>
              <w:rPr>
                <w:rFonts w:ascii="Arial" w:hAnsi="Arial"/>
                <w:b w:val="0"/>
                <w:sz w:val="19"/>
              </w:rPr>
              <w:t>Divide a quantidade da unidade pelo número de magistrados e compara com a média ponderada do sistema.</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Nota: </w:t>
            </w:r>
            <w:r>
              <w:rPr>
                <w:rFonts w:ascii="Arial" w:hAnsi="Arial"/>
                <w:color w:val="1E3F66"/>
                <w:sz w:val="18"/>
              </w:rPr>
              <w:t>os cenários “sem equalização” são projeções que representam como seria a situação das unidades em termos de volume de processos e de carga de trabalho dos magistrados caso o sistema de equalização não tivesse sido implantado no período.</w:t>
            </w:r>
          </w:p>
        </w:tc>
      </w:tr>
    </w:tbl>
    <w:p/>
    <w:p>
      <w:r>
        <w:br w:type="page"/>
      </w:r>
    </w:p>
    <w:p>
      <w:pPr>
        <w:spacing w:before="280" w:after="120"/>
        <w:outlineLvl w:val="1"/>
      </w:pPr>
      <w:r>
        <w:rPr>
          <w:rFonts w:ascii="Arial" w:hAnsi="Arial"/>
          <w:b/>
          <w:color w:val="1E3F66"/>
          <w:sz w:val="36"/>
        </w:rPr>
        <w:t>2. Resultado geral do período</w:t>
      </w:r>
    </w:p>
    <w:p>
      <w:r>
        <w:rPr>
          <w:rFonts w:ascii="Arial" w:hAnsi="Arial"/>
          <w:b w:val="0"/>
          <w:sz w:val="22"/>
        </w:rPr>
        <w:t>Ingressaram no período 14.314 casos novos. Destes, 1.049 processos foram protocolados em unidades cedentes e foram equalizados, o que equivale a 7,3%.</w:t>
      </w:r>
    </w:p>
    <w:p>
      <w:r>
        <w:rPr>
          <w:rFonts w:ascii="Arial" w:hAnsi="Arial"/>
          <w:b w:val="0"/>
          <w:sz w:val="22"/>
        </w:rPr>
        <w:t>As análises comparativas consideram 14.423 processos movimentados em 60 unidades e 101 magistrados(as) com lotação efetiva nas unidades judiciárias de primeiro grau, conforme o Provimento CR nº 03/2026.</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Nota: </w:t>
            </w:r>
            <w:r>
              <w:rPr>
                <w:rFonts w:ascii="Arial" w:hAnsi="Arial"/>
                <w:color w:val="1E3F66"/>
                <w:sz w:val="18"/>
              </w:rPr>
              <w:t>a diferença entre o número de casos novos (14.314) e a quantidade de processos movimentados (14.423) decorre de situações transitórias, inerentes ao processo de implantação do Sistema de Equalização, em que ocorreram redistribuições de processos ingressados antes do período analisado, mas que influenciam os quantitativos utilizados nas análises comparativas.</w:t>
            </w:r>
          </w:p>
        </w:tc>
      </w:tr>
    </w:tbl>
    <w:p/>
    <w:p>
      <w:r>
        <w:br w:type="page"/>
      </w:r>
    </w:p>
    <w:p>
      <w:pPr>
        <w:spacing w:before="280" w:after="120"/>
        <w:outlineLvl w:val="1"/>
      </w:pPr>
      <w:r>
        <w:rPr>
          <w:rFonts w:ascii="Arial" w:hAnsi="Arial"/>
          <w:b/>
          <w:color w:val="1E3F66"/>
          <w:sz w:val="36"/>
        </w:rPr>
        <w:t>3. Dimensão 1 — quantidade de processos por unidade</w:t>
      </w:r>
    </w:p>
    <w:p>
      <w:r>
        <w:rPr>
          <w:rFonts w:ascii="Arial" w:hAnsi="Arial"/>
          <w:b w:val="0"/>
          <w:sz w:val="22"/>
        </w:rPr>
        <w:t>A média geral do estado no período foi de 240,38 processos por unidade nos dois cenários, “sem equalização” e “com equalização”. Como o total não muda, por se tratar do volume estadual de processos, o principal indicador de comparação utilizado é o coeficiente de variação, que expressa a dispersão relativa das quantidades entre as unidades.</w:t>
      </w:r>
    </w:p>
    <w:p>
      <w:pPr>
        <w:jc w:val="center"/>
      </w:pPr>
      <w:r>
        <w:drawing>
          <wp:inline xmlns:a="http://schemas.openxmlformats.org/drawingml/2006/main" xmlns:pic="http://schemas.openxmlformats.org/drawingml/2006/picture">
            <wp:extent cx="5760000" cy="3305626"/>
            <wp:docPr id="1" name="Picture 1"/>
            <wp:cNvGraphicFramePr>
              <a:graphicFrameLocks noChangeAspect="1"/>
            </wp:cNvGraphicFramePr>
            <a:graphic>
              <a:graphicData uri="http://schemas.openxmlformats.org/drawingml/2006/picture">
                <pic:pic>
                  <pic:nvPicPr>
                    <pic:cNvPr id="0" name="figura1.png"/>
                    <pic:cNvPicPr/>
                  </pic:nvPicPr>
                  <pic:blipFill>
                    <a:blip r:embed="rId11"/>
                    <a:stretch>
                      <a:fillRect/>
                    </a:stretch>
                  </pic:blipFill>
                  <pic:spPr>
                    <a:xfrm>
                      <a:off x="0" y="0"/>
                      <a:ext cx="5760000" cy="3305626"/>
                    </a:xfrm>
                    <a:prstGeom prst="rect"/>
                  </pic:spPr>
                </pic:pic>
              </a:graphicData>
            </a:graphic>
          </wp:inline>
        </w:drawing>
      </w:r>
    </w:p>
    <w:p>
      <w:r>
        <w:rPr>
          <w:rFonts w:ascii="Arial" w:hAnsi="Arial"/>
          <w:i/>
          <w:color w:val="6B7280"/>
          <w:sz w:val="19"/>
        </w:rPr>
        <w:t>Figura 1. Coeficiente de variação da quantidade de processos nos cenários sem e com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592"/>
        <w:gridCol w:w="2592"/>
        <w:gridCol w:w="2592"/>
        <w:gridCol w:w="2592"/>
      </w:tblGrid>
      <w:tr>
        <w:trPr>
          <w:tblHeader w:val="true"/>
        </w:trPr>
        <w:tc>
          <w:tcPr>
            <w:tcW w:type="dxa" w:w="2835"/>
            <w:shd w:val="clear" w:fill="285B87"/>
            <w:vAlign w:val="center"/>
          </w:tcPr>
          <w:p>
            <w:r/>
            <w:r>
              <w:rPr>
                <w:rFonts w:ascii="Arial" w:hAnsi="Arial"/>
                <w:b/>
                <w:color w:val="FFFFFF"/>
                <w:sz w:val="19"/>
              </w:rPr>
              <w:t>Medida</w:t>
            </w:r>
          </w:p>
        </w:tc>
        <w:tc>
          <w:tcPr>
            <w:tcW w:type="dxa" w:w="2268"/>
            <w:shd w:val="clear" w:fill="285B87"/>
            <w:vAlign w:val="center"/>
          </w:tcPr>
          <w:p>
            <w:pPr>
              <w:jc w:val="center"/>
            </w:pPr>
            <w:r/>
            <w:r>
              <w:rPr>
                <w:rFonts w:ascii="Arial" w:hAnsi="Arial"/>
                <w:b/>
                <w:color w:val="FFFFFF"/>
                <w:sz w:val="19"/>
              </w:rPr>
              <w:t>Sem equalização</w:t>
            </w:r>
          </w:p>
        </w:tc>
        <w:tc>
          <w:tcPr>
            <w:tcW w:type="dxa" w:w="2268"/>
            <w:shd w:val="clear" w:fill="285B87"/>
            <w:vAlign w:val="center"/>
          </w:tcPr>
          <w:p>
            <w:pPr>
              <w:jc w:val="center"/>
            </w:pPr>
            <w:r/>
            <w:r>
              <w:rPr>
                <w:rFonts w:ascii="Arial" w:hAnsi="Arial"/>
                <w:b/>
                <w:color w:val="FFFFFF"/>
                <w:sz w:val="19"/>
              </w:rPr>
              <w:t>Com equalização</w:t>
            </w:r>
          </w:p>
        </w:tc>
        <w:tc>
          <w:tcPr>
            <w:tcW w:type="dxa" w:w="3118"/>
            <w:shd w:val="clear" w:fill="285B87"/>
            <w:vAlign w:val="center"/>
          </w:tcPr>
          <w:p>
            <w:pPr>
              <w:jc w:val="center"/>
            </w:pPr>
            <w:r/>
            <w:r>
              <w:rPr>
                <w:rFonts w:ascii="Arial" w:hAnsi="Arial"/>
                <w:b/>
                <w:color w:val="FFFFFF"/>
                <w:sz w:val="19"/>
              </w:rPr>
              <w:t>Variação</w:t>
            </w:r>
          </w:p>
        </w:tc>
      </w:tr>
      <w:tr>
        <w:tc>
          <w:tcPr>
            <w:tcW w:type="dxa" w:w="2835"/>
            <w:vAlign w:val="center"/>
          </w:tcPr>
          <w:p>
            <w:r/>
            <w:r>
              <w:rPr>
                <w:rFonts w:ascii="Arial" w:hAnsi="Arial"/>
                <w:b w:val="0"/>
                <w:sz w:val="19"/>
              </w:rPr>
              <w:t>Média por unidade</w:t>
            </w:r>
          </w:p>
        </w:tc>
        <w:tc>
          <w:tcPr>
            <w:tcW w:type="dxa" w:w="2268"/>
            <w:vAlign w:val="center"/>
          </w:tcPr>
          <w:p>
            <w:pPr>
              <w:jc w:val="center"/>
            </w:pPr>
            <w:r/>
            <w:r>
              <w:rPr>
                <w:rFonts w:ascii="Arial" w:hAnsi="Arial"/>
                <w:b w:val="0"/>
                <w:sz w:val="19"/>
              </w:rPr>
              <w:t>240,38</w:t>
            </w:r>
          </w:p>
        </w:tc>
        <w:tc>
          <w:tcPr>
            <w:tcW w:type="dxa" w:w="2268"/>
            <w:vAlign w:val="center"/>
          </w:tcPr>
          <w:p>
            <w:pPr>
              <w:jc w:val="center"/>
            </w:pPr>
            <w:r/>
            <w:r>
              <w:rPr>
                <w:rFonts w:ascii="Arial" w:hAnsi="Arial"/>
                <w:b w:val="0"/>
                <w:sz w:val="19"/>
              </w:rPr>
              <w:t>240,38</w:t>
            </w:r>
          </w:p>
        </w:tc>
        <w:tc>
          <w:tcPr>
            <w:tcW w:type="dxa" w:w="3118"/>
            <w:vAlign w:val="center"/>
          </w:tcPr>
          <w:p>
            <w:pPr>
              <w:jc w:val="center"/>
            </w:pPr>
            <w:r/>
            <w:r>
              <w:rPr>
                <w:rFonts w:ascii="Arial" w:hAnsi="Arial"/>
                <w:b w:val="0"/>
                <w:sz w:val="19"/>
              </w:rPr>
              <w:t>sem alteração</w:t>
            </w:r>
          </w:p>
        </w:tc>
      </w:tr>
      <w:tr>
        <w:tc>
          <w:tcPr>
            <w:tcW w:type="dxa" w:w="2835"/>
            <w:vAlign w:val="center"/>
          </w:tcPr>
          <w:p>
            <w:r/>
            <w:r>
              <w:rPr>
                <w:rFonts w:ascii="Arial" w:hAnsi="Arial"/>
                <w:b w:val="0"/>
                <w:sz w:val="19"/>
              </w:rPr>
              <w:t>Desvio-padrão</w:t>
            </w:r>
          </w:p>
        </w:tc>
        <w:tc>
          <w:tcPr>
            <w:tcW w:type="dxa" w:w="2268"/>
            <w:vAlign w:val="center"/>
          </w:tcPr>
          <w:p>
            <w:pPr>
              <w:jc w:val="center"/>
            </w:pPr>
            <w:r/>
            <w:r>
              <w:rPr>
                <w:rFonts w:ascii="Arial" w:hAnsi="Arial"/>
                <w:b w:val="0"/>
                <w:sz w:val="19"/>
              </w:rPr>
              <w:t>84,41</w:t>
            </w:r>
          </w:p>
        </w:tc>
        <w:tc>
          <w:tcPr>
            <w:tcW w:type="dxa" w:w="2268"/>
            <w:vAlign w:val="center"/>
          </w:tcPr>
          <w:p>
            <w:pPr>
              <w:jc w:val="center"/>
            </w:pPr>
            <w:r/>
            <w:r>
              <w:rPr>
                <w:rFonts w:ascii="Arial" w:hAnsi="Arial"/>
                <w:b w:val="0"/>
                <w:sz w:val="19"/>
              </w:rPr>
              <w:t>62,06</w:t>
            </w:r>
          </w:p>
        </w:tc>
        <w:tc>
          <w:tcPr>
            <w:tcW w:type="dxa" w:w="3118"/>
            <w:vAlign w:val="center"/>
          </w:tcPr>
          <w:p>
            <w:pPr>
              <w:jc w:val="center"/>
            </w:pPr>
            <w:r/>
            <w:r>
              <w:rPr>
                <w:rFonts w:ascii="Arial" w:hAnsi="Arial"/>
                <w:b w:val="0"/>
                <w:sz w:val="19"/>
              </w:rPr>
              <w:t>-26,5%</w:t>
            </w:r>
          </w:p>
        </w:tc>
      </w:tr>
      <w:tr>
        <w:tc>
          <w:tcPr>
            <w:tcW w:type="dxa" w:w="2835"/>
            <w:vAlign w:val="center"/>
          </w:tcPr>
          <w:p>
            <w:r/>
            <w:r>
              <w:rPr>
                <w:rFonts w:ascii="Arial" w:hAnsi="Arial"/>
                <w:b w:val="0"/>
                <w:sz w:val="19"/>
              </w:rPr>
              <w:t>Coeficiente de variação</w:t>
            </w:r>
          </w:p>
        </w:tc>
        <w:tc>
          <w:tcPr>
            <w:tcW w:type="dxa" w:w="2268"/>
            <w:vAlign w:val="center"/>
          </w:tcPr>
          <w:p>
            <w:pPr>
              <w:jc w:val="center"/>
            </w:pPr>
            <w:r/>
            <w:r>
              <w:rPr>
                <w:rFonts w:ascii="Arial" w:hAnsi="Arial"/>
                <w:b w:val="0"/>
                <w:sz w:val="19"/>
              </w:rPr>
              <w:t>35,12%</w:t>
            </w:r>
          </w:p>
        </w:tc>
        <w:tc>
          <w:tcPr>
            <w:tcW w:type="dxa" w:w="2268"/>
            <w:vAlign w:val="center"/>
          </w:tcPr>
          <w:p>
            <w:pPr>
              <w:jc w:val="center"/>
            </w:pPr>
            <w:r/>
            <w:r>
              <w:rPr>
                <w:rFonts w:ascii="Arial" w:hAnsi="Arial"/>
                <w:b w:val="0"/>
                <w:sz w:val="19"/>
              </w:rPr>
              <w:t>25,82%</w:t>
            </w:r>
          </w:p>
        </w:tc>
        <w:tc>
          <w:tcPr>
            <w:tcW w:type="dxa" w:w="3118"/>
            <w:vAlign w:val="center"/>
          </w:tcPr>
          <w:p>
            <w:pPr>
              <w:jc w:val="center"/>
            </w:pPr>
            <w:r/>
            <w:r>
              <w:rPr>
                <w:rFonts w:ascii="Arial" w:hAnsi="Arial"/>
                <w:b w:val="0"/>
                <w:sz w:val="19"/>
              </w:rPr>
              <w:t>-9,30 p.p. (-26,5%)</w:t>
            </w:r>
          </w:p>
        </w:tc>
      </w:tr>
      <w:tr>
        <w:tc>
          <w:tcPr>
            <w:tcW w:type="dxa" w:w="2835"/>
            <w:vAlign w:val="center"/>
          </w:tcPr>
          <w:p>
            <w:r/>
            <w:r>
              <w:rPr>
                <w:rFonts w:ascii="Arial" w:hAnsi="Arial"/>
                <w:b w:val="0"/>
                <w:sz w:val="19"/>
              </w:rPr>
              <w:t>Faixa do coeficiente de variação</w:t>
            </w:r>
          </w:p>
        </w:tc>
        <w:tc>
          <w:tcPr>
            <w:tcW w:type="dxa" w:w="2268"/>
            <w:vAlign w:val="center"/>
          </w:tcPr>
          <w:p>
            <w:pPr>
              <w:jc w:val="center"/>
            </w:pPr>
            <w:r/>
            <w:r>
              <w:rPr>
                <w:rFonts w:ascii="Arial" w:hAnsi="Arial"/>
                <w:b w:val="0"/>
                <w:sz w:val="19"/>
              </w:rPr>
              <w:t>Dispersão elevada</w:t>
            </w:r>
          </w:p>
        </w:tc>
        <w:tc>
          <w:tcPr>
            <w:tcW w:type="dxa" w:w="2268"/>
            <w:vAlign w:val="center"/>
          </w:tcPr>
          <w:p>
            <w:pPr>
              <w:jc w:val="center"/>
            </w:pPr>
            <w:r/>
            <w:r>
              <w:rPr>
                <w:rFonts w:ascii="Arial" w:hAnsi="Arial"/>
                <w:b w:val="0"/>
                <w:sz w:val="19"/>
              </w:rPr>
              <w:t>Dispersão relevante</w:t>
            </w:r>
          </w:p>
        </w:tc>
        <w:tc>
          <w:tcPr>
            <w:tcW w:type="dxa" w:w="3118"/>
            <w:vAlign w:val="center"/>
          </w:tcPr>
          <w:p>
            <w:pPr>
              <w:jc w:val="center"/>
            </w:pPr>
            <w:r/>
            <w:r>
              <w:rPr>
                <w:rFonts w:ascii="Arial" w:hAnsi="Arial"/>
                <w:b w:val="0"/>
                <w:sz w:val="19"/>
              </w:rPr>
              <w:t>melhora de faixa</w:t>
            </w:r>
          </w:p>
        </w:tc>
      </w:tr>
      <w:tr>
        <w:tc>
          <w:tcPr>
            <w:tcW w:type="dxa" w:w="2835"/>
            <w:vAlign w:val="center"/>
          </w:tcPr>
          <w:p>
            <w:r/>
            <w:r>
              <w:rPr>
                <w:rFonts w:ascii="Arial" w:hAnsi="Arial"/>
                <w:b w:val="0"/>
                <w:sz w:val="19"/>
              </w:rPr>
              <w:t>Menor e maior quantidade</w:t>
            </w:r>
          </w:p>
        </w:tc>
        <w:tc>
          <w:tcPr>
            <w:tcW w:type="dxa" w:w="2268"/>
            <w:vAlign w:val="center"/>
          </w:tcPr>
          <w:p>
            <w:pPr>
              <w:jc w:val="center"/>
            </w:pPr>
            <w:r/>
            <w:r>
              <w:rPr>
                <w:rFonts w:ascii="Arial" w:hAnsi="Arial"/>
                <w:b w:val="0"/>
                <w:sz w:val="19"/>
              </w:rPr>
              <w:t>94 a 520</w:t>
            </w:r>
          </w:p>
        </w:tc>
        <w:tc>
          <w:tcPr>
            <w:tcW w:type="dxa" w:w="2268"/>
            <w:vAlign w:val="center"/>
          </w:tcPr>
          <w:p>
            <w:pPr>
              <w:jc w:val="center"/>
            </w:pPr>
            <w:r/>
            <w:r>
              <w:rPr>
                <w:rFonts w:ascii="Arial" w:hAnsi="Arial"/>
                <w:b w:val="0"/>
                <w:sz w:val="19"/>
              </w:rPr>
              <w:t>139 a 359</w:t>
            </w:r>
          </w:p>
        </w:tc>
        <w:tc>
          <w:tcPr>
            <w:tcW w:type="dxa" w:w="3118"/>
            <w:vAlign w:val="center"/>
          </w:tcPr>
          <w:p>
            <w:pPr>
              <w:jc w:val="center"/>
            </w:pPr>
            <w:r/>
            <w:r>
              <w:rPr>
                <w:rFonts w:ascii="Arial" w:hAnsi="Arial"/>
                <w:b w:val="0"/>
                <w:sz w:val="19"/>
              </w:rPr>
              <w:t>intervalo menor</w:t>
            </w:r>
          </w:p>
        </w:tc>
      </w:tr>
      <w:tr>
        <w:tc>
          <w:tcPr>
            <w:tcW w:type="dxa" w:w="2835"/>
            <w:vAlign w:val="center"/>
          </w:tcPr>
          <w:p>
            <w:r/>
            <w:r>
              <w:rPr>
                <w:rFonts w:ascii="Arial" w:hAnsi="Arial"/>
                <w:b w:val="0"/>
                <w:sz w:val="19"/>
              </w:rPr>
              <w:t>Amplitude</w:t>
            </w:r>
          </w:p>
        </w:tc>
        <w:tc>
          <w:tcPr>
            <w:tcW w:type="dxa" w:w="2268"/>
            <w:vAlign w:val="center"/>
          </w:tcPr>
          <w:p>
            <w:pPr>
              <w:jc w:val="center"/>
            </w:pPr>
            <w:r/>
            <w:r>
              <w:rPr>
                <w:rFonts w:ascii="Arial" w:hAnsi="Arial"/>
                <w:b w:val="0"/>
                <w:sz w:val="19"/>
              </w:rPr>
              <w:t>426,00</w:t>
            </w:r>
          </w:p>
        </w:tc>
        <w:tc>
          <w:tcPr>
            <w:tcW w:type="dxa" w:w="2268"/>
            <w:vAlign w:val="center"/>
          </w:tcPr>
          <w:p>
            <w:pPr>
              <w:jc w:val="center"/>
            </w:pPr>
            <w:r/>
            <w:r>
              <w:rPr>
                <w:rFonts w:ascii="Arial" w:hAnsi="Arial"/>
                <w:b w:val="0"/>
                <w:sz w:val="19"/>
              </w:rPr>
              <w:t>220,00</w:t>
            </w:r>
          </w:p>
        </w:tc>
        <w:tc>
          <w:tcPr>
            <w:tcW w:type="dxa" w:w="3118"/>
            <w:vAlign w:val="center"/>
          </w:tcPr>
          <w:p>
            <w:pPr>
              <w:jc w:val="center"/>
            </w:pPr>
            <w:r/>
            <w:r>
              <w:rPr>
                <w:rFonts w:ascii="Arial" w:hAnsi="Arial"/>
                <w:b w:val="0"/>
                <w:sz w:val="19"/>
              </w:rPr>
              <w:t>-48,4%</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35,12% para 25,82%, redução de 9,30 pontos percentuais ou 26,5% em termos relativos. Pela faixa de leitura adotada, a distribuição passou de dispersão elevada para dispersão relevante. O desvio-padrão também caiu 26,5%, e a amplitude entre a menor e a maior unidade caiu 48,4%.</w:t>
            </w:r>
          </w:p>
        </w:tc>
      </w:tr>
    </w:tbl>
    <w:p/>
    <w:p>
      <w:r>
        <w:br w:type="page"/>
      </w:r>
    </w:p>
    <w:p>
      <w:pPr>
        <w:spacing w:before="280" w:after="120"/>
        <w:outlineLvl w:val="1"/>
      </w:pPr>
      <w:r>
        <w:rPr>
          <w:rFonts w:ascii="Arial" w:hAnsi="Arial"/>
          <w:b/>
          <w:color w:val="1E3F66"/>
          <w:sz w:val="36"/>
        </w:rPr>
        <w:t>4. Dimensão 2 — carga de trabalho por magistrado</w:t>
      </w:r>
    </w:p>
    <w:p>
      <w:r>
        <w:rPr>
          <w:rFonts w:ascii="Arial" w:hAnsi="Arial"/>
          <w:b w:val="0"/>
          <w:sz w:val="22"/>
        </w:rPr>
        <w:t>A carga de trabalho é calculada dividindo a quantidade de processos de cada unidade pelo número de magistrados lotados, conforme estabelecido no Provimento CR nº 03/2026. A média ponderada do sistema é de 142,80 processos por magistrado. Essa média permanece igual nos dois cenários, mas o coeficiente de variação mostra quanto as cargas das unidades se afastam proporcionalmente desse patamar.</w:t>
      </w:r>
    </w:p>
    <w:p>
      <w:pPr>
        <w:jc w:val="center"/>
      </w:pPr>
      <w:r>
        <w:drawing>
          <wp:inline xmlns:a="http://schemas.openxmlformats.org/drawingml/2006/main" xmlns:pic="http://schemas.openxmlformats.org/drawingml/2006/picture">
            <wp:extent cx="5760000" cy="3228132"/>
            <wp:docPr id="2" name="Picture 2"/>
            <wp:cNvGraphicFramePr>
              <a:graphicFrameLocks noChangeAspect="1"/>
            </wp:cNvGraphicFramePr>
            <a:graphic>
              <a:graphicData uri="http://schemas.openxmlformats.org/drawingml/2006/picture">
                <pic:pic>
                  <pic:nvPicPr>
                    <pic:cNvPr id="0" name="figura2.png"/>
                    <pic:cNvPicPr/>
                  </pic:nvPicPr>
                  <pic:blipFill>
                    <a:blip r:embed="rId12"/>
                    <a:stretch>
                      <a:fillRect/>
                    </a:stretch>
                  </pic:blipFill>
                  <pic:spPr>
                    <a:xfrm>
                      <a:off x="0" y="0"/>
                      <a:ext cx="5760000" cy="3228132"/>
                    </a:xfrm>
                    <a:prstGeom prst="rect"/>
                  </pic:spPr>
                </pic:pic>
              </a:graphicData>
            </a:graphic>
          </wp:inline>
        </w:drawing>
      </w:r>
    </w:p>
    <w:p>
      <w:r>
        <w:rPr>
          <w:rFonts w:ascii="Arial" w:hAnsi="Arial"/>
          <w:i/>
          <w:color w:val="6B7280"/>
          <w:sz w:val="19"/>
        </w:rPr>
        <w:t>Figura 2. Coeficiente de variação da carga de trabalho por magistrado nos cenários sem e com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592"/>
        <w:gridCol w:w="2592"/>
        <w:gridCol w:w="2592"/>
        <w:gridCol w:w="2592"/>
      </w:tblGrid>
      <w:tr>
        <w:trPr>
          <w:tblHeader w:val="true"/>
        </w:trPr>
        <w:tc>
          <w:tcPr>
            <w:tcW w:type="dxa" w:w="2835"/>
            <w:shd w:val="clear" w:fill="285B87"/>
            <w:vAlign w:val="center"/>
          </w:tcPr>
          <w:p>
            <w:r/>
            <w:r>
              <w:rPr>
                <w:rFonts w:ascii="Arial" w:hAnsi="Arial"/>
                <w:b/>
                <w:color w:val="FFFFFF"/>
                <w:sz w:val="19"/>
              </w:rPr>
              <w:t>Medida</w:t>
            </w:r>
          </w:p>
        </w:tc>
        <w:tc>
          <w:tcPr>
            <w:tcW w:type="dxa" w:w="2268"/>
            <w:shd w:val="clear" w:fill="285B87"/>
            <w:vAlign w:val="center"/>
          </w:tcPr>
          <w:p>
            <w:pPr>
              <w:jc w:val="center"/>
            </w:pPr>
            <w:r/>
            <w:r>
              <w:rPr>
                <w:rFonts w:ascii="Arial" w:hAnsi="Arial"/>
                <w:b/>
                <w:color w:val="FFFFFF"/>
                <w:sz w:val="19"/>
              </w:rPr>
              <w:t>Sem equalização</w:t>
            </w:r>
          </w:p>
        </w:tc>
        <w:tc>
          <w:tcPr>
            <w:tcW w:type="dxa" w:w="2268"/>
            <w:shd w:val="clear" w:fill="285B87"/>
            <w:vAlign w:val="center"/>
          </w:tcPr>
          <w:p>
            <w:pPr>
              <w:jc w:val="center"/>
            </w:pPr>
            <w:r/>
            <w:r>
              <w:rPr>
                <w:rFonts w:ascii="Arial" w:hAnsi="Arial"/>
                <w:b/>
                <w:color w:val="FFFFFF"/>
                <w:sz w:val="19"/>
              </w:rPr>
              <w:t>Com equalização</w:t>
            </w:r>
          </w:p>
        </w:tc>
        <w:tc>
          <w:tcPr>
            <w:tcW w:type="dxa" w:w="3118"/>
            <w:shd w:val="clear" w:fill="285B87"/>
            <w:vAlign w:val="center"/>
          </w:tcPr>
          <w:p>
            <w:pPr>
              <w:jc w:val="center"/>
            </w:pPr>
            <w:r/>
            <w:r>
              <w:rPr>
                <w:rFonts w:ascii="Arial" w:hAnsi="Arial"/>
                <w:b/>
                <w:color w:val="FFFFFF"/>
                <w:sz w:val="19"/>
              </w:rPr>
              <w:t>Variação</w:t>
            </w:r>
          </w:p>
        </w:tc>
      </w:tr>
      <w:tr>
        <w:tc>
          <w:tcPr>
            <w:tcW w:type="dxa" w:w="2835"/>
            <w:vAlign w:val="center"/>
          </w:tcPr>
          <w:p>
            <w:r/>
            <w:r>
              <w:rPr>
                <w:rFonts w:ascii="Arial" w:hAnsi="Arial"/>
                <w:b w:val="0"/>
                <w:sz w:val="19"/>
              </w:rPr>
              <w:t>Média por magistrado</w:t>
            </w:r>
          </w:p>
        </w:tc>
        <w:tc>
          <w:tcPr>
            <w:tcW w:type="dxa" w:w="2268"/>
            <w:vAlign w:val="center"/>
          </w:tcPr>
          <w:p>
            <w:pPr>
              <w:jc w:val="center"/>
            </w:pPr>
            <w:r/>
            <w:r>
              <w:rPr>
                <w:rFonts w:ascii="Arial" w:hAnsi="Arial"/>
                <w:b w:val="0"/>
                <w:sz w:val="19"/>
              </w:rPr>
              <w:t>142,80</w:t>
            </w:r>
          </w:p>
        </w:tc>
        <w:tc>
          <w:tcPr>
            <w:tcW w:type="dxa" w:w="2268"/>
            <w:vAlign w:val="center"/>
          </w:tcPr>
          <w:p>
            <w:pPr>
              <w:jc w:val="center"/>
            </w:pPr>
            <w:r/>
            <w:r>
              <w:rPr>
                <w:rFonts w:ascii="Arial" w:hAnsi="Arial"/>
                <w:b w:val="0"/>
                <w:sz w:val="19"/>
              </w:rPr>
              <w:t>142,80</w:t>
            </w:r>
          </w:p>
        </w:tc>
        <w:tc>
          <w:tcPr>
            <w:tcW w:type="dxa" w:w="3118"/>
            <w:vAlign w:val="center"/>
          </w:tcPr>
          <w:p>
            <w:pPr>
              <w:jc w:val="center"/>
            </w:pPr>
            <w:r/>
            <w:r>
              <w:rPr>
                <w:rFonts w:ascii="Arial" w:hAnsi="Arial"/>
                <w:b w:val="0"/>
                <w:sz w:val="19"/>
              </w:rPr>
              <w:t>sem alteração</w:t>
            </w:r>
          </w:p>
        </w:tc>
      </w:tr>
      <w:tr>
        <w:tc>
          <w:tcPr>
            <w:tcW w:type="dxa" w:w="2835"/>
            <w:vAlign w:val="center"/>
          </w:tcPr>
          <w:p>
            <w:r/>
            <w:r>
              <w:rPr>
                <w:rFonts w:ascii="Arial" w:hAnsi="Arial"/>
                <w:b w:val="0"/>
                <w:sz w:val="19"/>
              </w:rPr>
              <w:t>Desvio-padrão</w:t>
            </w:r>
          </w:p>
        </w:tc>
        <w:tc>
          <w:tcPr>
            <w:tcW w:type="dxa" w:w="2268"/>
            <w:vAlign w:val="center"/>
          </w:tcPr>
          <w:p>
            <w:pPr>
              <w:jc w:val="center"/>
            </w:pPr>
            <w:r/>
            <w:r>
              <w:rPr>
                <w:rFonts w:ascii="Arial" w:hAnsi="Arial"/>
                <w:b w:val="0"/>
                <w:sz w:val="19"/>
              </w:rPr>
              <w:t>61,46</w:t>
            </w:r>
          </w:p>
        </w:tc>
        <w:tc>
          <w:tcPr>
            <w:tcW w:type="dxa" w:w="2268"/>
            <w:vAlign w:val="center"/>
          </w:tcPr>
          <w:p>
            <w:pPr>
              <w:jc w:val="center"/>
            </w:pPr>
            <w:r/>
            <w:r>
              <w:rPr>
                <w:rFonts w:ascii="Arial" w:hAnsi="Arial"/>
                <w:b w:val="0"/>
                <w:sz w:val="19"/>
              </w:rPr>
              <w:t>31,31</w:t>
            </w:r>
          </w:p>
        </w:tc>
        <w:tc>
          <w:tcPr>
            <w:tcW w:type="dxa" w:w="3118"/>
            <w:vAlign w:val="center"/>
          </w:tcPr>
          <w:p>
            <w:pPr>
              <w:jc w:val="center"/>
            </w:pPr>
            <w:r/>
            <w:r>
              <w:rPr>
                <w:rFonts w:ascii="Arial" w:hAnsi="Arial"/>
                <w:b w:val="0"/>
                <w:sz w:val="19"/>
              </w:rPr>
              <w:t>-49,1%</w:t>
            </w:r>
          </w:p>
        </w:tc>
      </w:tr>
      <w:tr>
        <w:tc>
          <w:tcPr>
            <w:tcW w:type="dxa" w:w="2835"/>
            <w:vAlign w:val="center"/>
          </w:tcPr>
          <w:p>
            <w:r/>
            <w:r>
              <w:rPr>
                <w:rFonts w:ascii="Arial" w:hAnsi="Arial"/>
                <w:b w:val="0"/>
                <w:sz w:val="19"/>
              </w:rPr>
              <w:t>Coeficiente de variação</w:t>
            </w:r>
          </w:p>
        </w:tc>
        <w:tc>
          <w:tcPr>
            <w:tcW w:type="dxa" w:w="2268"/>
            <w:vAlign w:val="center"/>
          </w:tcPr>
          <w:p>
            <w:pPr>
              <w:jc w:val="center"/>
            </w:pPr>
            <w:r/>
            <w:r>
              <w:rPr>
                <w:rFonts w:ascii="Arial" w:hAnsi="Arial"/>
                <w:b w:val="0"/>
                <w:sz w:val="19"/>
              </w:rPr>
              <w:t>43,04%</w:t>
            </w:r>
          </w:p>
        </w:tc>
        <w:tc>
          <w:tcPr>
            <w:tcW w:type="dxa" w:w="2268"/>
            <w:vAlign w:val="center"/>
          </w:tcPr>
          <w:p>
            <w:pPr>
              <w:jc w:val="center"/>
            </w:pPr>
            <w:r/>
            <w:r>
              <w:rPr>
                <w:rFonts w:ascii="Arial" w:hAnsi="Arial"/>
                <w:b w:val="0"/>
                <w:sz w:val="19"/>
              </w:rPr>
              <w:t>21,92%</w:t>
            </w:r>
          </w:p>
        </w:tc>
        <w:tc>
          <w:tcPr>
            <w:tcW w:type="dxa" w:w="3118"/>
            <w:vAlign w:val="center"/>
          </w:tcPr>
          <w:p>
            <w:pPr>
              <w:jc w:val="center"/>
            </w:pPr>
            <w:r/>
            <w:r>
              <w:rPr>
                <w:rFonts w:ascii="Arial" w:hAnsi="Arial"/>
                <w:b w:val="0"/>
                <w:sz w:val="19"/>
              </w:rPr>
              <w:t>-21,11 p.p. (-49,1%)</w:t>
            </w:r>
          </w:p>
        </w:tc>
      </w:tr>
      <w:tr>
        <w:tc>
          <w:tcPr>
            <w:tcW w:type="dxa" w:w="2835"/>
            <w:vAlign w:val="center"/>
          </w:tcPr>
          <w:p>
            <w:r/>
            <w:r>
              <w:rPr>
                <w:rFonts w:ascii="Arial" w:hAnsi="Arial"/>
                <w:b w:val="0"/>
                <w:sz w:val="19"/>
              </w:rPr>
              <w:t>Faixa do coeficiente de variação</w:t>
            </w:r>
          </w:p>
        </w:tc>
        <w:tc>
          <w:tcPr>
            <w:tcW w:type="dxa" w:w="2268"/>
            <w:vAlign w:val="center"/>
          </w:tcPr>
          <w:p>
            <w:pPr>
              <w:jc w:val="center"/>
            </w:pPr>
            <w:r/>
            <w:r>
              <w:rPr>
                <w:rFonts w:ascii="Arial" w:hAnsi="Arial"/>
                <w:b w:val="0"/>
                <w:sz w:val="19"/>
              </w:rPr>
              <w:t>Dispersão muito elevada</w:t>
            </w:r>
          </w:p>
        </w:tc>
        <w:tc>
          <w:tcPr>
            <w:tcW w:type="dxa" w:w="2268"/>
            <w:vAlign w:val="center"/>
          </w:tcPr>
          <w:p>
            <w:pPr>
              <w:jc w:val="center"/>
            </w:pPr>
            <w:r/>
            <w:r>
              <w:rPr>
                <w:rFonts w:ascii="Arial" w:hAnsi="Arial"/>
                <w:b w:val="0"/>
                <w:sz w:val="19"/>
              </w:rPr>
              <w:t>Dispersão relevante</w:t>
            </w:r>
          </w:p>
        </w:tc>
        <w:tc>
          <w:tcPr>
            <w:tcW w:type="dxa" w:w="3118"/>
            <w:vAlign w:val="center"/>
          </w:tcPr>
          <w:p>
            <w:pPr>
              <w:jc w:val="center"/>
            </w:pPr>
            <w:r/>
            <w:r>
              <w:rPr>
                <w:rFonts w:ascii="Arial" w:hAnsi="Arial"/>
                <w:b w:val="0"/>
                <w:sz w:val="19"/>
              </w:rPr>
              <w:t>melhora de faixa</w:t>
            </w:r>
          </w:p>
        </w:tc>
      </w:tr>
      <w:tr>
        <w:tc>
          <w:tcPr>
            <w:tcW w:type="dxa" w:w="2835"/>
            <w:vAlign w:val="center"/>
          </w:tcPr>
          <w:p>
            <w:r/>
            <w:r>
              <w:rPr>
                <w:rFonts w:ascii="Arial" w:hAnsi="Arial"/>
                <w:b w:val="0"/>
                <w:sz w:val="19"/>
              </w:rPr>
              <w:t>Menor e maior quantidade</w:t>
            </w:r>
          </w:p>
        </w:tc>
        <w:tc>
          <w:tcPr>
            <w:tcW w:type="dxa" w:w="2268"/>
            <w:vAlign w:val="center"/>
          </w:tcPr>
          <w:p>
            <w:pPr>
              <w:jc w:val="center"/>
            </w:pPr>
            <w:r/>
            <w:r>
              <w:rPr>
                <w:rFonts w:ascii="Arial" w:hAnsi="Arial"/>
                <w:b w:val="0"/>
                <w:sz w:val="19"/>
              </w:rPr>
              <w:t>58 a 378</w:t>
            </w:r>
          </w:p>
        </w:tc>
        <w:tc>
          <w:tcPr>
            <w:tcW w:type="dxa" w:w="2268"/>
            <w:vAlign w:val="center"/>
          </w:tcPr>
          <w:p>
            <w:pPr>
              <w:jc w:val="center"/>
            </w:pPr>
            <w:r/>
            <w:r>
              <w:rPr>
                <w:rFonts w:ascii="Arial" w:hAnsi="Arial"/>
                <w:b w:val="0"/>
                <w:sz w:val="19"/>
              </w:rPr>
              <w:t>88 a 244</w:t>
            </w:r>
          </w:p>
        </w:tc>
        <w:tc>
          <w:tcPr>
            <w:tcW w:type="dxa" w:w="3118"/>
            <w:vAlign w:val="center"/>
          </w:tcPr>
          <w:p>
            <w:pPr>
              <w:jc w:val="center"/>
            </w:pPr>
            <w:r/>
            <w:r>
              <w:rPr>
                <w:rFonts w:ascii="Arial" w:hAnsi="Arial"/>
                <w:b w:val="0"/>
                <w:sz w:val="19"/>
              </w:rPr>
              <w:t>intervalo menor</w:t>
            </w:r>
          </w:p>
        </w:tc>
      </w:tr>
      <w:tr>
        <w:tc>
          <w:tcPr>
            <w:tcW w:type="dxa" w:w="2835"/>
            <w:vAlign w:val="center"/>
          </w:tcPr>
          <w:p>
            <w:r/>
            <w:r>
              <w:rPr>
                <w:rFonts w:ascii="Arial" w:hAnsi="Arial"/>
                <w:b w:val="0"/>
                <w:sz w:val="19"/>
              </w:rPr>
              <w:t>Amplitude</w:t>
            </w:r>
          </w:p>
        </w:tc>
        <w:tc>
          <w:tcPr>
            <w:tcW w:type="dxa" w:w="2268"/>
            <w:vAlign w:val="center"/>
          </w:tcPr>
          <w:p>
            <w:pPr>
              <w:jc w:val="center"/>
            </w:pPr>
            <w:r/>
            <w:r>
              <w:rPr>
                <w:rFonts w:ascii="Arial" w:hAnsi="Arial"/>
                <w:b w:val="0"/>
                <w:sz w:val="19"/>
              </w:rPr>
              <w:t>319,50</w:t>
            </w:r>
          </w:p>
        </w:tc>
        <w:tc>
          <w:tcPr>
            <w:tcW w:type="dxa" w:w="2268"/>
            <w:vAlign w:val="center"/>
          </w:tcPr>
          <w:p>
            <w:pPr>
              <w:jc w:val="center"/>
            </w:pPr>
            <w:r/>
            <w:r>
              <w:rPr>
                <w:rFonts w:ascii="Arial" w:hAnsi="Arial"/>
                <w:b w:val="0"/>
                <w:sz w:val="19"/>
              </w:rPr>
              <w:t>156,50</w:t>
            </w:r>
          </w:p>
        </w:tc>
        <w:tc>
          <w:tcPr>
            <w:tcW w:type="dxa" w:w="3118"/>
            <w:vAlign w:val="center"/>
          </w:tcPr>
          <w:p>
            <w:pPr>
              <w:jc w:val="center"/>
            </w:pPr>
            <w:r/>
            <w:r>
              <w:rPr>
                <w:rFonts w:ascii="Arial" w:hAnsi="Arial"/>
                <w:b w:val="0"/>
                <w:sz w:val="19"/>
              </w:rPr>
              <w:t>-51,0%</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43,04% para 21,92%, redução de 21,11 pontos percentuais ou 49,1% em termos relativos. A classificação passou de dispersão muito elevada para dispersão relevante. O desvio-padrão caiu 49,1%, e a amplitude da carga caiu de 319,5 para 156,5 processos por magistrado, redução de 51,0%.</w:t>
            </w:r>
          </w:p>
        </w:tc>
      </w:tr>
    </w:tbl>
    <w:p/>
    <w:p>
      <w:r>
        <w:br w:type="page"/>
      </w:r>
    </w:p>
    <w:p>
      <w:pPr>
        <w:spacing w:before="280" w:after="120"/>
        <w:outlineLvl w:val="1"/>
      </w:pPr>
      <w:r>
        <w:rPr>
          <w:rFonts w:ascii="Arial" w:hAnsi="Arial"/>
          <w:b/>
          <w:color w:val="1E3F66"/>
          <w:sz w:val="36"/>
        </w:rPr>
        <w:t>5. Comparação entre cedentes, destinatárias e neutras</w:t>
      </w:r>
    </w:p>
    <w:p>
      <w:r>
        <w:rPr>
          <w:rFonts w:ascii="Arial" w:hAnsi="Arial"/>
          <w:b w:val="0"/>
          <w:sz w:val="22"/>
        </w:rPr>
        <w:t>A comparação por grupo evidencia a mudança entre as unidades que enviaram processos, as que receberam processos e as unidades neutras. Os gráficos mostram a média de processos por unidade e a carga média por magistrado.</w:t>
      </w:r>
    </w:p>
    <w:p>
      <w:pPr>
        <w:jc w:val="center"/>
      </w:pPr>
      <w:r>
        <w:drawing>
          <wp:inline xmlns:a="http://schemas.openxmlformats.org/drawingml/2006/main" xmlns:pic="http://schemas.openxmlformats.org/drawingml/2006/picture">
            <wp:extent cx="6120000" cy="2004403"/>
            <wp:docPr id="3" name="Picture 3"/>
            <wp:cNvGraphicFramePr>
              <a:graphicFrameLocks noChangeAspect="1"/>
            </wp:cNvGraphicFramePr>
            <a:graphic>
              <a:graphicData uri="http://schemas.openxmlformats.org/drawingml/2006/picture">
                <pic:pic>
                  <pic:nvPicPr>
                    <pic:cNvPr id="0" name="figura3.png"/>
                    <pic:cNvPicPr/>
                  </pic:nvPicPr>
                  <pic:blipFill>
                    <a:blip r:embed="rId13"/>
                    <a:stretch>
                      <a:fillRect/>
                    </a:stretch>
                  </pic:blipFill>
                  <pic:spPr>
                    <a:xfrm>
                      <a:off x="0" y="0"/>
                      <a:ext cx="6120000" cy="2004403"/>
                    </a:xfrm>
                    <a:prstGeom prst="rect"/>
                  </pic:spPr>
                </pic:pic>
              </a:graphicData>
            </a:graphic>
          </wp:inline>
        </w:drawing>
      </w:r>
    </w:p>
    <w:p>
      <w:r>
        <w:rPr>
          <w:rFonts w:ascii="Arial" w:hAnsi="Arial"/>
          <w:i/>
          <w:color w:val="6B7280"/>
          <w:sz w:val="19"/>
        </w:rPr>
        <w:t>Figura 3. Média de processos por unidade e carga média por magistrado,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152"/>
        <w:gridCol w:w="1152"/>
        <w:gridCol w:w="1152"/>
        <w:gridCol w:w="1152"/>
        <w:gridCol w:w="1152"/>
        <w:gridCol w:w="1152"/>
        <w:gridCol w:w="1152"/>
        <w:gridCol w:w="1152"/>
        <w:gridCol w:w="1152"/>
      </w:tblGrid>
      <w:tr>
        <w:trPr>
          <w:tblHeader w:val="true"/>
        </w:trPr>
        <w:tc>
          <w:tcPr>
            <w:tcW w:type="dxa" w:w="1152"/>
            <w:shd w:val="clear" w:fill="285B87"/>
            <w:vAlign w:val="center"/>
          </w:tcPr>
          <w:p>
            <w:pPr>
              <w:jc w:val="center"/>
            </w:pPr>
            <w:r/>
            <w:r>
              <w:rPr>
                <w:rFonts w:ascii="Arial" w:hAnsi="Arial"/>
                <w:b/>
                <w:color w:val="FFFFFF"/>
                <w:sz w:val="19"/>
              </w:rPr>
            </w:r>
          </w:p>
        </w:tc>
        <w:tc>
          <w:tcPr>
            <w:tcW w:type="dxa" w:w="1152"/>
            <w:shd w:val="clear" w:fill="285B87"/>
            <w:vAlign w:val="center"/>
          </w:tcPr>
          <w:p>
            <w:pPr>
              <w:jc w:val="center"/>
            </w:pPr>
            <w:r/>
            <w:r>
              <w:rPr>
                <w:rFonts w:ascii="Arial" w:hAnsi="Arial"/>
                <w:b/>
                <w:color w:val="FFFFFF"/>
                <w:sz w:val="19"/>
              </w:rPr>
            </w:r>
          </w:p>
        </w:tc>
        <w:tc>
          <w:tcPr>
            <w:tcW w:type="dxa" w:w="1152"/>
            <w:shd w:val="clear" w:fill="285B87"/>
            <w:vAlign w:val="center"/>
          </w:tcPr>
          <w:p>
            <w:pPr>
              <w:jc w:val="center"/>
            </w:pPr>
            <w:r/>
            <w:r>
              <w:rPr>
                <w:rFonts w:ascii="Arial" w:hAnsi="Arial"/>
                <w:b/>
                <w:color w:val="FFFFFF"/>
                <w:sz w:val="19"/>
              </w:rPr>
            </w:r>
          </w:p>
        </w:tc>
        <w:tc>
          <w:tcPr>
            <w:tcW w:type="dxa" w:w="3456"/>
            <w:gridSpan w:val="3"/>
            <w:shd w:val="clear" w:fill="285B87"/>
            <w:vAlign w:val="center"/>
          </w:tcPr>
          <w:p>
            <w:pPr>
              <w:jc w:val="center"/>
            </w:pPr>
            <w:r/>
            <w:r>
              <w:rPr>
                <w:rFonts w:ascii="Arial" w:hAnsi="Arial"/>
                <w:b/>
                <w:color w:val="FFFFFF"/>
                <w:sz w:val="19"/>
              </w:rPr>
              <w:t>Sem equalização</w:t>
            </w:r>
          </w:p>
        </w:tc>
        <w:tc>
          <w:tcPr>
            <w:tcW w:type="dxa" w:w="3456"/>
            <w:gridSpan w:val="3"/>
            <w:shd w:val="clear" w:fill="285B87"/>
            <w:vAlign w:val="center"/>
          </w:tcPr>
          <w:p>
            <w:pPr>
              <w:jc w:val="center"/>
            </w:pPr>
            <w:r/>
            <w:r>
              <w:rPr>
                <w:rFonts w:ascii="Arial" w:hAnsi="Arial"/>
                <w:b/>
                <w:color w:val="FFFFFF"/>
                <w:sz w:val="19"/>
              </w:rPr>
              <w:t>Com equalização</w:t>
            </w:r>
          </w:p>
        </w:tc>
      </w:tr>
      <w:tr>
        <w:trPr>
          <w:tblHeader w:val="true"/>
        </w:trPr>
        <w:tc>
          <w:tcPr>
            <w:tcW w:type="dxa" w:w="1701"/>
            <w:shd w:val="clear" w:fill="285B87"/>
            <w:vAlign w:val="center"/>
          </w:tcPr>
          <w:p>
            <w:r/>
            <w:r>
              <w:rPr>
                <w:rFonts w:ascii="Arial" w:hAnsi="Arial"/>
                <w:b/>
                <w:color w:val="FFFFFF"/>
                <w:sz w:val="18"/>
              </w:rPr>
              <w:t>Grupo</w:t>
            </w:r>
          </w:p>
        </w:tc>
        <w:tc>
          <w:tcPr>
            <w:tcW w:type="dxa" w:w="907"/>
            <w:shd w:val="clear" w:fill="285B87"/>
            <w:vAlign w:val="center"/>
          </w:tcPr>
          <w:p>
            <w:pPr>
              <w:jc w:val="center"/>
            </w:pPr>
            <w:r/>
            <w:r>
              <w:rPr>
                <w:rFonts w:ascii="Arial" w:hAnsi="Arial"/>
                <w:b/>
                <w:color w:val="FFFFFF"/>
                <w:sz w:val="18"/>
              </w:rPr>
              <w:t>Unid.</w:t>
            </w:r>
          </w:p>
        </w:tc>
        <w:tc>
          <w:tcPr>
            <w:tcW w:type="dxa" w:w="907"/>
            <w:shd w:val="clear" w:fill="285B87"/>
            <w:vAlign w:val="center"/>
          </w:tcPr>
          <w:p>
            <w:pPr>
              <w:jc w:val="center"/>
            </w:pPr>
            <w:r/>
            <w:r>
              <w:rPr>
                <w:rFonts w:ascii="Arial" w:hAnsi="Arial"/>
                <w:b/>
                <w:color w:val="FFFFFF"/>
                <w:sz w:val="18"/>
              </w:rPr>
              <w:t>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Proc./unid.</w:t>
            </w:r>
          </w:p>
        </w:tc>
        <w:tc>
          <w:tcPr>
            <w:tcW w:type="dxa" w:w="1134"/>
            <w:shd w:val="clear" w:fill="285B87"/>
            <w:vAlign w:val="center"/>
          </w:tcPr>
          <w:p>
            <w:pPr>
              <w:jc w:val="center"/>
            </w:pPr>
            <w:r/>
            <w:r>
              <w:rPr>
                <w:rFonts w:ascii="Arial" w:hAnsi="Arial"/>
                <w:b/>
                <w:color w:val="FFFFFF"/>
                <w:sz w:val="18"/>
              </w:rPr>
              <w:t>Proc./mag.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Proc./unid.</w:t>
            </w:r>
          </w:p>
        </w:tc>
        <w:tc>
          <w:tcPr>
            <w:tcW w:type="dxa" w:w="1134"/>
            <w:shd w:val="clear" w:fill="285B87"/>
            <w:vAlign w:val="center"/>
          </w:tcPr>
          <w:p>
            <w:pPr>
              <w:jc w:val="center"/>
            </w:pPr>
            <w:r/>
            <w:r>
              <w:rPr>
                <w:rFonts w:ascii="Arial" w:hAnsi="Arial"/>
                <w:b/>
                <w:color w:val="FFFFFF"/>
                <w:sz w:val="18"/>
              </w:rPr>
              <w:t>Proc./mag.</w:t>
            </w:r>
          </w:p>
        </w:tc>
      </w:tr>
      <w:tr>
        <w:tc>
          <w:tcPr>
            <w:tcW w:type="dxa" w:w="1701"/>
            <w:vAlign w:val="center"/>
          </w:tcPr>
          <w:p>
            <w:r/>
            <w:r>
              <w:rPr>
                <w:rFonts w:ascii="Arial" w:hAnsi="Arial"/>
                <w:b w:val="0"/>
                <w:sz w:val="18"/>
              </w:rPr>
              <w:t>Cedentes</w:t>
            </w:r>
          </w:p>
        </w:tc>
        <w:tc>
          <w:tcPr>
            <w:tcW w:type="dxa" w:w="907"/>
            <w:vAlign w:val="center"/>
          </w:tcPr>
          <w:p>
            <w:pPr>
              <w:jc w:val="center"/>
            </w:pPr>
            <w:r/>
            <w:r>
              <w:rPr>
                <w:rFonts w:ascii="Arial" w:hAnsi="Arial"/>
                <w:b w:val="0"/>
                <w:sz w:val="18"/>
              </w:rPr>
              <w:t>16</w:t>
            </w:r>
          </w:p>
        </w:tc>
        <w:tc>
          <w:tcPr>
            <w:tcW w:type="dxa" w:w="907"/>
            <w:vAlign w:val="center"/>
          </w:tcPr>
          <w:p>
            <w:pPr>
              <w:jc w:val="center"/>
            </w:pPr>
            <w:r/>
            <w:r>
              <w:rPr>
                <w:rFonts w:ascii="Arial" w:hAnsi="Arial"/>
                <w:b w:val="0"/>
                <w:sz w:val="18"/>
              </w:rPr>
              <w:t>25</w:t>
            </w:r>
          </w:p>
        </w:tc>
        <w:tc>
          <w:tcPr>
            <w:tcW w:type="dxa" w:w="1020"/>
            <w:vAlign w:val="center"/>
          </w:tcPr>
          <w:p>
            <w:pPr>
              <w:jc w:val="center"/>
            </w:pPr>
            <w:r/>
            <w:r>
              <w:rPr>
                <w:rFonts w:ascii="Arial" w:hAnsi="Arial"/>
                <w:b w:val="0"/>
                <w:sz w:val="18"/>
              </w:rPr>
              <w:t>5.151</w:t>
            </w:r>
          </w:p>
        </w:tc>
        <w:tc>
          <w:tcPr>
            <w:tcW w:type="dxa" w:w="1134"/>
            <w:vAlign w:val="center"/>
          </w:tcPr>
          <w:p>
            <w:pPr>
              <w:jc w:val="center"/>
            </w:pPr>
            <w:r/>
            <w:r>
              <w:rPr>
                <w:rFonts w:ascii="Arial" w:hAnsi="Arial"/>
                <w:b w:val="0"/>
                <w:sz w:val="18"/>
              </w:rPr>
              <w:t>321,94</w:t>
            </w:r>
          </w:p>
        </w:tc>
        <w:tc>
          <w:tcPr>
            <w:tcW w:type="dxa" w:w="1134"/>
            <w:vAlign w:val="center"/>
          </w:tcPr>
          <w:p>
            <w:pPr>
              <w:jc w:val="center"/>
            </w:pPr>
            <w:r/>
            <w:r>
              <w:rPr>
                <w:rFonts w:ascii="Arial" w:hAnsi="Arial"/>
                <w:b w:val="0"/>
                <w:sz w:val="18"/>
              </w:rPr>
              <w:t>206,04</w:t>
            </w:r>
          </w:p>
        </w:tc>
        <w:tc>
          <w:tcPr>
            <w:tcW w:type="dxa" w:w="1020"/>
            <w:vAlign w:val="center"/>
          </w:tcPr>
          <w:p>
            <w:pPr>
              <w:jc w:val="center"/>
            </w:pPr>
            <w:r/>
            <w:r>
              <w:rPr>
                <w:rFonts w:ascii="Arial" w:hAnsi="Arial"/>
                <w:b w:val="0"/>
                <w:sz w:val="18"/>
              </w:rPr>
              <w:t>4.105</w:t>
            </w:r>
          </w:p>
        </w:tc>
        <w:tc>
          <w:tcPr>
            <w:tcW w:type="dxa" w:w="1134"/>
            <w:vAlign w:val="center"/>
          </w:tcPr>
          <w:p>
            <w:pPr>
              <w:jc w:val="center"/>
            </w:pPr>
            <w:r/>
            <w:r>
              <w:rPr>
                <w:rFonts w:ascii="Arial" w:hAnsi="Arial"/>
                <w:b w:val="0"/>
                <w:sz w:val="18"/>
              </w:rPr>
              <w:t>256,56</w:t>
            </w:r>
          </w:p>
        </w:tc>
        <w:tc>
          <w:tcPr>
            <w:tcW w:type="dxa" w:w="1134"/>
            <w:vAlign w:val="center"/>
          </w:tcPr>
          <w:p>
            <w:pPr>
              <w:jc w:val="center"/>
            </w:pPr>
            <w:r/>
            <w:r>
              <w:rPr>
                <w:rFonts w:ascii="Arial" w:hAnsi="Arial"/>
                <w:b w:val="0"/>
                <w:sz w:val="18"/>
              </w:rPr>
              <w:t>164,20</w:t>
            </w:r>
          </w:p>
        </w:tc>
      </w:tr>
      <w:tr>
        <w:tc>
          <w:tcPr>
            <w:tcW w:type="dxa" w:w="1701"/>
            <w:vAlign w:val="center"/>
          </w:tcPr>
          <w:p>
            <w:r/>
            <w:r>
              <w:rPr>
                <w:rFonts w:ascii="Arial" w:hAnsi="Arial"/>
                <w:b w:val="0"/>
                <w:sz w:val="18"/>
              </w:rPr>
              <w:t>Neutras</w:t>
            </w:r>
          </w:p>
        </w:tc>
        <w:tc>
          <w:tcPr>
            <w:tcW w:type="dxa" w:w="907"/>
            <w:vAlign w:val="center"/>
          </w:tcPr>
          <w:p>
            <w:pPr>
              <w:jc w:val="center"/>
            </w:pPr>
            <w:r/>
            <w:r>
              <w:rPr>
                <w:rFonts w:ascii="Arial" w:hAnsi="Arial"/>
                <w:b w:val="0"/>
                <w:sz w:val="18"/>
              </w:rPr>
              <w:t>26</w:t>
            </w:r>
          </w:p>
        </w:tc>
        <w:tc>
          <w:tcPr>
            <w:tcW w:type="dxa" w:w="907"/>
            <w:vAlign w:val="center"/>
          </w:tcPr>
          <w:p>
            <w:pPr>
              <w:jc w:val="center"/>
            </w:pPr>
            <w:r/>
            <w:r>
              <w:rPr>
                <w:rFonts w:ascii="Arial" w:hAnsi="Arial"/>
                <w:b w:val="0"/>
                <w:sz w:val="18"/>
              </w:rPr>
              <w:t>45</w:t>
            </w:r>
          </w:p>
        </w:tc>
        <w:tc>
          <w:tcPr>
            <w:tcW w:type="dxa" w:w="1020"/>
            <w:vAlign w:val="center"/>
          </w:tcPr>
          <w:p>
            <w:pPr>
              <w:jc w:val="center"/>
            </w:pPr>
            <w:r/>
            <w:r>
              <w:rPr>
                <w:rFonts w:ascii="Arial" w:hAnsi="Arial"/>
                <w:b w:val="0"/>
                <w:sz w:val="18"/>
              </w:rPr>
              <w:t>6.132</w:t>
            </w:r>
          </w:p>
        </w:tc>
        <w:tc>
          <w:tcPr>
            <w:tcW w:type="dxa" w:w="1134"/>
            <w:vAlign w:val="center"/>
          </w:tcPr>
          <w:p>
            <w:pPr>
              <w:jc w:val="center"/>
            </w:pPr>
            <w:r/>
            <w:r>
              <w:rPr>
                <w:rFonts w:ascii="Arial" w:hAnsi="Arial"/>
                <w:b w:val="0"/>
                <w:sz w:val="18"/>
              </w:rPr>
              <w:t>235,85</w:t>
            </w:r>
          </w:p>
        </w:tc>
        <w:tc>
          <w:tcPr>
            <w:tcW w:type="dxa" w:w="1134"/>
            <w:vAlign w:val="center"/>
          </w:tcPr>
          <w:p>
            <w:pPr>
              <w:jc w:val="center"/>
            </w:pPr>
            <w:r/>
            <w:r>
              <w:rPr>
                <w:rFonts w:ascii="Arial" w:hAnsi="Arial"/>
                <w:b w:val="0"/>
                <w:sz w:val="18"/>
              </w:rPr>
              <w:t>136,27</w:t>
            </w:r>
          </w:p>
        </w:tc>
        <w:tc>
          <w:tcPr>
            <w:tcW w:type="dxa" w:w="1020"/>
            <w:vAlign w:val="center"/>
          </w:tcPr>
          <w:p>
            <w:pPr>
              <w:jc w:val="center"/>
            </w:pPr>
            <w:r/>
            <w:r>
              <w:rPr>
                <w:rFonts w:ascii="Arial" w:hAnsi="Arial"/>
                <w:b w:val="0"/>
                <w:sz w:val="18"/>
              </w:rPr>
              <w:t>6.133</w:t>
            </w:r>
          </w:p>
        </w:tc>
        <w:tc>
          <w:tcPr>
            <w:tcW w:type="dxa" w:w="1134"/>
            <w:vAlign w:val="center"/>
          </w:tcPr>
          <w:p>
            <w:pPr>
              <w:jc w:val="center"/>
            </w:pPr>
            <w:r/>
            <w:r>
              <w:rPr>
                <w:rFonts w:ascii="Arial" w:hAnsi="Arial"/>
                <w:b w:val="0"/>
                <w:sz w:val="18"/>
              </w:rPr>
              <w:t>235,88</w:t>
            </w:r>
          </w:p>
        </w:tc>
        <w:tc>
          <w:tcPr>
            <w:tcW w:type="dxa" w:w="1134"/>
            <w:vAlign w:val="center"/>
          </w:tcPr>
          <w:p>
            <w:pPr>
              <w:jc w:val="center"/>
            </w:pPr>
            <w:r/>
            <w:r>
              <w:rPr>
                <w:rFonts w:ascii="Arial" w:hAnsi="Arial"/>
                <w:b w:val="0"/>
                <w:sz w:val="18"/>
              </w:rPr>
              <w:t>136,29</w:t>
            </w:r>
          </w:p>
        </w:tc>
      </w:tr>
      <w:tr>
        <w:tc>
          <w:tcPr>
            <w:tcW w:type="dxa" w:w="1701"/>
            <w:vAlign w:val="center"/>
          </w:tcPr>
          <w:p>
            <w:r/>
            <w:r>
              <w:rPr>
                <w:rFonts w:ascii="Arial" w:hAnsi="Arial"/>
                <w:b w:val="0"/>
                <w:sz w:val="18"/>
              </w:rPr>
              <w:t>Destinatárias</w:t>
            </w:r>
          </w:p>
        </w:tc>
        <w:tc>
          <w:tcPr>
            <w:tcW w:type="dxa" w:w="907"/>
            <w:vAlign w:val="center"/>
          </w:tcPr>
          <w:p>
            <w:pPr>
              <w:jc w:val="center"/>
            </w:pPr>
            <w:r/>
            <w:r>
              <w:rPr>
                <w:rFonts w:ascii="Arial" w:hAnsi="Arial"/>
                <w:b w:val="0"/>
                <w:sz w:val="18"/>
              </w:rPr>
              <w:t>18</w:t>
            </w:r>
          </w:p>
        </w:tc>
        <w:tc>
          <w:tcPr>
            <w:tcW w:type="dxa" w:w="907"/>
            <w:vAlign w:val="center"/>
          </w:tcPr>
          <w:p>
            <w:pPr>
              <w:jc w:val="center"/>
            </w:pPr>
            <w:r/>
            <w:r>
              <w:rPr>
                <w:rFonts w:ascii="Arial" w:hAnsi="Arial"/>
                <w:b w:val="0"/>
                <w:sz w:val="18"/>
              </w:rPr>
              <w:t>31</w:t>
            </w:r>
          </w:p>
        </w:tc>
        <w:tc>
          <w:tcPr>
            <w:tcW w:type="dxa" w:w="1020"/>
            <w:vAlign w:val="center"/>
          </w:tcPr>
          <w:p>
            <w:pPr>
              <w:jc w:val="center"/>
            </w:pPr>
            <w:r/>
            <w:r>
              <w:rPr>
                <w:rFonts w:ascii="Arial" w:hAnsi="Arial"/>
                <w:b w:val="0"/>
                <w:sz w:val="18"/>
              </w:rPr>
              <w:t>3.140</w:t>
            </w:r>
          </w:p>
        </w:tc>
        <w:tc>
          <w:tcPr>
            <w:tcW w:type="dxa" w:w="1134"/>
            <w:vAlign w:val="center"/>
          </w:tcPr>
          <w:p>
            <w:pPr>
              <w:jc w:val="center"/>
            </w:pPr>
            <w:r/>
            <w:r>
              <w:rPr>
                <w:rFonts w:ascii="Arial" w:hAnsi="Arial"/>
                <w:b w:val="0"/>
                <w:sz w:val="18"/>
              </w:rPr>
              <w:t>174,44</w:t>
            </w:r>
          </w:p>
        </w:tc>
        <w:tc>
          <w:tcPr>
            <w:tcW w:type="dxa" w:w="1134"/>
            <w:vAlign w:val="center"/>
          </w:tcPr>
          <w:p>
            <w:pPr>
              <w:jc w:val="center"/>
            </w:pPr>
            <w:r/>
            <w:r>
              <w:rPr>
                <w:rFonts w:ascii="Arial" w:hAnsi="Arial"/>
                <w:b w:val="0"/>
                <w:sz w:val="18"/>
              </w:rPr>
              <w:t>101,29</w:t>
            </w:r>
          </w:p>
        </w:tc>
        <w:tc>
          <w:tcPr>
            <w:tcW w:type="dxa" w:w="1020"/>
            <w:vAlign w:val="center"/>
          </w:tcPr>
          <w:p>
            <w:pPr>
              <w:jc w:val="center"/>
            </w:pPr>
            <w:r/>
            <w:r>
              <w:rPr>
                <w:rFonts w:ascii="Arial" w:hAnsi="Arial"/>
                <w:b w:val="0"/>
                <w:sz w:val="18"/>
              </w:rPr>
              <w:t>4.185</w:t>
            </w:r>
          </w:p>
        </w:tc>
        <w:tc>
          <w:tcPr>
            <w:tcW w:type="dxa" w:w="1134"/>
            <w:vAlign w:val="center"/>
          </w:tcPr>
          <w:p>
            <w:pPr>
              <w:jc w:val="center"/>
            </w:pPr>
            <w:r/>
            <w:r>
              <w:rPr>
                <w:rFonts w:ascii="Arial" w:hAnsi="Arial"/>
                <w:b w:val="0"/>
                <w:sz w:val="18"/>
              </w:rPr>
              <w:t>232,50</w:t>
            </w:r>
          </w:p>
        </w:tc>
        <w:tc>
          <w:tcPr>
            <w:tcW w:type="dxa" w:w="1134"/>
            <w:vAlign w:val="center"/>
          </w:tcPr>
          <w:p>
            <w:pPr>
              <w:jc w:val="center"/>
            </w:pPr>
            <w:r/>
            <w:r>
              <w:rPr>
                <w:rFonts w:ascii="Arial" w:hAnsi="Arial"/>
                <w:b w:val="0"/>
                <w:sz w:val="18"/>
              </w:rPr>
              <w:t>135,00</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Quantidade por unidade: </w:t>
            </w:r>
            <w:r>
              <w:rPr>
                <w:rFonts w:ascii="Arial" w:hAnsi="Arial"/>
                <w:color w:val="1E3F66"/>
                <w:sz w:val="18"/>
              </w:rPr>
              <w:t>A diferença entre as médias de cedentes e destinatárias caiu de 147,49 para 24,06 processos por unidade, redução de 83,7%.</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Quantidade por magistrado: </w:t>
            </w:r>
            <w:r>
              <w:rPr>
                <w:rFonts w:ascii="Arial" w:hAnsi="Arial"/>
                <w:color w:val="1E3F66"/>
                <w:sz w:val="18"/>
              </w:rPr>
              <w:t>A diferença entre cedentes e destinatárias caiu de 104,75 para 29,20 processos por magistrado, redução de 72,1%.</w:t>
            </w:r>
          </w:p>
        </w:tc>
      </w:tr>
    </w:tbl>
    <w:p/>
    <w:p>
      <w:r>
        <w:br w:type="page"/>
      </w:r>
    </w:p>
    <w:p>
      <w:pPr>
        <w:sectPr>
          <w:headerReference w:type="default" r:id="rId9"/>
          <w:footerReference w:type="default" r:id="rId10"/>
          <w:pgSz w:w="12240" w:h="15840"/>
          <w:pgMar w:top="794" w:right="935" w:bottom="794" w:left="935" w:header="720" w:footer="720" w:gutter="0"/>
          <w:cols w:space="720"/>
          <w:docGrid w:linePitch="360"/>
        </w:sectPr>
      </w:pPr>
    </w:p>
    <w:p>
      <w:pPr>
        <w:spacing w:before="280" w:after="120"/>
        <w:outlineLvl w:val="1"/>
      </w:pPr>
      <w:r>
        <w:rPr>
          <w:rFonts w:ascii="Arial" w:hAnsi="Arial"/>
          <w:b/>
          <w:color w:val="1E3F66"/>
          <w:sz w:val="36"/>
        </w:rPr>
        <w:t>Anexo 1. Unidades cedentes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t>Equalizados enviados</w:t>
            </w:r>
          </w:p>
        </w:tc>
        <w:tc>
          <w:tcPr>
            <w:tcW w:type="dxa" w:w="2926"/>
            <w:gridSpan w:val="2"/>
            <w:shd w:val="clear" w:fill="285B87"/>
            <w:vAlign w:val="center"/>
          </w:tcPr>
          <w:p>
            <w:pPr>
              <w:jc w:val="center"/>
            </w:pPr>
            <w:r/>
            <w:r>
              <w:rPr>
                <w:rFonts w:ascii="Arial" w:hAnsi="Arial"/>
                <w:b/>
                <w:color w:val="FFFFFF"/>
                <w:sz w:val="19"/>
              </w:rPr>
              <w:t>Sem equalização</w:t>
            </w:r>
          </w:p>
        </w:tc>
        <w:tc>
          <w:tcPr>
            <w:tcW w:type="dxa" w:w="2926"/>
            <w:gridSpan w:val="2"/>
            <w:shd w:val="clear" w:fill="285B87"/>
            <w:vAlign w:val="center"/>
          </w:tcPr>
          <w:p>
            <w:pPr>
              <w:jc w:val="center"/>
            </w:pPr>
            <w:r/>
            <w:r>
              <w:rPr>
                <w:rFonts w:ascii="Arial" w:hAnsi="Arial"/>
                <w:b/>
                <w:color w:val="FFFFFF"/>
                <w:sz w:val="19"/>
              </w:rPr>
              <w:t>Com equalização</w:t>
            </w:r>
          </w:p>
        </w:tc>
        <w:tc>
          <w:tcPr>
            <w:tcW w:type="dxa" w:w="2926"/>
            <w:gridSpan w:val="2"/>
            <w:shd w:val="clear" w:fill="285B87"/>
            <w:vAlign w:val="center"/>
          </w:tcPr>
          <w:p>
            <w:pPr>
              <w:jc w:val="center"/>
            </w:pPr>
            <w:r/>
            <w:r>
              <w:rPr>
                <w:rFonts w:ascii="Arial" w:hAnsi="Arial"/>
                <w:b/>
                <w:color w:val="FFFFFF"/>
                <w:sz w:val="19"/>
              </w:rPr>
              <w:t>Variação líquida</w:t>
            </w:r>
          </w:p>
        </w:tc>
      </w:tr>
      <w:tr>
        <w:trPr>
          <w:tblHeader w:val="true"/>
        </w:trPr>
        <w:tc>
          <w:tcPr>
            <w:tcW w:type="dxa" w:w="3685"/>
            <w:shd w:val="clear" w:fill="285B87"/>
            <w:vAlign w:val="center"/>
          </w:tcPr>
          <w:p>
            <w:r/>
            <w:r>
              <w:rPr>
                <w:rFonts w:ascii="Arial" w:hAnsi="Arial"/>
                <w:b/>
                <w:color w:val="FFFFFF"/>
                <w:sz w:val="18"/>
              </w:rPr>
              <w:t>Unidade</w:t>
            </w:r>
          </w:p>
        </w:tc>
        <w:tc>
          <w:tcPr>
            <w:tcW w:type="dxa" w:w="907"/>
            <w:shd w:val="clear" w:fill="285B87"/>
            <w:vAlign w:val="center"/>
          </w:tcPr>
          <w:p>
            <w:pPr>
              <w:jc w:val="center"/>
            </w:pPr>
            <w:r/>
            <w:r>
              <w:rPr>
                <w:rFonts w:ascii="Arial" w:hAnsi="Arial"/>
                <w:b/>
                <w:color w:val="FFFFFF"/>
                <w:sz w:val="18"/>
              </w:rPr>
              <w:t>Mag.</w:t>
            </w:r>
          </w:p>
        </w:tc>
        <w:tc>
          <w:tcPr>
            <w:tcW w:type="dxa" w:w="1134"/>
            <w:shd w:val="clear" w:fill="285B87"/>
            <w:vAlign w:val="center"/>
          </w:tcPr>
          <w:p>
            <w:pPr>
              <w:jc w:val="center"/>
            </w:pPr>
            <w:r/>
            <w:r>
              <w:rPr>
                <w:rFonts w:ascii="Arial" w:hAnsi="Arial"/>
                <w:b/>
                <w:color w:val="FFFFFF"/>
                <w:sz w:val="18"/>
              </w:rPr>
              <w:t>Casos novos</w:t>
            </w:r>
          </w:p>
        </w:tc>
        <w:tc>
          <w:tcPr>
            <w:tcW w:type="dxa" w:w="1247"/>
            <w:shd w:val="clear" w:fill="285B87"/>
            <w:vAlign w:val="center"/>
          </w:tcPr>
          <w:p>
            <w:pPr>
              <w:jc w:val="center"/>
            </w:pPr>
            <w:r/>
            <w:r>
              <w:rPr>
                <w:rFonts w:ascii="Arial" w:hAnsi="Arial"/>
                <w:b/>
                <w:color w:val="FFFFFF"/>
                <w:sz w:val="18"/>
              </w:rPr>
              <w:t>Equaliz. enviados</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r>
      <w:tr>
        <w:tc>
          <w:tcPr>
            <w:tcW w:type="dxa" w:w="3685"/>
            <w:vAlign w:val="center"/>
          </w:tcPr>
          <w:p>
            <w:r/>
            <w:r>
              <w:rPr>
                <w:rFonts w:ascii="Arial" w:hAnsi="Arial"/>
                <w:b w:val="0"/>
                <w:sz w:val="18"/>
              </w:rPr>
              <w:t>1ª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263</w:t>
            </w:r>
          </w:p>
        </w:tc>
        <w:tc>
          <w:tcPr>
            <w:tcW w:type="dxa" w:w="1247"/>
            <w:vAlign w:val="center"/>
          </w:tcPr>
          <w:p>
            <w:pPr>
              <w:jc w:val="center"/>
            </w:pPr>
            <w:r/>
            <w:r>
              <w:rPr>
                <w:rFonts w:ascii="Arial" w:hAnsi="Arial"/>
                <w:b w:val="0"/>
                <w:sz w:val="18"/>
              </w:rPr>
              <w:t>95</w:t>
            </w:r>
          </w:p>
        </w:tc>
        <w:tc>
          <w:tcPr>
            <w:tcW w:type="dxa" w:w="1134"/>
            <w:vAlign w:val="center"/>
          </w:tcPr>
          <w:p>
            <w:pPr>
              <w:jc w:val="center"/>
            </w:pPr>
            <w:r/>
            <w:r>
              <w:rPr>
                <w:rFonts w:ascii="Arial" w:hAnsi="Arial"/>
                <w:b w:val="0"/>
                <w:sz w:val="18"/>
              </w:rPr>
              <w:t>273</w:t>
            </w:r>
          </w:p>
        </w:tc>
        <w:tc>
          <w:tcPr>
            <w:tcW w:type="dxa" w:w="1134"/>
            <w:vAlign w:val="center"/>
          </w:tcPr>
          <w:p>
            <w:pPr>
              <w:jc w:val="center"/>
            </w:pPr>
            <w:r/>
            <w:r>
              <w:rPr>
                <w:rFonts w:ascii="Arial" w:hAnsi="Arial"/>
                <w:b w:val="0"/>
                <w:sz w:val="18"/>
              </w:rPr>
              <w:t>273,0</w:t>
            </w:r>
          </w:p>
        </w:tc>
        <w:tc>
          <w:tcPr>
            <w:tcW w:type="dxa" w:w="1134"/>
            <w:vAlign w:val="center"/>
          </w:tcPr>
          <w:p>
            <w:pPr>
              <w:jc w:val="center"/>
            </w:pPr>
            <w:r/>
            <w:r>
              <w:rPr>
                <w:rFonts w:ascii="Arial" w:hAnsi="Arial"/>
                <w:b w:val="0"/>
                <w:sz w:val="18"/>
              </w:rPr>
              <w:t>178</w:t>
            </w:r>
          </w:p>
        </w:tc>
        <w:tc>
          <w:tcPr>
            <w:tcW w:type="dxa" w:w="1134"/>
            <w:vAlign w:val="center"/>
          </w:tcPr>
          <w:p>
            <w:pPr>
              <w:jc w:val="center"/>
            </w:pPr>
            <w:r/>
            <w:r>
              <w:rPr>
                <w:rFonts w:ascii="Arial" w:hAnsi="Arial"/>
                <w:b w:val="0"/>
                <w:sz w:val="18"/>
              </w:rPr>
              <w:t>178,0</w:t>
            </w:r>
          </w:p>
        </w:tc>
        <w:tc>
          <w:tcPr>
            <w:tcW w:type="dxa" w:w="1134"/>
            <w:vAlign w:val="center"/>
          </w:tcPr>
          <w:p>
            <w:pPr>
              <w:jc w:val="center"/>
            </w:pPr>
            <w:r/>
            <w:r>
              <w:rPr>
                <w:rFonts w:ascii="Arial" w:hAnsi="Arial"/>
                <w:b w:val="0"/>
                <w:sz w:val="18"/>
              </w:rPr>
              <w:t>-95</w:t>
            </w:r>
          </w:p>
        </w:tc>
        <w:tc>
          <w:tcPr>
            <w:tcW w:type="dxa" w:w="1134"/>
            <w:vAlign w:val="center"/>
          </w:tcPr>
          <w:p>
            <w:pPr>
              <w:jc w:val="center"/>
            </w:pPr>
            <w:r/>
            <w:r>
              <w:rPr>
                <w:rFonts w:ascii="Arial" w:hAnsi="Arial"/>
                <w:b w:val="0"/>
                <w:sz w:val="18"/>
              </w:rPr>
              <w:t>-95,0</w:t>
            </w:r>
          </w:p>
        </w:tc>
      </w:tr>
      <w:tr>
        <w:tc>
          <w:tcPr>
            <w:tcW w:type="dxa" w:w="3685"/>
            <w:vAlign w:val="center"/>
          </w:tcPr>
          <w:p>
            <w:r/>
            <w:r>
              <w:rPr>
                <w:rFonts w:ascii="Arial" w:hAnsi="Arial"/>
                <w:b w:val="0"/>
                <w:sz w:val="18"/>
              </w:rPr>
              <w:t>1ª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343</w:t>
            </w:r>
          </w:p>
        </w:tc>
        <w:tc>
          <w:tcPr>
            <w:tcW w:type="dxa" w:w="1247"/>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350</w:t>
            </w:r>
          </w:p>
        </w:tc>
        <w:tc>
          <w:tcPr>
            <w:tcW w:type="dxa" w:w="1134"/>
            <w:vAlign w:val="center"/>
          </w:tcPr>
          <w:p>
            <w:pPr>
              <w:jc w:val="center"/>
            </w:pPr>
            <w:r/>
            <w:r>
              <w:rPr>
                <w:rFonts w:ascii="Arial" w:hAnsi="Arial"/>
                <w:b w:val="0"/>
                <w:sz w:val="18"/>
              </w:rPr>
              <w:t>175,0</w:t>
            </w:r>
          </w:p>
        </w:tc>
        <w:tc>
          <w:tcPr>
            <w:tcW w:type="dxa" w:w="1134"/>
            <w:vAlign w:val="center"/>
          </w:tcPr>
          <w:p>
            <w:pPr>
              <w:jc w:val="center"/>
            </w:pPr>
            <w:r/>
            <w:r>
              <w:rPr>
                <w:rFonts w:ascii="Arial" w:hAnsi="Arial"/>
                <w:b w:val="0"/>
                <w:sz w:val="18"/>
              </w:rPr>
              <w:t>306</w:t>
            </w:r>
          </w:p>
        </w:tc>
        <w:tc>
          <w:tcPr>
            <w:tcW w:type="dxa" w:w="1134"/>
            <w:vAlign w:val="center"/>
          </w:tcPr>
          <w:p>
            <w:pPr>
              <w:jc w:val="center"/>
            </w:pPr>
            <w:r/>
            <w:r>
              <w:rPr>
                <w:rFonts w:ascii="Arial" w:hAnsi="Arial"/>
                <w:b w:val="0"/>
                <w:sz w:val="18"/>
              </w:rPr>
              <w:t>153,0</w:t>
            </w:r>
          </w:p>
        </w:tc>
        <w:tc>
          <w:tcPr>
            <w:tcW w:type="dxa" w:w="1134"/>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-22,0</w:t>
            </w:r>
          </w:p>
        </w:tc>
      </w:tr>
      <w:tr>
        <w:tc>
          <w:tcPr>
            <w:tcW w:type="dxa" w:w="3685"/>
            <w:vAlign w:val="center"/>
          </w:tcPr>
          <w:p>
            <w:r/>
            <w:r>
              <w:rPr>
                <w:rFonts w:ascii="Arial" w:hAnsi="Arial"/>
                <w:b w:val="0"/>
                <w:sz w:val="18"/>
              </w:rPr>
              <w:t>2ª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265</w:t>
            </w:r>
          </w:p>
        </w:tc>
        <w:tc>
          <w:tcPr>
            <w:tcW w:type="dxa" w:w="1247"/>
            <w:vAlign w:val="center"/>
          </w:tcPr>
          <w:p>
            <w:pPr>
              <w:jc w:val="center"/>
            </w:pPr>
            <w:r/>
            <w:r>
              <w:rPr>
                <w:rFonts w:ascii="Arial" w:hAnsi="Arial"/>
                <w:b w:val="0"/>
                <w:sz w:val="18"/>
              </w:rPr>
              <w:t>81</w:t>
            </w:r>
          </w:p>
        </w:tc>
        <w:tc>
          <w:tcPr>
            <w:tcW w:type="dxa" w:w="1134"/>
            <w:vAlign w:val="center"/>
          </w:tcPr>
          <w:p>
            <w:pPr>
              <w:jc w:val="center"/>
            </w:pPr>
            <w:r/>
            <w:r>
              <w:rPr>
                <w:rFonts w:ascii="Arial" w:hAnsi="Arial"/>
                <w:b w:val="0"/>
                <w:sz w:val="18"/>
              </w:rPr>
              <w:t>255</w:t>
            </w:r>
          </w:p>
        </w:tc>
        <w:tc>
          <w:tcPr>
            <w:tcW w:type="dxa" w:w="1134"/>
            <w:vAlign w:val="center"/>
          </w:tcPr>
          <w:p>
            <w:pPr>
              <w:jc w:val="center"/>
            </w:pPr>
            <w:r/>
            <w:r>
              <w:rPr>
                <w:rFonts w:ascii="Arial" w:hAnsi="Arial"/>
                <w:b w:val="0"/>
                <w:sz w:val="18"/>
              </w:rPr>
              <w:t>255,0</w:t>
            </w:r>
          </w:p>
        </w:tc>
        <w:tc>
          <w:tcPr>
            <w:tcW w:type="dxa" w:w="1134"/>
            <w:vAlign w:val="center"/>
          </w:tcPr>
          <w:p>
            <w:pPr>
              <w:jc w:val="center"/>
            </w:pPr>
            <w:r/>
            <w:r>
              <w:rPr>
                <w:rFonts w:ascii="Arial" w:hAnsi="Arial"/>
                <w:b w:val="0"/>
                <w:sz w:val="18"/>
              </w:rPr>
              <w:t>174</w:t>
            </w:r>
          </w:p>
        </w:tc>
        <w:tc>
          <w:tcPr>
            <w:tcW w:type="dxa" w:w="1134"/>
            <w:vAlign w:val="center"/>
          </w:tcPr>
          <w:p>
            <w:pPr>
              <w:jc w:val="center"/>
            </w:pPr>
            <w:r/>
            <w:r>
              <w:rPr>
                <w:rFonts w:ascii="Arial" w:hAnsi="Arial"/>
                <w:b w:val="0"/>
                <w:sz w:val="18"/>
              </w:rPr>
              <w:t>174,0</w:t>
            </w:r>
          </w:p>
        </w:tc>
        <w:tc>
          <w:tcPr>
            <w:tcW w:type="dxa" w:w="1134"/>
            <w:vAlign w:val="center"/>
          </w:tcPr>
          <w:p>
            <w:pPr>
              <w:jc w:val="center"/>
            </w:pPr>
            <w:r/>
            <w:r>
              <w:rPr>
                <w:rFonts w:ascii="Arial" w:hAnsi="Arial"/>
                <w:b w:val="0"/>
                <w:sz w:val="18"/>
              </w:rPr>
              <w:t>-81</w:t>
            </w:r>
          </w:p>
        </w:tc>
        <w:tc>
          <w:tcPr>
            <w:tcW w:type="dxa" w:w="1134"/>
            <w:vAlign w:val="center"/>
          </w:tcPr>
          <w:p>
            <w:pPr>
              <w:jc w:val="center"/>
            </w:pPr>
            <w:r/>
            <w:r>
              <w:rPr>
                <w:rFonts w:ascii="Arial" w:hAnsi="Arial"/>
                <w:b w:val="0"/>
                <w:sz w:val="18"/>
              </w:rPr>
              <w:t>-81,0</w:t>
            </w:r>
          </w:p>
        </w:tc>
      </w:tr>
      <w:tr>
        <w:tc>
          <w:tcPr>
            <w:tcW w:type="dxa" w:w="3685"/>
            <w:vAlign w:val="center"/>
          </w:tcPr>
          <w:p>
            <w:r/>
            <w:r>
              <w:rPr>
                <w:rFonts w:ascii="Arial" w:hAnsi="Arial"/>
                <w:b w:val="0"/>
                <w:sz w:val="18"/>
              </w:rPr>
              <w:t>2ª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338</w:t>
            </w:r>
          </w:p>
        </w:tc>
        <w:tc>
          <w:tcPr>
            <w:tcW w:type="dxa" w:w="1247"/>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341</w:t>
            </w:r>
          </w:p>
        </w:tc>
        <w:tc>
          <w:tcPr>
            <w:tcW w:type="dxa" w:w="1134"/>
            <w:vAlign w:val="center"/>
          </w:tcPr>
          <w:p>
            <w:pPr>
              <w:jc w:val="center"/>
            </w:pPr>
            <w:r/>
            <w:r>
              <w:rPr>
                <w:rFonts w:ascii="Arial" w:hAnsi="Arial"/>
                <w:b w:val="0"/>
                <w:sz w:val="18"/>
              </w:rPr>
              <w:t>170,5</w:t>
            </w:r>
          </w:p>
        </w:tc>
        <w:tc>
          <w:tcPr>
            <w:tcW w:type="dxa" w:w="1134"/>
            <w:vAlign w:val="center"/>
          </w:tcPr>
          <w:p>
            <w:pPr>
              <w:jc w:val="center"/>
            </w:pPr>
            <w:r/>
            <w:r>
              <w:rPr>
                <w:rFonts w:ascii="Arial" w:hAnsi="Arial"/>
                <w:b w:val="0"/>
                <w:sz w:val="18"/>
              </w:rPr>
              <w:t>297</w:t>
            </w:r>
          </w:p>
        </w:tc>
        <w:tc>
          <w:tcPr>
            <w:tcW w:type="dxa" w:w="1134"/>
            <w:vAlign w:val="center"/>
          </w:tcPr>
          <w:p>
            <w:pPr>
              <w:jc w:val="center"/>
            </w:pPr>
            <w:r/>
            <w:r>
              <w:rPr>
                <w:rFonts w:ascii="Arial" w:hAnsi="Arial"/>
                <w:b w:val="0"/>
                <w:sz w:val="18"/>
              </w:rPr>
              <w:t>148,5</w:t>
            </w:r>
          </w:p>
        </w:tc>
        <w:tc>
          <w:tcPr>
            <w:tcW w:type="dxa" w:w="1134"/>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-22,0</w:t>
            </w:r>
          </w:p>
        </w:tc>
      </w:tr>
      <w:tr>
        <w:tc>
          <w:tcPr>
            <w:tcW w:type="dxa" w:w="3685"/>
            <w:vAlign w:val="center"/>
          </w:tcPr>
          <w:p>
            <w:r/>
            <w:r>
              <w:rPr>
                <w:rFonts w:ascii="Arial" w:hAnsi="Arial"/>
                <w:b w:val="0"/>
                <w:sz w:val="18"/>
              </w:rPr>
              <w:t>3ª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250</w:t>
            </w:r>
          </w:p>
        </w:tc>
        <w:tc>
          <w:tcPr>
            <w:tcW w:type="dxa" w:w="1247"/>
            <w:vAlign w:val="center"/>
          </w:tcPr>
          <w:p>
            <w:pPr>
              <w:jc w:val="center"/>
            </w:pPr>
            <w:r/>
            <w:r>
              <w:rPr>
                <w:rFonts w:ascii="Arial" w:hAnsi="Arial"/>
                <w:b w:val="0"/>
                <w:sz w:val="18"/>
              </w:rPr>
              <w:t>70</w:t>
            </w:r>
          </w:p>
        </w:tc>
        <w:tc>
          <w:tcPr>
            <w:tcW w:type="dxa" w:w="1134"/>
            <w:vAlign w:val="center"/>
          </w:tcPr>
          <w:p>
            <w:pPr>
              <w:jc w:val="center"/>
            </w:pPr>
            <w:r/>
            <w:r>
              <w:rPr>
                <w:rFonts w:ascii="Arial" w:hAnsi="Arial"/>
                <w:b w:val="0"/>
                <w:sz w:val="18"/>
              </w:rPr>
              <w:t>247</w:t>
            </w:r>
          </w:p>
        </w:tc>
        <w:tc>
          <w:tcPr>
            <w:tcW w:type="dxa" w:w="1134"/>
            <w:vAlign w:val="center"/>
          </w:tcPr>
          <w:p>
            <w:pPr>
              <w:jc w:val="center"/>
            </w:pPr>
            <w:r/>
            <w:r>
              <w:rPr>
                <w:rFonts w:ascii="Arial" w:hAnsi="Arial"/>
                <w:b w:val="0"/>
                <w:sz w:val="18"/>
              </w:rPr>
              <w:t>247,0</w:t>
            </w:r>
          </w:p>
        </w:tc>
        <w:tc>
          <w:tcPr>
            <w:tcW w:type="dxa" w:w="1134"/>
            <w:vAlign w:val="center"/>
          </w:tcPr>
          <w:p>
            <w:pPr>
              <w:jc w:val="center"/>
            </w:pPr>
            <w:r/>
            <w:r>
              <w:rPr>
                <w:rFonts w:ascii="Arial" w:hAnsi="Arial"/>
                <w:b w:val="0"/>
                <w:sz w:val="18"/>
              </w:rPr>
              <w:t>177</w:t>
            </w:r>
          </w:p>
        </w:tc>
        <w:tc>
          <w:tcPr>
            <w:tcW w:type="dxa" w:w="1134"/>
            <w:vAlign w:val="center"/>
          </w:tcPr>
          <w:p>
            <w:pPr>
              <w:jc w:val="center"/>
            </w:pPr>
            <w:r/>
            <w:r>
              <w:rPr>
                <w:rFonts w:ascii="Arial" w:hAnsi="Arial"/>
                <w:b w:val="0"/>
                <w:sz w:val="18"/>
              </w:rPr>
              <w:t>177,0</w:t>
            </w:r>
          </w:p>
        </w:tc>
        <w:tc>
          <w:tcPr>
            <w:tcW w:type="dxa" w:w="1134"/>
            <w:vAlign w:val="center"/>
          </w:tcPr>
          <w:p>
            <w:pPr>
              <w:jc w:val="center"/>
            </w:pPr>
            <w:r/>
            <w:r>
              <w:rPr>
                <w:rFonts w:ascii="Arial" w:hAnsi="Arial"/>
                <w:b w:val="0"/>
                <w:sz w:val="18"/>
              </w:rPr>
              <w:t>-70</w:t>
            </w:r>
          </w:p>
        </w:tc>
        <w:tc>
          <w:tcPr>
            <w:tcW w:type="dxa" w:w="1134"/>
            <w:vAlign w:val="center"/>
          </w:tcPr>
          <w:p>
            <w:pPr>
              <w:jc w:val="center"/>
            </w:pPr>
            <w:r/>
            <w:r>
              <w:rPr>
                <w:rFonts w:ascii="Arial" w:hAnsi="Arial"/>
                <w:b w:val="0"/>
                <w:sz w:val="18"/>
              </w:rPr>
              <w:t>-70,0</w:t>
            </w:r>
          </w:p>
        </w:tc>
      </w:tr>
      <w:tr>
        <w:tc>
          <w:tcPr>
            <w:tcW w:type="dxa" w:w="3685"/>
            <w:vAlign w:val="center"/>
          </w:tcPr>
          <w:p>
            <w:r/>
            <w:r>
              <w:rPr>
                <w:rFonts w:ascii="Arial" w:hAnsi="Arial"/>
                <w:b w:val="0"/>
                <w:sz w:val="18"/>
              </w:rPr>
              <w:t>3ª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308</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306</w:t>
            </w:r>
          </w:p>
        </w:tc>
        <w:tc>
          <w:tcPr>
            <w:tcW w:type="dxa" w:w="1134"/>
            <w:vAlign w:val="center"/>
          </w:tcPr>
          <w:p>
            <w:pPr>
              <w:jc w:val="center"/>
            </w:pPr>
            <w:r/>
            <w:r>
              <w:rPr>
                <w:rFonts w:ascii="Arial" w:hAnsi="Arial"/>
                <w:b w:val="0"/>
                <w:sz w:val="18"/>
              </w:rPr>
              <w:t>153,0</w:t>
            </w:r>
          </w:p>
        </w:tc>
        <w:tc>
          <w:tcPr>
            <w:tcW w:type="dxa" w:w="1134"/>
            <w:vAlign w:val="center"/>
          </w:tcPr>
          <w:p>
            <w:pPr>
              <w:jc w:val="center"/>
            </w:pPr>
            <w:r/>
            <w:r>
              <w:rPr>
                <w:rFonts w:ascii="Arial" w:hAnsi="Arial"/>
                <w:b w:val="0"/>
                <w:sz w:val="18"/>
              </w:rPr>
              <w:t>306</w:t>
            </w:r>
          </w:p>
        </w:tc>
        <w:tc>
          <w:tcPr>
            <w:tcW w:type="dxa" w:w="1134"/>
            <w:vAlign w:val="center"/>
          </w:tcPr>
          <w:p>
            <w:pPr>
              <w:jc w:val="center"/>
            </w:pPr>
            <w:r/>
            <w:r>
              <w:rPr>
                <w:rFonts w:ascii="Arial" w:hAnsi="Arial"/>
                <w:b w:val="0"/>
                <w:sz w:val="18"/>
              </w:rPr>
              <w:t>153,0</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4ª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244</w:t>
            </w:r>
          </w:p>
        </w:tc>
        <w:tc>
          <w:tcPr>
            <w:tcW w:type="dxa" w:w="1247"/>
            <w:vAlign w:val="center"/>
          </w:tcPr>
          <w:p>
            <w:pPr>
              <w:jc w:val="center"/>
            </w:pPr>
            <w:r/>
            <w:r>
              <w:rPr>
                <w:rFonts w:ascii="Arial" w:hAnsi="Arial"/>
                <w:b w:val="0"/>
                <w:sz w:val="18"/>
              </w:rPr>
              <w:t>76</w:t>
            </w:r>
          </w:p>
        </w:tc>
        <w:tc>
          <w:tcPr>
            <w:tcW w:type="dxa" w:w="1134"/>
            <w:vAlign w:val="center"/>
          </w:tcPr>
          <w:p>
            <w:pPr>
              <w:jc w:val="center"/>
            </w:pPr>
            <w:r/>
            <w:r>
              <w:rPr>
                <w:rFonts w:ascii="Arial" w:hAnsi="Arial"/>
                <w:b w:val="0"/>
                <w:sz w:val="18"/>
              </w:rPr>
              <w:t>252</w:t>
            </w:r>
          </w:p>
        </w:tc>
        <w:tc>
          <w:tcPr>
            <w:tcW w:type="dxa" w:w="1134"/>
            <w:vAlign w:val="center"/>
          </w:tcPr>
          <w:p>
            <w:pPr>
              <w:jc w:val="center"/>
            </w:pPr>
            <w:r/>
            <w:r>
              <w:rPr>
                <w:rFonts w:ascii="Arial" w:hAnsi="Arial"/>
                <w:b w:val="0"/>
                <w:sz w:val="18"/>
              </w:rPr>
              <w:t>252,0</w:t>
            </w:r>
          </w:p>
        </w:tc>
        <w:tc>
          <w:tcPr>
            <w:tcW w:type="dxa" w:w="1134"/>
            <w:vAlign w:val="center"/>
          </w:tcPr>
          <w:p>
            <w:pPr>
              <w:jc w:val="center"/>
            </w:pPr>
            <w:r/>
            <w:r>
              <w:rPr>
                <w:rFonts w:ascii="Arial" w:hAnsi="Arial"/>
                <w:b w:val="0"/>
                <w:sz w:val="18"/>
              </w:rPr>
              <w:t>176</w:t>
            </w:r>
          </w:p>
        </w:tc>
        <w:tc>
          <w:tcPr>
            <w:tcW w:type="dxa" w:w="1134"/>
            <w:vAlign w:val="center"/>
          </w:tcPr>
          <w:p>
            <w:pPr>
              <w:jc w:val="center"/>
            </w:pPr>
            <w:r/>
            <w:r>
              <w:rPr>
                <w:rFonts w:ascii="Arial" w:hAnsi="Arial"/>
                <w:b w:val="0"/>
                <w:sz w:val="18"/>
              </w:rPr>
              <w:t>176,0</w:t>
            </w:r>
          </w:p>
        </w:tc>
        <w:tc>
          <w:tcPr>
            <w:tcW w:type="dxa" w:w="1134"/>
            <w:vAlign w:val="center"/>
          </w:tcPr>
          <w:p>
            <w:pPr>
              <w:jc w:val="center"/>
            </w:pPr>
            <w:r/>
            <w:r>
              <w:rPr>
                <w:rFonts w:ascii="Arial" w:hAnsi="Arial"/>
                <w:b w:val="0"/>
                <w:sz w:val="18"/>
              </w:rPr>
              <w:t>-76</w:t>
            </w:r>
          </w:p>
        </w:tc>
        <w:tc>
          <w:tcPr>
            <w:tcW w:type="dxa" w:w="1134"/>
            <w:vAlign w:val="center"/>
          </w:tcPr>
          <w:p>
            <w:pPr>
              <w:jc w:val="center"/>
            </w:pPr>
            <w:r/>
            <w:r>
              <w:rPr>
                <w:rFonts w:ascii="Arial" w:hAnsi="Arial"/>
                <w:b w:val="0"/>
                <w:sz w:val="18"/>
              </w:rPr>
              <w:t>-76,0</w:t>
            </w:r>
          </w:p>
        </w:tc>
      </w:tr>
      <w:tr>
        <w:tc>
          <w:tcPr>
            <w:tcW w:type="dxa" w:w="3685"/>
            <w:vAlign w:val="center"/>
          </w:tcPr>
          <w:p>
            <w:r/>
            <w:r>
              <w:rPr>
                <w:rFonts w:ascii="Arial" w:hAnsi="Arial"/>
                <w:b w:val="0"/>
                <w:sz w:val="18"/>
              </w:rPr>
              <w:t>4ª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294</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294</w:t>
            </w:r>
          </w:p>
        </w:tc>
        <w:tc>
          <w:tcPr>
            <w:tcW w:type="dxa" w:w="1134"/>
            <w:vAlign w:val="center"/>
          </w:tcPr>
          <w:p>
            <w:pPr>
              <w:jc w:val="center"/>
            </w:pPr>
            <w:r/>
            <w:r>
              <w:rPr>
                <w:rFonts w:ascii="Arial" w:hAnsi="Arial"/>
                <w:b w:val="0"/>
                <w:sz w:val="18"/>
              </w:rPr>
              <w:t>147,0</w:t>
            </w:r>
          </w:p>
        </w:tc>
        <w:tc>
          <w:tcPr>
            <w:tcW w:type="dxa" w:w="1134"/>
            <w:vAlign w:val="center"/>
          </w:tcPr>
          <w:p>
            <w:pPr>
              <w:jc w:val="center"/>
            </w:pPr>
            <w:r/>
            <w:r>
              <w:rPr>
                <w:rFonts w:ascii="Arial" w:hAnsi="Arial"/>
                <w:b w:val="0"/>
                <w:sz w:val="18"/>
              </w:rPr>
              <w:t>294</w:t>
            </w:r>
          </w:p>
        </w:tc>
        <w:tc>
          <w:tcPr>
            <w:tcW w:type="dxa" w:w="1134"/>
            <w:vAlign w:val="center"/>
          </w:tcPr>
          <w:p>
            <w:pPr>
              <w:jc w:val="center"/>
            </w:pPr>
            <w:r/>
            <w:r>
              <w:rPr>
                <w:rFonts w:ascii="Arial" w:hAnsi="Arial"/>
                <w:b w:val="0"/>
                <w:sz w:val="18"/>
              </w:rPr>
              <w:t>147,0</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5ª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347</w:t>
            </w:r>
          </w:p>
        </w:tc>
        <w:tc>
          <w:tcPr>
            <w:tcW w:type="dxa" w:w="1247"/>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355</w:t>
            </w:r>
          </w:p>
        </w:tc>
        <w:tc>
          <w:tcPr>
            <w:tcW w:type="dxa" w:w="1134"/>
            <w:vAlign w:val="center"/>
          </w:tcPr>
          <w:p>
            <w:pPr>
              <w:jc w:val="center"/>
            </w:pPr>
            <w:r/>
            <w:r>
              <w:rPr>
                <w:rFonts w:ascii="Arial" w:hAnsi="Arial"/>
                <w:b w:val="0"/>
                <w:sz w:val="18"/>
              </w:rPr>
              <w:t>177,5</w:t>
            </w:r>
          </w:p>
        </w:tc>
        <w:tc>
          <w:tcPr>
            <w:tcW w:type="dxa" w:w="1134"/>
            <w:vAlign w:val="center"/>
          </w:tcPr>
          <w:p>
            <w:pPr>
              <w:jc w:val="center"/>
            </w:pPr>
            <w:r/>
            <w:r>
              <w:rPr>
                <w:rFonts w:ascii="Arial" w:hAnsi="Arial"/>
                <w:b w:val="0"/>
                <w:sz w:val="18"/>
              </w:rPr>
              <w:t>301</w:t>
            </w:r>
          </w:p>
        </w:tc>
        <w:tc>
          <w:tcPr>
            <w:tcW w:type="dxa" w:w="1134"/>
            <w:vAlign w:val="center"/>
          </w:tcPr>
          <w:p>
            <w:pPr>
              <w:jc w:val="center"/>
            </w:pPr>
            <w:r/>
            <w:r>
              <w:rPr>
                <w:rFonts w:ascii="Arial" w:hAnsi="Arial"/>
                <w:b w:val="0"/>
                <w:sz w:val="18"/>
              </w:rPr>
              <w:t>150,5</w:t>
            </w:r>
          </w:p>
        </w:tc>
        <w:tc>
          <w:tcPr>
            <w:tcW w:type="dxa" w:w="1134"/>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-27,0</w:t>
            </w:r>
          </w:p>
        </w:tc>
      </w:tr>
      <w:tr>
        <w:tc>
          <w:tcPr>
            <w:tcW w:type="dxa" w:w="3685"/>
            <w:vAlign w:val="center"/>
          </w:tcPr>
          <w:p>
            <w:r/>
            <w:r>
              <w:rPr>
                <w:rFonts w:ascii="Arial" w:hAnsi="Arial"/>
                <w:b w:val="0"/>
                <w:sz w:val="18"/>
              </w:rPr>
              <w:t>VARA DO TRABALHO DE CONCÓRDIA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329</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330</w:t>
            </w:r>
          </w:p>
        </w:tc>
        <w:tc>
          <w:tcPr>
            <w:tcW w:type="dxa" w:w="1134"/>
            <w:vAlign w:val="center"/>
          </w:tcPr>
          <w:p>
            <w:pPr>
              <w:jc w:val="center"/>
            </w:pPr>
            <w:r/>
            <w:r>
              <w:rPr>
                <w:rFonts w:ascii="Arial" w:hAnsi="Arial"/>
                <w:b w:val="0"/>
                <w:sz w:val="18"/>
              </w:rPr>
              <w:t>165,0</w:t>
            </w:r>
          </w:p>
        </w:tc>
        <w:tc>
          <w:tcPr>
            <w:tcW w:type="dxa" w:w="1134"/>
            <w:vAlign w:val="center"/>
          </w:tcPr>
          <w:p>
            <w:pPr>
              <w:jc w:val="center"/>
            </w:pPr>
            <w:r/>
            <w:r>
              <w:rPr>
                <w:rFonts w:ascii="Arial" w:hAnsi="Arial"/>
                <w:b w:val="0"/>
                <w:sz w:val="18"/>
              </w:rPr>
              <w:t>330</w:t>
            </w:r>
          </w:p>
        </w:tc>
        <w:tc>
          <w:tcPr>
            <w:tcW w:type="dxa" w:w="1134"/>
            <w:vAlign w:val="center"/>
          </w:tcPr>
          <w:p>
            <w:pPr>
              <w:jc w:val="center"/>
            </w:pPr>
            <w:r/>
            <w:r>
              <w:rPr>
                <w:rFonts w:ascii="Arial" w:hAnsi="Arial"/>
                <w:b w:val="0"/>
                <w:sz w:val="18"/>
              </w:rPr>
              <w:t>165,0</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VARA DO TRABALHO DE IMBITUBA</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204</w:t>
            </w:r>
          </w:p>
        </w:tc>
        <w:tc>
          <w:tcPr>
            <w:tcW w:type="dxa" w:w="1247"/>
            <w:vAlign w:val="center"/>
          </w:tcPr>
          <w:p>
            <w:pPr>
              <w:jc w:val="center"/>
            </w:pPr>
            <w:r/>
            <w:r>
              <w:rPr>
                <w:rFonts w:ascii="Arial" w:hAnsi="Arial"/>
                <w:b w:val="0"/>
                <w:sz w:val="18"/>
              </w:rPr>
              <w:t>36</w:t>
            </w:r>
          </w:p>
        </w:tc>
        <w:tc>
          <w:tcPr>
            <w:tcW w:type="dxa" w:w="1134"/>
            <w:vAlign w:val="center"/>
          </w:tcPr>
          <w:p>
            <w:pPr>
              <w:jc w:val="center"/>
            </w:pPr>
            <w:r/>
            <w:r>
              <w:rPr>
                <w:rFonts w:ascii="Arial" w:hAnsi="Arial"/>
                <w:b w:val="0"/>
                <w:sz w:val="18"/>
              </w:rPr>
              <w:t>200</w:t>
            </w:r>
          </w:p>
        </w:tc>
        <w:tc>
          <w:tcPr>
            <w:tcW w:type="dxa" w:w="1134"/>
            <w:vAlign w:val="center"/>
          </w:tcPr>
          <w:p>
            <w:pPr>
              <w:jc w:val="center"/>
            </w:pPr>
            <w:r/>
            <w:r>
              <w:rPr>
                <w:rFonts w:ascii="Arial" w:hAnsi="Arial"/>
                <w:b w:val="0"/>
                <w:sz w:val="18"/>
              </w:rPr>
              <w:t>200,0</w:t>
            </w:r>
          </w:p>
        </w:tc>
        <w:tc>
          <w:tcPr>
            <w:tcW w:type="dxa" w:w="1134"/>
            <w:vAlign w:val="center"/>
          </w:tcPr>
          <w:p>
            <w:pPr>
              <w:jc w:val="center"/>
            </w:pPr>
            <w:r/>
            <w:r>
              <w:rPr>
                <w:rFonts w:ascii="Arial" w:hAnsi="Arial"/>
                <w:b w:val="0"/>
                <w:sz w:val="18"/>
              </w:rPr>
              <w:t>164</w:t>
            </w:r>
          </w:p>
        </w:tc>
        <w:tc>
          <w:tcPr>
            <w:tcW w:type="dxa" w:w="1134"/>
            <w:vAlign w:val="center"/>
          </w:tcPr>
          <w:p>
            <w:pPr>
              <w:jc w:val="center"/>
            </w:pPr>
            <w:r/>
            <w:r>
              <w:rPr>
                <w:rFonts w:ascii="Arial" w:hAnsi="Arial"/>
                <w:b w:val="0"/>
                <w:sz w:val="18"/>
              </w:rPr>
              <w:t>164,0</w:t>
            </w:r>
          </w:p>
        </w:tc>
        <w:tc>
          <w:tcPr>
            <w:tcW w:type="dxa" w:w="1134"/>
            <w:vAlign w:val="center"/>
          </w:tcPr>
          <w:p>
            <w:pPr>
              <w:jc w:val="center"/>
            </w:pPr>
            <w:r/>
            <w:r>
              <w:rPr>
                <w:rFonts w:ascii="Arial" w:hAnsi="Arial"/>
                <w:b w:val="0"/>
                <w:sz w:val="18"/>
              </w:rPr>
              <w:t>-36</w:t>
            </w:r>
          </w:p>
        </w:tc>
        <w:tc>
          <w:tcPr>
            <w:tcW w:type="dxa" w:w="1134"/>
            <w:vAlign w:val="center"/>
          </w:tcPr>
          <w:p>
            <w:pPr>
              <w:jc w:val="center"/>
            </w:pPr>
            <w:r/>
            <w:r>
              <w:rPr>
                <w:rFonts w:ascii="Arial" w:hAnsi="Arial"/>
                <w:b w:val="0"/>
                <w:sz w:val="18"/>
              </w:rPr>
              <w:t>-36,0</w:t>
            </w:r>
          </w:p>
        </w:tc>
      </w:tr>
      <w:tr>
        <w:tc>
          <w:tcPr>
            <w:tcW w:type="dxa" w:w="3685"/>
            <w:vAlign w:val="center"/>
          </w:tcPr>
          <w:p>
            <w:r/>
            <w:r>
              <w:rPr>
                <w:rFonts w:ascii="Arial" w:hAnsi="Arial"/>
                <w:b w:val="0"/>
                <w:sz w:val="18"/>
              </w:rPr>
              <w:t>VARA DO TRABALHO DE ITAPEMA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516</w:t>
            </w:r>
          </w:p>
        </w:tc>
        <w:tc>
          <w:tcPr>
            <w:tcW w:type="dxa" w:w="1247"/>
            <w:vAlign w:val="center"/>
          </w:tcPr>
          <w:p>
            <w:pPr>
              <w:jc w:val="center"/>
            </w:pPr>
            <w:r/>
            <w:r>
              <w:rPr>
                <w:rFonts w:ascii="Arial" w:hAnsi="Arial"/>
                <w:b w:val="0"/>
                <w:sz w:val="18"/>
              </w:rPr>
              <w:t>161</w:t>
            </w:r>
          </w:p>
        </w:tc>
        <w:tc>
          <w:tcPr>
            <w:tcW w:type="dxa" w:w="1134"/>
            <w:vAlign w:val="center"/>
          </w:tcPr>
          <w:p>
            <w:pPr>
              <w:jc w:val="center"/>
            </w:pPr>
            <w:r/>
            <w:r>
              <w:rPr>
                <w:rFonts w:ascii="Arial" w:hAnsi="Arial"/>
                <w:b w:val="0"/>
                <w:sz w:val="18"/>
              </w:rPr>
              <w:t>520</w:t>
            </w:r>
          </w:p>
        </w:tc>
        <w:tc>
          <w:tcPr>
            <w:tcW w:type="dxa" w:w="1134"/>
            <w:vAlign w:val="center"/>
          </w:tcPr>
          <w:p>
            <w:pPr>
              <w:jc w:val="center"/>
            </w:pPr>
            <w:r/>
            <w:r>
              <w:rPr>
                <w:rFonts w:ascii="Arial" w:hAnsi="Arial"/>
                <w:b w:val="0"/>
                <w:sz w:val="18"/>
              </w:rPr>
              <w:t>260,0</w:t>
            </w:r>
          </w:p>
        </w:tc>
        <w:tc>
          <w:tcPr>
            <w:tcW w:type="dxa" w:w="1134"/>
            <w:vAlign w:val="center"/>
          </w:tcPr>
          <w:p>
            <w:pPr>
              <w:jc w:val="center"/>
            </w:pPr>
            <w:r/>
            <w:r>
              <w:rPr>
                <w:rFonts w:ascii="Arial" w:hAnsi="Arial"/>
                <w:b w:val="0"/>
                <w:sz w:val="18"/>
              </w:rPr>
              <w:t>359</w:t>
            </w:r>
          </w:p>
        </w:tc>
        <w:tc>
          <w:tcPr>
            <w:tcW w:type="dxa" w:w="1134"/>
            <w:vAlign w:val="center"/>
          </w:tcPr>
          <w:p>
            <w:pPr>
              <w:jc w:val="center"/>
            </w:pPr>
            <w:r/>
            <w:r>
              <w:rPr>
                <w:rFonts w:ascii="Arial" w:hAnsi="Arial"/>
                <w:b w:val="0"/>
                <w:sz w:val="18"/>
              </w:rPr>
              <w:t>179,5</w:t>
            </w:r>
          </w:p>
        </w:tc>
        <w:tc>
          <w:tcPr>
            <w:tcW w:type="dxa" w:w="1134"/>
            <w:vAlign w:val="center"/>
          </w:tcPr>
          <w:p>
            <w:pPr>
              <w:jc w:val="center"/>
            </w:pPr>
            <w:r/>
            <w:r>
              <w:rPr>
                <w:rFonts w:ascii="Arial" w:hAnsi="Arial"/>
                <w:b w:val="0"/>
                <w:sz w:val="18"/>
              </w:rPr>
              <w:t>-161</w:t>
            </w:r>
          </w:p>
        </w:tc>
        <w:tc>
          <w:tcPr>
            <w:tcW w:type="dxa" w:w="1134"/>
            <w:vAlign w:val="center"/>
          </w:tcPr>
          <w:p>
            <w:pPr>
              <w:jc w:val="center"/>
            </w:pPr>
            <w:r/>
            <w:r>
              <w:rPr>
                <w:rFonts w:ascii="Arial" w:hAnsi="Arial"/>
                <w:b w:val="0"/>
                <w:sz w:val="18"/>
              </w:rPr>
              <w:t>-80,5</w:t>
            </w:r>
          </w:p>
        </w:tc>
      </w:tr>
      <w:tr>
        <w:tc>
          <w:tcPr>
            <w:tcW w:type="dxa" w:w="3685"/>
            <w:vAlign w:val="center"/>
          </w:tcPr>
          <w:p>
            <w:r/>
            <w:r>
              <w:rPr>
                <w:rFonts w:ascii="Arial" w:hAnsi="Arial"/>
                <w:b w:val="0"/>
                <w:sz w:val="18"/>
              </w:rPr>
              <w:t>VARA DO TRABALHO DE NAVEGANTES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389</w:t>
            </w:r>
          </w:p>
        </w:tc>
        <w:tc>
          <w:tcPr>
            <w:tcW w:type="dxa" w:w="1247"/>
            <w:vAlign w:val="center"/>
          </w:tcPr>
          <w:p>
            <w:pPr>
              <w:jc w:val="center"/>
            </w:pPr>
            <w:r/>
            <w:r>
              <w:rPr>
                <w:rFonts w:ascii="Arial" w:hAnsi="Arial"/>
                <w:b w:val="0"/>
                <w:sz w:val="18"/>
              </w:rPr>
              <w:t>89</w:t>
            </w:r>
          </w:p>
        </w:tc>
        <w:tc>
          <w:tcPr>
            <w:tcW w:type="dxa" w:w="1134"/>
            <w:vAlign w:val="center"/>
          </w:tcPr>
          <w:p>
            <w:pPr>
              <w:jc w:val="center"/>
            </w:pPr>
            <w:r/>
            <w:r>
              <w:rPr>
                <w:rFonts w:ascii="Arial" w:hAnsi="Arial"/>
                <w:b w:val="0"/>
                <w:sz w:val="18"/>
              </w:rPr>
              <w:t>395</w:t>
            </w:r>
          </w:p>
        </w:tc>
        <w:tc>
          <w:tcPr>
            <w:tcW w:type="dxa" w:w="1134"/>
            <w:vAlign w:val="center"/>
          </w:tcPr>
          <w:p>
            <w:pPr>
              <w:jc w:val="center"/>
            </w:pPr>
            <w:r/>
            <w:r>
              <w:rPr>
                <w:rFonts w:ascii="Arial" w:hAnsi="Arial"/>
                <w:b w:val="0"/>
                <w:sz w:val="18"/>
              </w:rPr>
              <w:t>197,5</w:t>
            </w:r>
          </w:p>
        </w:tc>
        <w:tc>
          <w:tcPr>
            <w:tcW w:type="dxa" w:w="1134"/>
            <w:vAlign w:val="center"/>
          </w:tcPr>
          <w:p>
            <w:pPr>
              <w:jc w:val="center"/>
            </w:pPr>
            <w:r/>
            <w:r>
              <w:rPr>
                <w:rFonts w:ascii="Arial" w:hAnsi="Arial"/>
                <w:b w:val="0"/>
                <w:sz w:val="18"/>
              </w:rPr>
              <w:t>307</w:t>
            </w:r>
          </w:p>
        </w:tc>
        <w:tc>
          <w:tcPr>
            <w:tcW w:type="dxa" w:w="1134"/>
            <w:vAlign w:val="center"/>
          </w:tcPr>
          <w:p>
            <w:pPr>
              <w:jc w:val="center"/>
            </w:pPr>
            <w:r/>
            <w:r>
              <w:rPr>
                <w:rFonts w:ascii="Arial" w:hAnsi="Arial"/>
                <w:b w:val="0"/>
                <w:sz w:val="18"/>
              </w:rPr>
              <w:t>153,5</w:t>
            </w:r>
          </w:p>
        </w:tc>
        <w:tc>
          <w:tcPr>
            <w:tcW w:type="dxa" w:w="1134"/>
            <w:vAlign w:val="center"/>
          </w:tcPr>
          <w:p>
            <w:pPr>
              <w:jc w:val="center"/>
            </w:pPr>
            <w:r/>
            <w:r>
              <w:rPr>
                <w:rFonts w:ascii="Arial" w:hAnsi="Arial"/>
                <w:b w:val="0"/>
                <w:sz w:val="18"/>
              </w:rPr>
              <w:t>-88</w:t>
            </w:r>
          </w:p>
        </w:tc>
        <w:tc>
          <w:tcPr>
            <w:tcW w:type="dxa" w:w="1134"/>
            <w:vAlign w:val="center"/>
          </w:tcPr>
          <w:p>
            <w:pPr>
              <w:jc w:val="center"/>
            </w:pPr>
            <w:r/>
            <w:r>
              <w:rPr>
                <w:rFonts w:ascii="Arial" w:hAnsi="Arial"/>
                <w:b w:val="0"/>
                <w:sz w:val="18"/>
              </w:rPr>
              <w:t>-44,0</w:t>
            </w:r>
          </w:p>
        </w:tc>
      </w:tr>
      <w:tr>
        <w:tc>
          <w:tcPr>
            <w:tcW w:type="dxa" w:w="3685"/>
            <w:vAlign w:val="center"/>
          </w:tcPr>
          <w:p>
            <w:r/>
            <w:r>
              <w:rPr>
                <w:rFonts w:ascii="Arial" w:hAnsi="Arial"/>
                <w:b w:val="0"/>
                <w:sz w:val="18"/>
              </w:rPr>
              <w:t>VARA DO TRABALHO DE PALHOÇA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338</w:t>
            </w:r>
          </w:p>
        </w:tc>
        <w:tc>
          <w:tcPr>
            <w:tcW w:type="dxa" w:w="1247"/>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342</w:t>
            </w:r>
          </w:p>
        </w:tc>
        <w:tc>
          <w:tcPr>
            <w:tcW w:type="dxa" w:w="1134"/>
            <w:vAlign w:val="center"/>
          </w:tcPr>
          <w:p>
            <w:pPr>
              <w:jc w:val="center"/>
            </w:pPr>
            <w:r/>
            <w:r>
              <w:rPr>
                <w:rFonts w:ascii="Arial" w:hAnsi="Arial"/>
                <w:b w:val="0"/>
                <w:sz w:val="18"/>
              </w:rPr>
              <w:t>171,0</w:t>
            </w:r>
          </w:p>
        </w:tc>
        <w:tc>
          <w:tcPr>
            <w:tcW w:type="dxa" w:w="1134"/>
            <w:vAlign w:val="center"/>
          </w:tcPr>
          <w:p>
            <w:pPr>
              <w:jc w:val="center"/>
            </w:pPr>
            <w:r/>
            <w:r>
              <w:rPr>
                <w:rFonts w:ascii="Arial" w:hAnsi="Arial"/>
                <w:b w:val="0"/>
                <w:sz w:val="18"/>
              </w:rPr>
              <w:t>296</w:t>
            </w:r>
          </w:p>
        </w:tc>
        <w:tc>
          <w:tcPr>
            <w:tcW w:type="dxa" w:w="1134"/>
            <w:vAlign w:val="center"/>
          </w:tcPr>
          <w:p>
            <w:pPr>
              <w:jc w:val="center"/>
            </w:pPr>
            <w:r/>
            <w:r>
              <w:rPr>
                <w:rFonts w:ascii="Arial" w:hAnsi="Arial"/>
                <w:b w:val="0"/>
                <w:sz w:val="18"/>
              </w:rPr>
              <w:t>148,0</w:t>
            </w:r>
          </w:p>
        </w:tc>
        <w:tc>
          <w:tcPr>
            <w:tcW w:type="dxa" w:w="1134"/>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-23,0</w:t>
            </w:r>
          </w:p>
        </w:tc>
      </w:tr>
      <w:tr>
        <w:tc>
          <w:tcPr>
            <w:tcW w:type="dxa" w:w="3685"/>
            <w:vAlign w:val="center"/>
          </w:tcPr>
          <w:p>
            <w:r/>
            <w:r>
              <w:rPr>
                <w:rFonts w:ascii="Arial" w:hAnsi="Arial"/>
                <w:b w:val="0"/>
                <w:sz w:val="18"/>
              </w:rPr>
              <w:t>VARA DO TRABALHO DE SÃO MIGUEL DO OESTE</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374</w:t>
            </w:r>
          </w:p>
        </w:tc>
        <w:tc>
          <w:tcPr>
            <w:tcW w:type="dxa" w:w="1247"/>
            <w:vAlign w:val="center"/>
          </w:tcPr>
          <w:p>
            <w:pPr>
              <w:jc w:val="center"/>
            </w:pPr>
            <w:r/>
            <w:r>
              <w:rPr>
                <w:rFonts w:ascii="Arial" w:hAnsi="Arial"/>
                <w:b w:val="0"/>
                <w:sz w:val="18"/>
              </w:rPr>
              <w:t>136</w:t>
            </w:r>
          </w:p>
        </w:tc>
        <w:tc>
          <w:tcPr>
            <w:tcW w:type="dxa" w:w="1134"/>
            <w:vAlign w:val="center"/>
          </w:tcPr>
          <w:p>
            <w:pPr>
              <w:jc w:val="center"/>
            </w:pPr>
            <w:r/>
            <w:r>
              <w:rPr>
                <w:rFonts w:ascii="Arial" w:hAnsi="Arial"/>
                <w:b w:val="0"/>
                <w:sz w:val="18"/>
              </w:rPr>
              <w:t>378</w:t>
            </w:r>
          </w:p>
        </w:tc>
        <w:tc>
          <w:tcPr>
            <w:tcW w:type="dxa" w:w="1134"/>
            <w:vAlign w:val="center"/>
          </w:tcPr>
          <w:p>
            <w:pPr>
              <w:jc w:val="center"/>
            </w:pPr>
            <w:r/>
            <w:r>
              <w:rPr>
                <w:rFonts w:ascii="Arial" w:hAnsi="Arial"/>
                <w:b w:val="0"/>
                <w:sz w:val="18"/>
              </w:rPr>
              <w:t>378,0</w:t>
            </w:r>
          </w:p>
        </w:tc>
        <w:tc>
          <w:tcPr>
            <w:tcW w:type="dxa" w:w="1134"/>
            <w:vAlign w:val="center"/>
          </w:tcPr>
          <w:p>
            <w:pPr>
              <w:jc w:val="center"/>
            </w:pPr>
            <w:r/>
            <w:r>
              <w:rPr>
                <w:rFonts w:ascii="Arial" w:hAnsi="Arial"/>
                <w:b w:val="0"/>
                <w:sz w:val="18"/>
              </w:rPr>
              <w:t>244</w:t>
            </w:r>
          </w:p>
        </w:tc>
        <w:tc>
          <w:tcPr>
            <w:tcW w:type="dxa" w:w="1134"/>
            <w:vAlign w:val="center"/>
          </w:tcPr>
          <w:p>
            <w:pPr>
              <w:jc w:val="center"/>
            </w:pPr>
            <w:r/>
            <w:r>
              <w:rPr>
                <w:rFonts w:ascii="Arial" w:hAnsi="Arial"/>
                <w:b w:val="0"/>
                <w:sz w:val="18"/>
              </w:rPr>
              <w:t>244,0</w:t>
            </w:r>
          </w:p>
        </w:tc>
        <w:tc>
          <w:tcPr>
            <w:tcW w:type="dxa" w:w="1134"/>
            <w:vAlign w:val="center"/>
          </w:tcPr>
          <w:p>
            <w:pPr>
              <w:jc w:val="center"/>
            </w:pPr>
            <w:r/>
            <w:r>
              <w:rPr>
                <w:rFonts w:ascii="Arial" w:hAnsi="Arial"/>
                <w:b w:val="0"/>
                <w:sz w:val="18"/>
              </w:rPr>
              <w:t>-134</w:t>
            </w:r>
          </w:p>
        </w:tc>
        <w:tc>
          <w:tcPr>
            <w:tcW w:type="dxa" w:w="1134"/>
            <w:vAlign w:val="center"/>
          </w:tcPr>
          <w:p>
            <w:pPr>
              <w:jc w:val="center"/>
            </w:pPr>
            <w:r/>
            <w:r>
              <w:rPr>
                <w:rFonts w:ascii="Arial" w:hAnsi="Arial"/>
                <w:b w:val="0"/>
                <w:sz w:val="18"/>
              </w:rPr>
              <w:t>-134,0</w:t>
            </w:r>
          </w:p>
        </w:tc>
      </w:tr>
      <w:tr>
        <w:tc>
          <w:tcPr>
            <w:tcW w:type="dxa" w:w="3685"/>
            <w:vAlign w:val="center"/>
          </w:tcPr>
          <w:p>
            <w:r/>
            <w:r>
              <w:rPr>
                <w:rFonts w:ascii="Arial" w:hAnsi="Arial"/>
                <w:b w:val="0"/>
                <w:sz w:val="18"/>
              </w:rPr>
              <w:t>VARA DO TRABALHO DE XANXERÊ</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305</w:t>
            </w:r>
          </w:p>
        </w:tc>
        <w:tc>
          <w:tcPr>
            <w:tcW w:type="dxa" w:w="1247"/>
            <w:vAlign w:val="center"/>
          </w:tcPr>
          <w:p>
            <w:pPr>
              <w:jc w:val="center"/>
            </w:pPr>
            <w:r/>
            <w:r>
              <w:rPr>
                <w:rFonts w:ascii="Arial" w:hAnsi="Arial"/>
                <w:b w:val="0"/>
                <w:sz w:val="18"/>
              </w:rPr>
              <w:t>117</w:t>
            </w:r>
          </w:p>
        </w:tc>
        <w:tc>
          <w:tcPr>
            <w:tcW w:type="dxa" w:w="1134"/>
            <w:vAlign w:val="center"/>
          </w:tcPr>
          <w:p>
            <w:pPr>
              <w:jc w:val="center"/>
            </w:pPr>
            <w:r/>
            <w:r>
              <w:rPr>
                <w:rFonts w:ascii="Arial" w:hAnsi="Arial"/>
                <w:b w:val="0"/>
                <w:sz w:val="18"/>
              </w:rPr>
              <w:t>313</w:t>
            </w:r>
          </w:p>
        </w:tc>
        <w:tc>
          <w:tcPr>
            <w:tcW w:type="dxa" w:w="1134"/>
            <w:vAlign w:val="center"/>
          </w:tcPr>
          <w:p>
            <w:pPr>
              <w:jc w:val="center"/>
            </w:pPr>
            <w:r/>
            <w:r>
              <w:rPr>
                <w:rFonts w:ascii="Arial" w:hAnsi="Arial"/>
                <w:b w:val="0"/>
                <w:sz w:val="18"/>
              </w:rPr>
              <w:t>313,0</w:t>
            </w:r>
          </w:p>
        </w:tc>
        <w:tc>
          <w:tcPr>
            <w:tcW w:type="dxa" w:w="1134"/>
            <w:vAlign w:val="center"/>
          </w:tcPr>
          <w:p>
            <w:pPr>
              <w:jc w:val="center"/>
            </w:pPr>
            <w:r/>
            <w:r>
              <w:rPr>
                <w:rFonts w:ascii="Arial" w:hAnsi="Arial"/>
                <w:b w:val="0"/>
                <w:sz w:val="18"/>
              </w:rPr>
              <w:t>196</w:t>
            </w:r>
          </w:p>
        </w:tc>
        <w:tc>
          <w:tcPr>
            <w:tcW w:type="dxa" w:w="1134"/>
            <w:vAlign w:val="center"/>
          </w:tcPr>
          <w:p>
            <w:pPr>
              <w:jc w:val="center"/>
            </w:pPr>
            <w:r/>
            <w:r>
              <w:rPr>
                <w:rFonts w:ascii="Arial" w:hAnsi="Arial"/>
                <w:b w:val="0"/>
                <w:sz w:val="18"/>
              </w:rPr>
              <w:t>196,0</w:t>
            </w:r>
          </w:p>
        </w:tc>
        <w:tc>
          <w:tcPr>
            <w:tcW w:type="dxa" w:w="1134"/>
            <w:vAlign w:val="center"/>
          </w:tcPr>
          <w:p>
            <w:pPr>
              <w:jc w:val="center"/>
            </w:pPr>
            <w:r/>
            <w:r>
              <w:rPr>
                <w:rFonts w:ascii="Arial" w:hAnsi="Arial"/>
                <w:b w:val="0"/>
                <w:sz w:val="18"/>
              </w:rPr>
              <w:t>-117</w:t>
            </w:r>
          </w:p>
        </w:tc>
        <w:tc>
          <w:tcPr>
            <w:tcW w:type="dxa" w:w="1134"/>
            <w:vAlign w:val="center"/>
          </w:tcPr>
          <w:p>
            <w:pPr>
              <w:jc w:val="center"/>
            </w:pPr>
            <w:r/>
            <w:r>
              <w:rPr>
                <w:rFonts w:ascii="Arial" w:hAnsi="Arial"/>
                <w:b w:val="0"/>
                <w:sz w:val="18"/>
              </w:rPr>
              <w:t>-117,0</w:t>
            </w:r>
          </w:p>
        </w:tc>
      </w:tr>
      <w:tr>
        <w:tc>
          <w:tcPr>
            <w:tcW w:type="dxa" w:w="3685"/>
            <w:vAlign w:val="center"/>
          </w:tcPr>
          <w:p>
            <w:r/>
            <w:r>
              <w:rPr>
                <w:rFonts w:ascii="Arial" w:hAnsi="Arial"/>
                <w:b/>
                <w:sz w:val="18"/>
              </w:rPr>
              <w:t>TOTAL</w:t>
            </w:r>
          </w:p>
        </w:tc>
        <w:tc>
          <w:tcPr>
            <w:tcW w:type="dxa" w:w="907"/>
            <w:vAlign w:val="center"/>
          </w:tcPr>
          <w:p>
            <w:pPr>
              <w:jc w:val="center"/>
            </w:pPr>
            <w:r/>
            <w:r>
              <w:rPr>
                <w:rFonts w:ascii="Arial" w:hAnsi="Arial"/>
                <w:b/>
                <w:sz w:val="18"/>
              </w:rPr>
              <w:t>25</w:t>
            </w:r>
          </w:p>
        </w:tc>
        <w:tc>
          <w:tcPr>
            <w:tcW w:type="dxa" w:w="1134"/>
            <w:vAlign w:val="center"/>
          </w:tcPr>
          <w:p>
            <w:pPr>
              <w:jc w:val="center"/>
            </w:pPr>
            <w:r/>
            <w:r>
              <w:rPr>
                <w:rFonts w:ascii="Arial" w:hAnsi="Arial"/>
                <w:b/>
                <w:sz w:val="18"/>
              </w:rPr>
              <w:t>5.107</w:t>
            </w:r>
          </w:p>
        </w:tc>
        <w:tc>
          <w:tcPr>
            <w:tcW w:type="dxa" w:w="1247"/>
            <w:vAlign w:val="center"/>
          </w:tcPr>
          <w:p>
            <w:pPr>
              <w:jc w:val="center"/>
            </w:pPr>
            <w:r/>
            <w:r>
              <w:rPr>
                <w:rFonts w:ascii="Arial" w:hAnsi="Arial"/>
                <w:b/>
                <w:sz w:val="18"/>
              </w:rPr>
              <w:t>1.049</w:t>
            </w:r>
          </w:p>
        </w:tc>
        <w:tc>
          <w:tcPr>
            <w:tcW w:type="dxa" w:w="1134"/>
            <w:vAlign w:val="center"/>
          </w:tcPr>
          <w:p>
            <w:pPr>
              <w:jc w:val="center"/>
            </w:pPr>
            <w:r/>
            <w:r>
              <w:rPr>
                <w:rFonts w:ascii="Arial" w:hAnsi="Arial"/>
                <w:b/>
                <w:sz w:val="18"/>
              </w:rPr>
              <w:t>5.151</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4.105</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-1.046</w:t>
            </w:r>
          </w:p>
        </w:tc>
        <w:tc>
          <w:tcPr>
            <w:tcW w:type="dxa" w:w="1134"/>
            <w:vAlign w:val="center"/>
          </w:tcPr>
          <w:p>
            <w:pPr>
              <w:jc w:val="center"/>
            </w:pPr>
            <w:r/>
            <w:r>
              <w:rPr>
                <w:rFonts w:ascii="Arial" w:hAnsi="Arial"/>
                <w:b/>
                <w:sz w:val="18"/>
              </w:rPr>
              <w:t>—</w:t>
            </w:r>
          </w:p>
        </w:tc>
      </w:tr>
      <w:tr>
        <w:tc>
          <w:tcPr>
            <w:tcW w:type="dxa" w:w="3685"/>
            <w:vAlign w:val="center"/>
          </w:tcPr>
          <w:p>
            <w:r/>
            <w:r>
              <w:rPr>
                <w:rFonts w:ascii="Arial" w:hAnsi="Arial"/>
                <w:b/>
                <w:sz w:val="18"/>
              </w:rPr>
              <w:t>MÉDIA POR UNIDADE / CARGA DO GRUPO</w:t>
            </w:r>
          </w:p>
        </w:tc>
        <w:tc>
          <w:tcPr>
            <w:tcW w:type="dxa" w:w="907"/>
            <w:vAlign w:val="center"/>
          </w:tcPr>
          <w:p>
            <w:pPr>
              <w:jc w:val="center"/>
            </w:pPr>
            <w:r/>
            <w:r>
              <w:rPr>
                <w:rFonts w:ascii="Arial" w:hAnsi="Arial"/>
                <w:b/>
                <w:sz w:val="18"/>
              </w:rPr>
              <w:t>1,6</w:t>
            </w:r>
          </w:p>
        </w:tc>
        <w:tc>
          <w:tcPr>
            <w:tcW w:type="dxa" w:w="1134"/>
            <w:vAlign w:val="center"/>
          </w:tcPr>
          <w:p>
            <w:pPr>
              <w:jc w:val="center"/>
            </w:pPr>
            <w:r/>
            <w:r>
              <w:rPr>
                <w:rFonts w:ascii="Arial" w:hAnsi="Arial"/>
                <w:b/>
                <w:sz w:val="18"/>
              </w:rPr>
              <w:t>319,2</w:t>
            </w:r>
          </w:p>
        </w:tc>
        <w:tc>
          <w:tcPr>
            <w:tcW w:type="dxa" w:w="1247"/>
            <w:vAlign w:val="center"/>
          </w:tcPr>
          <w:p>
            <w:pPr>
              <w:jc w:val="center"/>
            </w:pPr>
            <w:r/>
            <w:r>
              <w:rPr>
                <w:rFonts w:ascii="Arial" w:hAnsi="Arial"/>
                <w:b/>
                <w:sz w:val="18"/>
              </w:rPr>
              <w:t>65,6</w:t>
            </w:r>
          </w:p>
        </w:tc>
        <w:tc>
          <w:tcPr>
            <w:tcW w:type="dxa" w:w="1134"/>
            <w:vAlign w:val="center"/>
          </w:tcPr>
          <w:p>
            <w:pPr>
              <w:jc w:val="center"/>
            </w:pPr>
            <w:r/>
            <w:r>
              <w:rPr>
                <w:rFonts w:ascii="Arial" w:hAnsi="Arial"/>
                <w:b/>
                <w:sz w:val="18"/>
              </w:rPr>
              <w:t>321,9</w:t>
            </w:r>
          </w:p>
        </w:tc>
        <w:tc>
          <w:tcPr>
            <w:tcW w:type="dxa" w:w="1134"/>
            <w:vAlign w:val="center"/>
          </w:tcPr>
          <w:p>
            <w:pPr>
              <w:jc w:val="center"/>
            </w:pPr>
            <w:r/>
            <w:r>
              <w:rPr>
                <w:rFonts w:ascii="Arial" w:hAnsi="Arial"/>
                <w:b/>
                <w:sz w:val="18"/>
              </w:rPr>
              <w:t>206,0</w:t>
            </w:r>
          </w:p>
        </w:tc>
        <w:tc>
          <w:tcPr>
            <w:tcW w:type="dxa" w:w="1134"/>
            <w:vAlign w:val="center"/>
          </w:tcPr>
          <w:p>
            <w:pPr>
              <w:jc w:val="center"/>
            </w:pPr>
            <w:r/>
            <w:r>
              <w:rPr>
                <w:rFonts w:ascii="Arial" w:hAnsi="Arial"/>
                <w:b/>
                <w:sz w:val="18"/>
              </w:rPr>
              <w:t>256,6</w:t>
            </w:r>
          </w:p>
        </w:tc>
        <w:tc>
          <w:tcPr>
            <w:tcW w:type="dxa" w:w="1134"/>
            <w:vAlign w:val="center"/>
          </w:tcPr>
          <w:p>
            <w:pPr>
              <w:jc w:val="center"/>
            </w:pPr>
            <w:r/>
            <w:r>
              <w:rPr>
                <w:rFonts w:ascii="Arial" w:hAnsi="Arial"/>
                <w:b/>
                <w:sz w:val="18"/>
              </w:rPr>
              <w:t>164,2</w:t>
            </w:r>
          </w:p>
        </w:tc>
        <w:tc>
          <w:tcPr>
            <w:tcW w:type="dxa" w:w="1134"/>
            <w:vAlign w:val="center"/>
          </w:tcPr>
          <w:p>
            <w:pPr>
              <w:jc w:val="center"/>
            </w:pPr>
            <w:r/>
            <w:r>
              <w:rPr>
                <w:rFonts w:ascii="Arial" w:hAnsi="Arial"/>
                <w:b/>
                <w:sz w:val="18"/>
              </w:rPr>
              <w:t>-65,4</w:t>
            </w:r>
          </w:p>
        </w:tc>
        <w:tc>
          <w:tcPr>
            <w:tcW w:type="dxa" w:w="1134"/>
            <w:vAlign w:val="center"/>
          </w:tcPr>
          <w:p>
            <w:pPr>
              <w:jc w:val="center"/>
            </w:pPr>
            <w:r/>
            <w:r>
              <w:rPr>
                <w:rFonts w:ascii="Arial" w:hAnsi="Arial"/>
                <w:b/>
                <w:sz w:val="18"/>
              </w:rPr>
              <w:t>-41,8</w:t>
            </w:r>
          </w:p>
        </w:tc>
      </w:tr>
    </w:tbl>
    <w:p/>
    <w:p>
      <w:r>
        <w:br w:type="page"/>
      </w:r>
    </w:p>
    <w:p>
      <w:pPr>
        <w:spacing w:before="280" w:after="120"/>
        <w:outlineLvl w:val="1"/>
      </w:pPr>
      <w:r>
        <w:rPr>
          <w:rFonts w:ascii="Arial" w:hAnsi="Arial"/>
          <w:b/>
          <w:color w:val="1E3F66"/>
          <w:sz w:val="36"/>
        </w:rPr>
        <w:t>Anexo 2. Unidades destinatárias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t>Equalizados recebidos</w:t>
            </w:r>
          </w:p>
        </w:tc>
        <w:tc>
          <w:tcPr>
            <w:tcW w:type="dxa" w:w="2926"/>
            <w:gridSpan w:val="2"/>
            <w:shd w:val="clear" w:fill="285B87"/>
            <w:vAlign w:val="center"/>
          </w:tcPr>
          <w:p>
            <w:pPr>
              <w:jc w:val="center"/>
            </w:pPr>
            <w:r/>
            <w:r>
              <w:rPr>
                <w:rFonts w:ascii="Arial" w:hAnsi="Arial"/>
                <w:b/>
                <w:color w:val="FFFFFF"/>
                <w:sz w:val="19"/>
              </w:rPr>
              <w:t>Sem equalização</w:t>
            </w:r>
          </w:p>
        </w:tc>
        <w:tc>
          <w:tcPr>
            <w:tcW w:type="dxa" w:w="2926"/>
            <w:gridSpan w:val="2"/>
            <w:shd w:val="clear" w:fill="285B87"/>
            <w:vAlign w:val="center"/>
          </w:tcPr>
          <w:p>
            <w:pPr>
              <w:jc w:val="center"/>
            </w:pPr>
            <w:r/>
            <w:r>
              <w:rPr>
                <w:rFonts w:ascii="Arial" w:hAnsi="Arial"/>
                <w:b/>
                <w:color w:val="FFFFFF"/>
                <w:sz w:val="19"/>
              </w:rPr>
              <w:t>Com equalização</w:t>
            </w:r>
          </w:p>
        </w:tc>
        <w:tc>
          <w:tcPr>
            <w:tcW w:type="dxa" w:w="2926"/>
            <w:gridSpan w:val="2"/>
            <w:shd w:val="clear" w:fill="285B87"/>
            <w:vAlign w:val="center"/>
          </w:tcPr>
          <w:p>
            <w:pPr>
              <w:jc w:val="center"/>
            </w:pPr>
            <w:r/>
            <w:r>
              <w:rPr>
                <w:rFonts w:ascii="Arial" w:hAnsi="Arial"/>
                <w:b/>
                <w:color w:val="FFFFFF"/>
                <w:sz w:val="19"/>
              </w:rPr>
              <w:t>Variação líquida</w:t>
            </w:r>
          </w:p>
        </w:tc>
      </w:tr>
      <w:tr>
        <w:trPr>
          <w:tblHeader w:val="true"/>
        </w:trPr>
        <w:tc>
          <w:tcPr>
            <w:tcW w:type="dxa" w:w="3685"/>
            <w:shd w:val="clear" w:fill="285B87"/>
            <w:vAlign w:val="center"/>
          </w:tcPr>
          <w:p>
            <w:r/>
            <w:r>
              <w:rPr>
                <w:rFonts w:ascii="Arial" w:hAnsi="Arial"/>
                <w:b/>
                <w:color w:val="FFFFFF"/>
                <w:sz w:val="18"/>
              </w:rPr>
              <w:t>Unidade</w:t>
            </w:r>
          </w:p>
        </w:tc>
        <w:tc>
          <w:tcPr>
            <w:tcW w:type="dxa" w:w="907"/>
            <w:shd w:val="clear" w:fill="285B87"/>
            <w:vAlign w:val="center"/>
          </w:tcPr>
          <w:p>
            <w:pPr>
              <w:jc w:val="center"/>
            </w:pPr>
            <w:r/>
            <w:r>
              <w:rPr>
                <w:rFonts w:ascii="Arial" w:hAnsi="Arial"/>
                <w:b/>
                <w:color w:val="FFFFFF"/>
                <w:sz w:val="18"/>
              </w:rPr>
              <w:t>Mag.</w:t>
            </w:r>
          </w:p>
        </w:tc>
        <w:tc>
          <w:tcPr>
            <w:tcW w:type="dxa" w:w="1134"/>
            <w:shd w:val="clear" w:fill="285B87"/>
            <w:vAlign w:val="center"/>
          </w:tcPr>
          <w:p>
            <w:pPr>
              <w:jc w:val="center"/>
            </w:pPr>
            <w:r/>
            <w:r>
              <w:rPr>
                <w:rFonts w:ascii="Arial" w:hAnsi="Arial"/>
                <w:b/>
                <w:color w:val="FFFFFF"/>
                <w:sz w:val="18"/>
              </w:rPr>
              <w:t>Casos novos</w:t>
            </w:r>
          </w:p>
        </w:tc>
        <w:tc>
          <w:tcPr>
            <w:tcW w:type="dxa" w:w="1247"/>
            <w:shd w:val="clear" w:fill="285B87"/>
            <w:vAlign w:val="center"/>
          </w:tcPr>
          <w:p>
            <w:pPr>
              <w:jc w:val="center"/>
            </w:pPr>
            <w:r/>
            <w:r>
              <w:rPr>
                <w:rFonts w:ascii="Arial" w:hAnsi="Arial"/>
                <w:b/>
                <w:color w:val="FFFFFF"/>
                <w:sz w:val="18"/>
              </w:rPr>
              <w:t>Equaliz. recebidos</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r>
      <w:tr>
        <w:tc>
          <w:tcPr>
            <w:tcW w:type="dxa" w:w="3685"/>
            <w:vAlign w:val="center"/>
          </w:tcPr>
          <w:p>
            <w:r/>
            <w:r>
              <w:rPr>
                <w:rFonts w:ascii="Arial" w:hAnsi="Arial"/>
                <w:b w:val="0"/>
                <w:sz w:val="18"/>
              </w:rPr>
              <w:t>1ª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202</w:t>
            </w:r>
          </w:p>
        </w:tc>
        <w:tc>
          <w:tcPr>
            <w:tcW w:type="dxa" w:w="1247"/>
            <w:vAlign w:val="center"/>
          </w:tcPr>
          <w:p>
            <w:pPr>
              <w:jc w:val="center"/>
            </w:pPr>
            <w:r/>
            <w:r>
              <w:rPr>
                <w:rFonts w:ascii="Arial" w:hAnsi="Arial"/>
                <w:b w:val="0"/>
                <w:sz w:val="18"/>
              </w:rPr>
              <w:t>51</w:t>
            </w:r>
          </w:p>
        </w:tc>
        <w:tc>
          <w:tcPr>
            <w:tcW w:type="dxa" w:w="1134"/>
            <w:vAlign w:val="center"/>
          </w:tcPr>
          <w:p>
            <w:pPr>
              <w:jc w:val="center"/>
            </w:pPr>
            <w:r/>
            <w:r>
              <w:rPr>
                <w:rFonts w:ascii="Arial" w:hAnsi="Arial"/>
                <w:b w:val="0"/>
                <w:sz w:val="18"/>
              </w:rPr>
              <w:t>202</w:t>
            </w:r>
          </w:p>
        </w:tc>
        <w:tc>
          <w:tcPr>
            <w:tcW w:type="dxa" w:w="1134"/>
            <w:vAlign w:val="center"/>
          </w:tcPr>
          <w:p>
            <w:pPr>
              <w:jc w:val="center"/>
            </w:pPr>
            <w:r/>
            <w:r>
              <w:rPr>
                <w:rFonts w:ascii="Arial" w:hAnsi="Arial"/>
                <w:b w:val="0"/>
                <w:sz w:val="18"/>
              </w:rPr>
              <w:t>101,0</w:t>
            </w:r>
          </w:p>
        </w:tc>
        <w:tc>
          <w:tcPr>
            <w:tcW w:type="dxa" w:w="1134"/>
            <w:vAlign w:val="center"/>
          </w:tcPr>
          <w:p>
            <w:pPr>
              <w:jc w:val="center"/>
            </w:pPr>
            <w:r/>
            <w:r>
              <w:rPr>
                <w:rFonts w:ascii="Arial" w:hAnsi="Arial"/>
                <w:b w:val="0"/>
                <w:sz w:val="18"/>
              </w:rPr>
              <w:t>253</w:t>
            </w:r>
          </w:p>
        </w:tc>
        <w:tc>
          <w:tcPr>
            <w:tcW w:type="dxa" w:w="1134"/>
            <w:vAlign w:val="center"/>
          </w:tcPr>
          <w:p>
            <w:pPr>
              <w:jc w:val="center"/>
            </w:pPr>
            <w:r/>
            <w:r>
              <w:rPr>
                <w:rFonts w:ascii="Arial" w:hAnsi="Arial"/>
                <w:b w:val="0"/>
                <w:sz w:val="18"/>
              </w:rPr>
              <w:t>126,5</w:t>
            </w:r>
          </w:p>
        </w:tc>
        <w:tc>
          <w:tcPr>
            <w:tcW w:type="dxa" w:w="1134"/>
            <w:vAlign w:val="center"/>
          </w:tcPr>
          <w:p>
            <w:pPr>
              <w:jc w:val="center"/>
            </w:pPr>
            <w:r/>
            <w:r>
              <w:rPr>
                <w:rFonts w:ascii="Arial" w:hAnsi="Arial"/>
                <w:b w:val="0"/>
                <w:sz w:val="18"/>
              </w:rPr>
              <w:t>51</w:t>
            </w:r>
          </w:p>
        </w:tc>
        <w:tc>
          <w:tcPr>
            <w:tcW w:type="dxa" w:w="1134"/>
            <w:vAlign w:val="center"/>
          </w:tcPr>
          <w:p>
            <w:pPr>
              <w:jc w:val="center"/>
            </w:pPr>
            <w:r/>
            <w:r>
              <w:rPr>
                <w:rFonts w:ascii="Arial" w:hAnsi="Arial"/>
                <w:b w:val="0"/>
                <w:sz w:val="18"/>
              </w:rPr>
              <w:t>25,5</w:t>
            </w:r>
          </w:p>
        </w:tc>
      </w:tr>
      <w:tr>
        <w:tc>
          <w:tcPr>
            <w:tcW w:type="dxa" w:w="3685"/>
            <w:vAlign w:val="center"/>
          </w:tcPr>
          <w:p>
            <w:r/>
            <w:r>
              <w:rPr>
                <w:rFonts w:ascii="Arial" w:hAnsi="Arial"/>
                <w:b w:val="0"/>
                <w:sz w:val="18"/>
              </w:rPr>
              <w:t>1ª VARA DO TRABALHO DE BRUSQUE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298</w:t>
            </w:r>
          </w:p>
        </w:tc>
        <w:tc>
          <w:tcPr>
            <w:tcW w:type="dxa" w:w="1247"/>
            <w:vAlign w:val="center"/>
          </w:tcPr>
          <w:p>
            <w:pPr>
              <w:jc w:val="center"/>
            </w:pPr>
            <w:r/>
            <w:r>
              <w:rPr>
                <w:rFonts w:ascii="Arial" w:hAnsi="Arial"/>
                <w:b w:val="0"/>
                <w:sz w:val="18"/>
              </w:rPr>
              <w:t>39</w:t>
            </w:r>
          </w:p>
        </w:tc>
        <w:tc>
          <w:tcPr>
            <w:tcW w:type="dxa" w:w="1134"/>
            <w:vAlign w:val="center"/>
          </w:tcPr>
          <w:p>
            <w:pPr>
              <w:jc w:val="center"/>
            </w:pPr>
            <w:r/>
            <w:r>
              <w:rPr>
                <w:rFonts w:ascii="Arial" w:hAnsi="Arial"/>
                <w:b w:val="0"/>
                <w:sz w:val="18"/>
              </w:rPr>
              <w:t>305</w:t>
            </w:r>
          </w:p>
        </w:tc>
        <w:tc>
          <w:tcPr>
            <w:tcW w:type="dxa" w:w="1134"/>
            <w:vAlign w:val="center"/>
          </w:tcPr>
          <w:p>
            <w:pPr>
              <w:jc w:val="center"/>
            </w:pPr>
            <w:r/>
            <w:r>
              <w:rPr>
                <w:rFonts w:ascii="Arial" w:hAnsi="Arial"/>
                <w:b w:val="0"/>
                <w:sz w:val="18"/>
              </w:rPr>
              <w:t>152,5</w:t>
            </w:r>
          </w:p>
        </w:tc>
        <w:tc>
          <w:tcPr>
            <w:tcW w:type="dxa" w:w="1134"/>
            <w:vAlign w:val="center"/>
          </w:tcPr>
          <w:p>
            <w:pPr>
              <w:jc w:val="center"/>
            </w:pPr>
            <w:r/>
            <w:r>
              <w:rPr>
                <w:rFonts w:ascii="Arial" w:hAnsi="Arial"/>
                <w:b w:val="0"/>
                <w:sz w:val="18"/>
              </w:rPr>
              <w:t>344</w:t>
            </w:r>
          </w:p>
        </w:tc>
        <w:tc>
          <w:tcPr>
            <w:tcW w:type="dxa" w:w="1134"/>
            <w:vAlign w:val="center"/>
          </w:tcPr>
          <w:p>
            <w:pPr>
              <w:jc w:val="center"/>
            </w:pPr>
            <w:r/>
            <w:r>
              <w:rPr>
                <w:rFonts w:ascii="Arial" w:hAnsi="Arial"/>
                <w:b w:val="0"/>
                <w:sz w:val="18"/>
              </w:rPr>
              <w:t>172,0</w:t>
            </w:r>
          </w:p>
        </w:tc>
        <w:tc>
          <w:tcPr>
            <w:tcW w:type="dxa" w:w="1134"/>
            <w:vAlign w:val="center"/>
          </w:tcPr>
          <w:p>
            <w:pPr>
              <w:jc w:val="center"/>
            </w:pPr>
            <w:r/>
            <w:r>
              <w:rPr>
                <w:rFonts w:ascii="Arial" w:hAnsi="Arial"/>
                <w:b w:val="0"/>
                <w:sz w:val="18"/>
              </w:rPr>
              <w:t>39</w:t>
            </w:r>
          </w:p>
        </w:tc>
        <w:tc>
          <w:tcPr>
            <w:tcW w:type="dxa" w:w="1134"/>
            <w:vAlign w:val="center"/>
          </w:tcPr>
          <w:p>
            <w:pPr>
              <w:jc w:val="center"/>
            </w:pPr>
            <w:r/>
            <w:r>
              <w:rPr>
                <w:rFonts w:ascii="Arial" w:hAnsi="Arial"/>
                <w:b w:val="0"/>
                <w:sz w:val="18"/>
              </w:rPr>
              <w:t>19,5</w:t>
            </w:r>
          </w:p>
        </w:tc>
      </w:tr>
      <w:tr>
        <w:tc>
          <w:tcPr>
            <w:tcW w:type="dxa" w:w="3685"/>
            <w:vAlign w:val="center"/>
          </w:tcPr>
          <w:p>
            <w:r/>
            <w:r>
              <w:rPr>
                <w:rFonts w:ascii="Arial" w:hAnsi="Arial"/>
                <w:b w:val="0"/>
                <w:sz w:val="18"/>
              </w:rPr>
              <w:t>1ª VARA DO TRABALHO DE LAGES</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102</w:t>
            </w:r>
          </w:p>
        </w:tc>
        <w:tc>
          <w:tcPr>
            <w:tcW w:type="dxa" w:w="1247"/>
            <w:vAlign w:val="center"/>
          </w:tcPr>
          <w:p>
            <w:pPr>
              <w:jc w:val="center"/>
            </w:pPr>
            <w:r/>
            <w:r>
              <w:rPr>
                <w:rFonts w:ascii="Arial" w:hAnsi="Arial"/>
                <w:b w:val="0"/>
                <w:sz w:val="18"/>
              </w:rPr>
              <w:t>74</w:t>
            </w:r>
          </w:p>
        </w:tc>
        <w:tc>
          <w:tcPr>
            <w:tcW w:type="dxa" w:w="1134"/>
            <w:vAlign w:val="center"/>
          </w:tcPr>
          <w:p>
            <w:pPr>
              <w:jc w:val="center"/>
            </w:pPr>
            <w:r/>
            <w:r>
              <w:rPr>
                <w:rFonts w:ascii="Arial" w:hAnsi="Arial"/>
                <w:b w:val="0"/>
                <w:sz w:val="18"/>
              </w:rPr>
              <w:t>106</w:t>
            </w:r>
          </w:p>
        </w:tc>
        <w:tc>
          <w:tcPr>
            <w:tcW w:type="dxa" w:w="1134"/>
            <w:vAlign w:val="center"/>
          </w:tcPr>
          <w:p>
            <w:pPr>
              <w:jc w:val="center"/>
            </w:pPr>
            <w:r/>
            <w:r>
              <w:rPr>
                <w:rFonts w:ascii="Arial" w:hAnsi="Arial"/>
                <w:b w:val="0"/>
                <w:sz w:val="18"/>
              </w:rPr>
              <w:t>106,0</w:t>
            </w:r>
          </w:p>
        </w:tc>
        <w:tc>
          <w:tcPr>
            <w:tcW w:type="dxa" w:w="1134"/>
            <w:vAlign w:val="center"/>
          </w:tcPr>
          <w:p>
            <w:pPr>
              <w:jc w:val="center"/>
            </w:pPr>
            <w:r/>
            <w:r>
              <w:rPr>
                <w:rFonts w:ascii="Arial" w:hAnsi="Arial"/>
                <w:b w:val="0"/>
                <w:sz w:val="18"/>
              </w:rPr>
              <w:t>179</w:t>
            </w:r>
          </w:p>
        </w:tc>
        <w:tc>
          <w:tcPr>
            <w:tcW w:type="dxa" w:w="1134"/>
            <w:vAlign w:val="center"/>
          </w:tcPr>
          <w:p>
            <w:pPr>
              <w:jc w:val="center"/>
            </w:pPr>
            <w:r/>
            <w:r>
              <w:rPr>
                <w:rFonts w:ascii="Arial" w:hAnsi="Arial"/>
                <w:b w:val="0"/>
                <w:sz w:val="18"/>
              </w:rPr>
              <w:t>179,0</w:t>
            </w:r>
          </w:p>
        </w:tc>
        <w:tc>
          <w:tcPr>
            <w:tcW w:type="dxa" w:w="1134"/>
            <w:vAlign w:val="center"/>
          </w:tcPr>
          <w:p>
            <w:pPr>
              <w:jc w:val="center"/>
            </w:pPr>
            <w:r/>
            <w:r>
              <w:rPr>
                <w:rFonts w:ascii="Arial" w:hAnsi="Arial"/>
                <w:b w:val="0"/>
                <w:sz w:val="18"/>
              </w:rPr>
              <w:t>73</w:t>
            </w:r>
          </w:p>
        </w:tc>
        <w:tc>
          <w:tcPr>
            <w:tcW w:type="dxa" w:w="1134"/>
            <w:vAlign w:val="center"/>
          </w:tcPr>
          <w:p>
            <w:pPr>
              <w:jc w:val="center"/>
            </w:pPr>
            <w:r/>
            <w:r>
              <w:rPr>
                <w:rFonts w:ascii="Arial" w:hAnsi="Arial"/>
                <w:b w:val="0"/>
                <w:sz w:val="18"/>
              </w:rPr>
              <w:t>73,0</w:t>
            </w:r>
          </w:p>
        </w:tc>
      </w:tr>
      <w:tr>
        <w:tc>
          <w:tcPr>
            <w:tcW w:type="dxa" w:w="3685"/>
            <w:vAlign w:val="center"/>
          </w:tcPr>
          <w:p>
            <w:r/>
            <w:r>
              <w:rPr>
                <w:rFonts w:ascii="Arial" w:hAnsi="Arial"/>
                <w:b w:val="0"/>
                <w:sz w:val="18"/>
              </w:rPr>
              <w:t>1ª VARA DO TRABALHO DE TUBARÃO</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200</w:t>
            </w:r>
          </w:p>
        </w:tc>
        <w:tc>
          <w:tcPr>
            <w:tcW w:type="dxa" w:w="1247"/>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202</w:t>
            </w:r>
          </w:p>
        </w:tc>
        <w:tc>
          <w:tcPr>
            <w:tcW w:type="dxa" w:w="1134"/>
            <w:vAlign w:val="center"/>
          </w:tcPr>
          <w:p>
            <w:pPr>
              <w:jc w:val="center"/>
            </w:pPr>
            <w:r/>
            <w:r>
              <w:rPr>
                <w:rFonts w:ascii="Arial" w:hAnsi="Arial"/>
                <w:b w:val="0"/>
                <w:sz w:val="18"/>
              </w:rPr>
              <w:t>101,0</w:t>
            </w:r>
          </w:p>
        </w:tc>
        <w:tc>
          <w:tcPr>
            <w:tcW w:type="dxa" w:w="1134"/>
            <w:vAlign w:val="center"/>
          </w:tcPr>
          <w:p>
            <w:pPr>
              <w:jc w:val="center"/>
            </w:pPr>
            <w:r/>
            <w:r>
              <w:rPr>
                <w:rFonts w:ascii="Arial" w:hAnsi="Arial"/>
                <w:b w:val="0"/>
                <w:sz w:val="18"/>
              </w:rPr>
              <w:t>254</w:t>
            </w:r>
          </w:p>
        </w:tc>
        <w:tc>
          <w:tcPr>
            <w:tcW w:type="dxa" w:w="1134"/>
            <w:vAlign w:val="center"/>
          </w:tcPr>
          <w:p>
            <w:pPr>
              <w:jc w:val="center"/>
            </w:pPr>
            <w:r/>
            <w:r>
              <w:rPr>
                <w:rFonts w:ascii="Arial" w:hAnsi="Arial"/>
                <w:b w:val="0"/>
                <w:sz w:val="18"/>
              </w:rPr>
              <w:t>127,0</w:t>
            </w:r>
          </w:p>
        </w:tc>
        <w:tc>
          <w:tcPr>
            <w:tcW w:type="dxa" w:w="1134"/>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26,0</w:t>
            </w:r>
          </w:p>
        </w:tc>
      </w:tr>
      <w:tr>
        <w:tc>
          <w:tcPr>
            <w:tcW w:type="dxa" w:w="3685"/>
            <w:vAlign w:val="center"/>
          </w:tcPr>
          <w:p>
            <w:r/>
            <w:r>
              <w:rPr>
                <w:rFonts w:ascii="Arial" w:hAnsi="Arial"/>
                <w:b w:val="0"/>
                <w:sz w:val="18"/>
              </w:rPr>
              <w:t>2ª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195</w:t>
            </w:r>
          </w:p>
        </w:tc>
        <w:tc>
          <w:tcPr>
            <w:tcW w:type="dxa" w:w="1247"/>
            <w:vAlign w:val="center"/>
          </w:tcPr>
          <w:p>
            <w:pPr>
              <w:jc w:val="center"/>
            </w:pPr>
            <w:r/>
            <w:r>
              <w:rPr>
                <w:rFonts w:ascii="Arial" w:hAnsi="Arial"/>
                <w:b w:val="0"/>
                <w:sz w:val="18"/>
              </w:rPr>
              <w:t>48</w:t>
            </w:r>
          </w:p>
        </w:tc>
        <w:tc>
          <w:tcPr>
            <w:tcW w:type="dxa" w:w="1134"/>
            <w:vAlign w:val="center"/>
          </w:tcPr>
          <w:p>
            <w:pPr>
              <w:jc w:val="center"/>
            </w:pPr>
            <w:r/>
            <w:r>
              <w:rPr>
                <w:rFonts w:ascii="Arial" w:hAnsi="Arial"/>
                <w:b w:val="0"/>
                <w:sz w:val="18"/>
              </w:rPr>
              <w:t>198</w:t>
            </w:r>
          </w:p>
        </w:tc>
        <w:tc>
          <w:tcPr>
            <w:tcW w:type="dxa" w:w="1134"/>
            <w:vAlign w:val="center"/>
          </w:tcPr>
          <w:p>
            <w:pPr>
              <w:jc w:val="center"/>
            </w:pPr>
            <w:r/>
            <w:r>
              <w:rPr>
                <w:rFonts w:ascii="Arial" w:hAnsi="Arial"/>
                <w:b w:val="0"/>
                <w:sz w:val="18"/>
              </w:rPr>
              <w:t>99,0</w:t>
            </w:r>
          </w:p>
        </w:tc>
        <w:tc>
          <w:tcPr>
            <w:tcW w:type="dxa" w:w="1134"/>
            <w:vAlign w:val="center"/>
          </w:tcPr>
          <w:p>
            <w:pPr>
              <w:jc w:val="center"/>
            </w:pPr>
            <w:r/>
            <w:r>
              <w:rPr>
                <w:rFonts w:ascii="Arial" w:hAnsi="Arial"/>
                <w:b w:val="0"/>
                <w:sz w:val="18"/>
              </w:rPr>
              <w:t>246</w:t>
            </w:r>
          </w:p>
        </w:tc>
        <w:tc>
          <w:tcPr>
            <w:tcW w:type="dxa" w:w="1134"/>
            <w:vAlign w:val="center"/>
          </w:tcPr>
          <w:p>
            <w:pPr>
              <w:jc w:val="center"/>
            </w:pPr>
            <w:r/>
            <w:r>
              <w:rPr>
                <w:rFonts w:ascii="Arial" w:hAnsi="Arial"/>
                <w:b w:val="0"/>
                <w:sz w:val="18"/>
              </w:rPr>
              <w:t>123,0</w:t>
            </w:r>
          </w:p>
        </w:tc>
        <w:tc>
          <w:tcPr>
            <w:tcW w:type="dxa" w:w="1134"/>
            <w:vAlign w:val="center"/>
          </w:tcPr>
          <w:p>
            <w:pPr>
              <w:jc w:val="center"/>
            </w:pPr>
            <w:r/>
            <w:r>
              <w:rPr>
                <w:rFonts w:ascii="Arial" w:hAnsi="Arial"/>
                <w:b w:val="0"/>
                <w:sz w:val="18"/>
              </w:rPr>
              <w:t>48</w:t>
            </w:r>
          </w:p>
        </w:tc>
        <w:tc>
          <w:tcPr>
            <w:tcW w:type="dxa" w:w="1134"/>
            <w:vAlign w:val="center"/>
          </w:tcPr>
          <w:p>
            <w:pPr>
              <w:jc w:val="center"/>
            </w:pPr>
            <w:r/>
            <w:r>
              <w:rPr>
                <w:rFonts w:ascii="Arial" w:hAnsi="Arial"/>
                <w:b w:val="0"/>
                <w:sz w:val="18"/>
              </w:rPr>
              <w:t>24,0</w:t>
            </w:r>
          </w:p>
        </w:tc>
      </w:tr>
      <w:tr>
        <w:tc>
          <w:tcPr>
            <w:tcW w:type="dxa" w:w="3685"/>
            <w:vAlign w:val="center"/>
          </w:tcPr>
          <w:p>
            <w:r/>
            <w:r>
              <w:rPr>
                <w:rFonts w:ascii="Arial" w:hAnsi="Arial"/>
                <w:b w:val="0"/>
                <w:sz w:val="18"/>
              </w:rPr>
              <w:t>2ª VARA DO TRABALHO DE BRUSQUE</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164</w:t>
            </w:r>
          </w:p>
        </w:tc>
        <w:tc>
          <w:tcPr>
            <w:tcW w:type="dxa" w:w="1247"/>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160</w:t>
            </w:r>
          </w:p>
        </w:tc>
        <w:tc>
          <w:tcPr>
            <w:tcW w:type="dxa" w:w="1134"/>
            <w:vAlign w:val="center"/>
          </w:tcPr>
          <w:p>
            <w:pPr>
              <w:jc w:val="center"/>
            </w:pPr>
            <w:r/>
            <w:r>
              <w:rPr>
                <w:rFonts w:ascii="Arial" w:hAnsi="Arial"/>
                <w:b w:val="0"/>
                <w:sz w:val="18"/>
              </w:rPr>
              <w:t>160,0</w:t>
            </w:r>
          </w:p>
        </w:tc>
        <w:tc>
          <w:tcPr>
            <w:tcW w:type="dxa" w:w="1134"/>
            <w:vAlign w:val="center"/>
          </w:tcPr>
          <w:p>
            <w:pPr>
              <w:jc w:val="center"/>
            </w:pPr>
            <w:r/>
            <w:r>
              <w:rPr>
                <w:rFonts w:ascii="Arial" w:hAnsi="Arial"/>
                <w:b w:val="0"/>
                <w:sz w:val="18"/>
              </w:rPr>
              <w:t>189</w:t>
            </w:r>
          </w:p>
        </w:tc>
        <w:tc>
          <w:tcPr>
            <w:tcW w:type="dxa" w:w="1134"/>
            <w:vAlign w:val="center"/>
          </w:tcPr>
          <w:p>
            <w:pPr>
              <w:jc w:val="center"/>
            </w:pPr>
            <w:r/>
            <w:r>
              <w:rPr>
                <w:rFonts w:ascii="Arial" w:hAnsi="Arial"/>
                <w:b w:val="0"/>
                <w:sz w:val="18"/>
              </w:rPr>
              <w:t>189,0</w:t>
            </w:r>
          </w:p>
        </w:tc>
        <w:tc>
          <w:tcPr>
            <w:tcW w:type="dxa" w:w="1134"/>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29,0</w:t>
            </w:r>
          </w:p>
        </w:tc>
      </w:tr>
      <w:tr>
        <w:tc>
          <w:tcPr>
            <w:tcW w:type="dxa" w:w="3685"/>
            <w:vAlign w:val="center"/>
          </w:tcPr>
          <w:p>
            <w:r/>
            <w:r>
              <w:rPr>
                <w:rFonts w:ascii="Arial" w:hAnsi="Arial"/>
                <w:b w:val="0"/>
                <w:sz w:val="18"/>
              </w:rPr>
              <w:t>2ª VARA DO TRABALHO DE LAGES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121</w:t>
            </w:r>
          </w:p>
        </w:tc>
        <w:tc>
          <w:tcPr>
            <w:tcW w:type="dxa" w:w="1247"/>
            <w:vAlign w:val="center"/>
          </w:tcPr>
          <w:p>
            <w:pPr>
              <w:jc w:val="center"/>
            </w:pPr>
            <w:r/>
            <w:r>
              <w:rPr>
                <w:rFonts w:ascii="Arial" w:hAnsi="Arial"/>
                <w:b w:val="0"/>
                <w:sz w:val="18"/>
              </w:rPr>
              <w:t>92</w:t>
            </w:r>
          </w:p>
        </w:tc>
        <w:tc>
          <w:tcPr>
            <w:tcW w:type="dxa" w:w="1134"/>
            <w:vAlign w:val="center"/>
          </w:tcPr>
          <w:p>
            <w:pPr>
              <w:jc w:val="center"/>
            </w:pPr>
            <w:r/>
            <w:r>
              <w:rPr>
                <w:rFonts w:ascii="Arial" w:hAnsi="Arial"/>
                <w:b w:val="0"/>
                <w:sz w:val="18"/>
              </w:rPr>
              <w:t>117</w:t>
            </w:r>
          </w:p>
        </w:tc>
        <w:tc>
          <w:tcPr>
            <w:tcW w:type="dxa" w:w="1134"/>
            <w:vAlign w:val="center"/>
          </w:tcPr>
          <w:p>
            <w:pPr>
              <w:jc w:val="center"/>
            </w:pPr>
            <w:r/>
            <w:r>
              <w:rPr>
                <w:rFonts w:ascii="Arial" w:hAnsi="Arial"/>
                <w:b w:val="0"/>
                <w:sz w:val="18"/>
              </w:rPr>
              <w:t>58,5</w:t>
            </w:r>
          </w:p>
        </w:tc>
        <w:tc>
          <w:tcPr>
            <w:tcW w:type="dxa" w:w="1134"/>
            <w:vAlign w:val="center"/>
          </w:tcPr>
          <w:p>
            <w:pPr>
              <w:jc w:val="center"/>
            </w:pPr>
            <w:r/>
            <w:r>
              <w:rPr>
                <w:rFonts w:ascii="Arial" w:hAnsi="Arial"/>
                <w:b w:val="0"/>
                <w:sz w:val="18"/>
              </w:rPr>
              <w:t>209</w:t>
            </w:r>
          </w:p>
        </w:tc>
        <w:tc>
          <w:tcPr>
            <w:tcW w:type="dxa" w:w="1134"/>
            <w:vAlign w:val="center"/>
          </w:tcPr>
          <w:p>
            <w:pPr>
              <w:jc w:val="center"/>
            </w:pPr>
            <w:r/>
            <w:r>
              <w:rPr>
                <w:rFonts w:ascii="Arial" w:hAnsi="Arial"/>
                <w:b w:val="0"/>
                <w:sz w:val="18"/>
              </w:rPr>
              <w:t>104,5</w:t>
            </w:r>
          </w:p>
        </w:tc>
        <w:tc>
          <w:tcPr>
            <w:tcW w:type="dxa" w:w="1134"/>
            <w:vAlign w:val="center"/>
          </w:tcPr>
          <w:p>
            <w:pPr>
              <w:jc w:val="center"/>
            </w:pPr>
            <w:r/>
            <w:r>
              <w:rPr>
                <w:rFonts w:ascii="Arial" w:hAnsi="Arial"/>
                <w:b w:val="0"/>
                <w:sz w:val="18"/>
              </w:rPr>
              <w:t>92</w:t>
            </w:r>
          </w:p>
        </w:tc>
        <w:tc>
          <w:tcPr>
            <w:tcW w:type="dxa" w:w="1134"/>
            <w:vAlign w:val="center"/>
          </w:tcPr>
          <w:p>
            <w:pPr>
              <w:jc w:val="center"/>
            </w:pPr>
            <w:r/>
            <w:r>
              <w:rPr>
                <w:rFonts w:ascii="Arial" w:hAnsi="Arial"/>
                <w:b w:val="0"/>
                <w:sz w:val="18"/>
              </w:rPr>
              <w:t>46,0</w:t>
            </w:r>
          </w:p>
        </w:tc>
      </w:tr>
      <w:tr>
        <w:tc>
          <w:tcPr>
            <w:tcW w:type="dxa" w:w="3685"/>
            <w:vAlign w:val="center"/>
          </w:tcPr>
          <w:p>
            <w:r/>
            <w:r>
              <w:rPr>
                <w:rFonts w:ascii="Arial" w:hAnsi="Arial"/>
                <w:b w:val="0"/>
                <w:sz w:val="18"/>
              </w:rPr>
              <w:t>2ª VARA DO TRABALHO DE TUBARÃO</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121</w:t>
            </w:r>
          </w:p>
        </w:tc>
        <w:tc>
          <w:tcPr>
            <w:tcW w:type="dxa" w:w="1247"/>
            <w:vAlign w:val="center"/>
          </w:tcPr>
          <w:p>
            <w:pPr>
              <w:jc w:val="center"/>
            </w:pPr>
            <w:r/>
            <w:r>
              <w:rPr>
                <w:rFonts w:ascii="Arial" w:hAnsi="Arial"/>
                <w:b w:val="0"/>
                <w:sz w:val="18"/>
              </w:rPr>
              <w:t>53</w:t>
            </w:r>
          </w:p>
        </w:tc>
        <w:tc>
          <w:tcPr>
            <w:tcW w:type="dxa" w:w="1134"/>
            <w:vAlign w:val="center"/>
          </w:tcPr>
          <w:p>
            <w:pPr>
              <w:jc w:val="center"/>
            </w:pPr>
            <w:r/>
            <w:r>
              <w:rPr>
                <w:rFonts w:ascii="Arial" w:hAnsi="Arial"/>
                <w:b w:val="0"/>
                <w:sz w:val="18"/>
              </w:rPr>
              <w:t>122</w:t>
            </w:r>
          </w:p>
        </w:tc>
        <w:tc>
          <w:tcPr>
            <w:tcW w:type="dxa" w:w="1134"/>
            <w:vAlign w:val="center"/>
          </w:tcPr>
          <w:p>
            <w:pPr>
              <w:jc w:val="center"/>
            </w:pPr>
            <w:r/>
            <w:r>
              <w:rPr>
                <w:rFonts w:ascii="Arial" w:hAnsi="Arial"/>
                <w:b w:val="0"/>
                <w:sz w:val="18"/>
              </w:rPr>
              <w:t>61,0</w:t>
            </w:r>
          </w:p>
        </w:tc>
        <w:tc>
          <w:tcPr>
            <w:tcW w:type="dxa" w:w="1134"/>
            <w:vAlign w:val="center"/>
          </w:tcPr>
          <w:p>
            <w:pPr>
              <w:jc w:val="center"/>
            </w:pPr>
            <w:r/>
            <w:r>
              <w:rPr>
                <w:rFonts w:ascii="Arial" w:hAnsi="Arial"/>
                <w:b w:val="0"/>
                <w:sz w:val="18"/>
              </w:rPr>
              <w:t>175</w:t>
            </w:r>
          </w:p>
        </w:tc>
        <w:tc>
          <w:tcPr>
            <w:tcW w:type="dxa" w:w="1134"/>
            <w:vAlign w:val="center"/>
          </w:tcPr>
          <w:p>
            <w:pPr>
              <w:jc w:val="center"/>
            </w:pPr>
            <w:r/>
            <w:r>
              <w:rPr>
                <w:rFonts w:ascii="Arial" w:hAnsi="Arial"/>
                <w:b w:val="0"/>
                <w:sz w:val="18"/>
              </w:rPr>
              <w:t>87,5</w:t>
            </w:r>
          </w:p>
        </w:tc>
        <w:tc>
          <w:tcPr>
            <w:tcW w:type="dxa" w:w="1134"/>
            <w:vAlign w:val="center"/>
          </w:tcPr>
          <w:p>
            <w:pPr>
              <w:jc w:val="center"/>
            </w:pPr>
            <w:r/>
            <w:r>
              <w:rPr>
                <w:rFonts w:ascii="Arial" w:hAnsi="Arial"/>
                <w:b w:val="0"/>
                <w:sz w:val="18"/>
              </w:rPr>
              <w:t>53</w:t>
            </w:r>
          </w:p>
        </w:tc>
        <w:tc>
          <w:tcPr>
            <w:tcW w:type="dxa" w:w="1134"/>
            <w:vAlign w:val="center"/>
          </w:tcPr>
          <w:p>
            <w:pPr>
              <w:jc w:val="center"/>
            </w:pPr>
            <w:r/>
            <w:r>
              <w:rPr>
                <w:rFonts w:ascii="Arial" w:hAnsi="Arial"/>
                <w:b w:val="0"/>
                <w:sz w:val="18"/>
              </w:rPr>
              <w:t>26,5</w:t>
            </w:r>
          </w:p>
        </w:tc>
      </w:tr>
      <w:tr>
        <w:tc>
          <w:tcPr>
            <w:tcW w:type="dxa" w:w="3685"/>
            <w:vAlign w:val="center"/>
          </w:tcPr>
          <w:p>
            <w:r/>
            <w:r>
              <w:rPr>
                <w:rFonts w:ascii="Arial" w:hAnsi="Arial"/>
                <w:b w:val="0"/>
                <w:sz w:val="18"/>
              </w:rPr>
              <w:t>3ª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222</w:t>
            </w:r>
          </w:p>
        </w:tc>
        <w:tc>
          <w:tcPr>
            <w:tcW w:type="dxa" w:w="1247"/>
            <w:vAlign w:val="center"/>
          </w:tcPr>
          <w:p>
            <w:pPr>
              <w:jc w:val="center"/>
            </w:pPr>
            <w:r/>
            <w:r>
              <w:rPr>
                <w:rFonts w:ascii="Arial" w:hAnsi="Arial"/>
                <w:b w:val="0"/>
                <w:sz w:val="18"/>
              </w:rPr>
              <w:t>30</w:t>
            </w:r>
          </w:p>
        </w:tc>
        <w:tc>
          <w:tcPr>
            <w:tcW w:type="dxa" w:w="1134"/>
            <w:vAlign w:val="center"/>
          </w:tcPr>
          <w:p>
            <w:pPr>
              <w:jc w:val="center"/>
            </w:pPr>
            <w:r/>
            <w:r>
              <w:rPr>
                <w:rFonts w:ascii="Arial" w:hAnsi="Arial"/>
                <w:b w:val="0"/>
                <w:sz w:val="18"/>
              </w:rPr>
              <w:t>223</w:t>
            </w:r>
          </w:p>
        </w:tc>
        <w:tc>
          <w:tcPr>
            <w:tcW w:type="dxa" w:w="1134"/>
            <w:vAlign w:val="center"/>
          </w:tcPr>
          <w:p>
            <w:pPr>
              <w:jc w:val="center"/>
            </w:pPr>
            <w:r/>
            <w:r>
              <w:rPr>
                <w:rFonts w:ascii="Arial" w:hAnsi="Arial"/>
                <w:b w:val="0"/>
                <w:sz w:val="18"/>
              </w:rPr>
              <w:t>111,5</w:t>
            </w:r>
          </w:p>
        </w:tc>
        <w:tc>
          <w:tcPr>
            <w:tcW w:type="dxa" w:w="1134"/>
            <w:vAlign w:val="center"/>
          </w:tcPr>
          <w:p>
            <w:pPr>
              <w:jc w:val="center"/>
            </w:pPr>
            <w:r/>
            <w:r>
              <w:rPr>
                <w:rFonts w:ascii="Arial" w:hAnsi="Arial"/>
                <w:b w:val="0"/>
                <w:sz w:val="18"/>
              </w:rPr>
              <w:t>253</w:t>
            </w:r>
          </w:p>
        </w:tc>
        <w:tc>
          <w:tcPr>
            <w:tcW w:type="dxa" w:w="1134"/>
            <w:vAlign w:val="center"/>
          </w:tcPr>
          <w:p>
            <w:pPr>
              <w:jc w:val="center"/>
            </w:pPr>
            <w:r/>
            <w:r>
              <w:rPr>
                <w:rFonts w:ascii="Arial" w:hAnsi="Arial"/>
                <w:b w:val="0"/>
                <w:sz w:val="18"/>
              </w:rPr>
              <w:t>126,5</w:t>
            </w:r>
          </w:p>
        </w:tc>
        <w:tc>
          <w:tcPr>
            <w:tcW w:type="dxa" w:w="1134"/>
            <w:vAlign w:val="center"/>
          </w:tcPr>
          <w:p>
            <w:pPr>
              <w:jc w:val="center"/>
            </w:pPr>
            <w:r/>
            <w:r>
              <w:rPr>
                <w:rFonts w:ascii="Arial" w:hAnsi="Arial"/>
                <w:b w:val="0"/>
                <w:sz w:val="18"/>
              </w:rPr>
              <w:t>30</w:t>
            </w:r>
          </w:p>
        </w:tc>
        <w:tc>
          <w:tcPr>
            <w:tcW w:type="dxa" w:w="1134"/>
            <w:vAlign w:val="center"/>
          </w:tcPr>
          <w:p>
            <w:pPr>
              <w:jc w:val="center"/>
            </w:pPr>
            <w:r/>
            <w:r>
              <w:rPr>
                <w:rFonts w:ascii="Arial" w:hAnsi="Arial"/>
                <w:b w:val="0"/>
                <w:sz w:val="18"/>
              </w:rPr>
              <w:t>15,0</w:t>
            </w:r>
          </w:p>
        </w:tc>
      </w:tr>
      <w:tr>
        <w:tc>
          <w:tcPr>
            <w:tcW w:type="dxa" w:w="3685"/>
            <w:vAlign w:val="center"/>
          </w:tcPr>
          <w:p>
            <w:r/>
            <w:r>
              <w:rPr>
                <w:rFonts w:ascii="Arial" w:hAnsi="Arial"/>
                <w:b w:val="0"/>
                <w:sz w:val="18"/>
              </w:rPr>
              <w:t>3ª VARA DO TRABALHO DE LAGES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133</w:t>
            </w:r>
          </w:p>
        </w:tc>
        <w:tc>
          <w:tcPr>
            <w:tcW w:type="dxa" w:w="1247"/>
            <w:vAlign w:val="center"/>
          </w:tcPr>
          <w:p>
            <w:pPr>
              <w:jc w:val="center"/>
            </w:pPr>
            <w:r/>
            <w:r>
              <w:rPr>
                <w:rFonts w:ascii="Arial" w:hAnsi="Arial"/>
                <w:b w:val="0"/>
                <w:sz w:val="18"/>
              </w:rPr>
              <w:t>90</w:t>
            </w:r>
          </w:p>
        </w:tc>
        <w:tc>
          <w:tcPr>
            <w:tcW w:type="dxa" w:w="1134"/>
            <w:vAlign w:val="center"/>
          </w:tcPr>
          <w:p>
            <w:pPr>
              <w:jc w:val="center"/>
            </w:pPr>
            <w:r/>
            <w:r>
              <w:rPr>
                <w:rFonts w:ascii="Arial" w:hAnsi="Arial"/>
                <w:b w:val="0"/>
                <w:sz w:val="18"/>
              </w:rPr>
              <w:t>135</w:t>
            </w:r>
          </w:p>
        </w:tc>
        <w:tc>
          <w:tcPr>
            <w:tcW w:type="dxa" w:w="1134"/>
            <w:vAlign w:val="center"/>
          </w:tcPr>
          <w:p>
            <w:pPr>
              <w:jc w:val="center"/>
            </w:pPr>
            <w:r/>
            <w:r>
              <w:rPr>
                <w:rFonts w:ascii="Arial" w:hAnsi="Arial"/>
                <w:b w:val="0"/>
                <w:sz w:val="18"/>
              </w:rPr>
              <w:t>67,5</w:t>
            </w:r>
          </w:p>
        </w:tc>
        <w:tc>
          <w:tcPr>
            <w:tcW w:type="dxa" w:w="1134"/>
            <w:vAlign w:val="center"/>
          </w:tcPr>
          <w:p>
            <w:pPr>
              <w:jc w:val="center"/>
            </w:pPr>
            <w:r/>
            <w:r>
              <w:rPr>
                <w:rFonts w:ascii="Arial" w:hAnsi="Arial"/>
                <w:b w:val="0"/>
                <w:sz w:val="18"/>
              </w:rPr>
              <w:t>225</w:t>
            </w:r>
          </w:p>
        </w:tc>
        <w:tc>
          <w:tcPr>
            <w:tcW w:type="dxa" w:w="1134"/>
            <w:vAlign w:val="center"/>
          </w:tcPr>
          <w:p>
            <w:pPr>
              <w:jc w:val="center"/>
            </w:pPr>
            <w:r/>
            <w:r>
              <w:rPr>
                <w:rFonts w:ascii="Arial" w:hAnsi="Arial"/>
                <w:b w:val="0"/>
                <w:sz w:val="18"/>
              </w:rPr>
              <w:t>112,5</w:t>
            </w:r>
          </w:p>
        </w:tc>
        <w:tc>
          <w:tcPr>
            <w:tcW w:type="dxa" w:w="1134"/>
            <w:vAlign w:val="center"/>
          </w:tcPr>
          <w:p>
            <w:pPr>
              <w:jc w:val="center"/>
            </w:pPr>
            <w:r/>
            <w:r>
              <w:rPr>
                <w:rFonts w:ascii="Arial" w:hAnsi="Arial"/>
                <w:b w:val="0"/>
                <w:sz w:val="18"/>
              </w:rPr>
              <w:t>90</w:t>
            </w:r>
          </w:p>
        </w:tc>
        <w:tc>
          <w:tcPr>
            <w:tcW w:type="dxa" w:w="1134"/>
            <w:vAlign w:val="center"/>
          </w:tcPr>
          <w:p>
            <w:pPr>
              <w:jc w:val="center"/>
            </w:pPr>
            <w:r/>
            <w:r>
              <w:rPr>
                <w:rFonts w:ascii="Arial" w:hAnsi="Arial"/>
                <w:b w:val="0"/>
                <w:sz w:val="18"/>
              </w:rPr>
              <w:t>45,0</w:t>
            </w:r>
          </w:p>
        </w:tc>
      </w:tr>
      <w:tr>
        <w:tc>
          <w:tcPr>
            <w:tcW w:type="dxa" w:w="3685"/>
            <w:vAlign w:val="center"/>
          </w:tcPr>
          <w:p>
            <w:r/>
            <w:r>
              <w:rPr>
                <w:rFonts w:ascii="Arial" w:hAnsi="Arial"/>
                <w:b w:val="0"/>
                <w:sz w:val="18"/>
              </w:rPr>
              <w:t>4ª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195</w:t>
            </w:r>
          </w:p>
        </w:tc>
        <w:tc>
          <w:tcPr>
            <w:tcW w:type="dxa" w:w="1247"/>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196</w:t>
            </w:r>
          </w:p>
        </w:tc>
        <w:tc>
          <w:tcPr>
            <w:tcW w:type="dxa" w:w="1134"/>
            <w:vAlign w:val="center"/>
          </w:tcPr>
          <w:p>
            <w:pPr>
              <w:jc w:val="center"/>
            </w:pPr>
            <w:r/>
            <w:r>
              <w:rPr>
                <w:rFonts w:ascii="Arial" w:hAnsi="Arial"/>
                <w:b w:val="0"/>
                <w:sz w:val="18"/>
              </w:rPr>
              <w:t>98,0</w:t>
            </w:r>
          </w:p>
        </w:tc>
        <w:tc>
          <w:tcPr>
            <w:tcW w:type="dxa" w:w="1134"/>
            <w:vAlign w:val="center"/>
          </w:tcPr>
          <w:p>
            <w:pPr>
              <w:jc w:val="center"/>
            </w:pPr>
            <w:r/>
            <w:r>
              <w:rPr>
                <w:rFonts w:ascii="Arial" w:hAnsi="Arial"/>
                <w:b w:val="0"/>
                <w:sz w:val="18"/>
              </w:rPr>
              <w:t>242</w:t>
            </w:r>
          </w:p>
        </w:tc>
        <w:tc>
          <w:tcPr>
            <w:tcW w:type="dxa" w:w="1134"/>
            <w:vAlign w:val="center"/>
          </w:tcPr>
          <w:p>
            <w:pPr>
              <w:jc w:val="center"/>
            </w:pPr>
            <w:r/>
            <w:r>
              <w:rPr>
                <w:rFonts w:ascii="Arial" w:hAnsi="Arial"/>
                <w:b w:val="0"/>
                <w:sz w:val="18"/>
              </w:rPr>
              <w:t>121,0</w:t>
            </w:r>
          </w:p>
        </w:tc>
        <w:tc>
          <w:tcPr>
            <w:tcW w:type="dxa" w:w="1134"/>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23,0</w:t>
            </w:r>
          </w:p>
        </w:tc>
      </w:tr>
      <w:tr>
        <w:tc>
          <w:tcPr>
            <w:tcW w:type="dxa" w:w="3685"/>
            <w:vAlign w:val="center"/>
          </w:tcPr>
          <w:p>
            <w:r/>
            <w:r>
              <w:rPr>
                <w:rFonts w:ascii="Arial" w:hAnsi="Arial"/>
                <w:b w:val="0"/>
                <w:sz w:val="18"/>
              </w:rPr>
              <w:t>VARA DO TRABALHO DE ARARANGUÁ</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275</w:t>
            </w:r>
          </w:p>
        </w:tc>
        <w:tc>
          <w:tcPr>
            <w:tcW w:type="dxa" w:w="1247"/>
            <w:vAlign w:val="center"/>
          </w:tcPr>
          <w:p>
            <w:pPr>
              <w:jc w:val="center"/>
            </w:pPr>
            <w:r/>
            <w:r>
              <w:rPr>
                <w:rFonts w:ascii="Arial" w:hAnsi="Arial"/>
                <w:b w:val="0"/>
                <w:sz w:val="18"/>
              </w:rPr>
              <w:t>70</w:t>
            </w:r>
          </w:p>
        </w:tc>
        <w:tc>
          <w:tcPr>
            <w:tcW w:type="dxa" w:w="1134"/>
            <w:vAlign w:val="center"/>
          </w:tcPr>
          <w:p>
            <w:pPr>
              <w:jc w:val="center"/>
            </w:pPr>
            <w:r/>
            <w:r>
              <w:rPr>
                <w:rFonts w:ascii="Arial" w:hAnsi="Arial"/>
                <w:b w:val="0"/>
                <w:sz w:val="18"/>
              </w:rPr>
              <w:t>275</w:t>
            </w:r>
          </w:p>
        </w:tc>
        <w:tc>
          <w:tcPr>
            <w:tcW w:type="dxa" w:w="1134"/>
            <w:vAlign w:val="center"/>
          </w:tcPr>
          <w:p>
            <w:pPr>
              <w:jc w:val="center"/>
            </w:pPr>
            <w:r/>
            <w:r>
              <w:rPr>
                <w:rFonts w:ascii="Arial" w:hAnsi="Arial"/>
                <w:b w:val="0"/>
                <w:sz w:val="18"/>
              </w:rPr>
              <w:t>137,5</w:t>
            </w:r>
          </w:p>
        </w:tc>
        <w:tc>
          <w:tcPr>
            <w:tcW w:type="dxa" w:w="1134"/>
            <w:vAlign w:val="center"/>
          </w:tcPr>
          <w:p>
            <w:pPr>
              <w:jc w:val="center"/>
            </w:pPr>
            <w:r/>
            <w:r>
              <w:rPr>
                <w:rFonts w:ascii="Arial" w:hAnsi="Arial"/>
                <w:b w:val="0"/>
                <w:sz w:val="18"/>
              </w:rPr>
              <w:t>345</w:t>
            </w:r>
          </w:p>
        </w:tc>
        <w:tc>
          <w:tcPr>
            <w:tcW w:type="dxa" w:w="1134"/>
            <w:vAlign w:val="center"/>
          </w:tcPr>
          <w:p>
            <w:pPr>
              <w:jc w:val="center"/>
            </w:pPr>
            <w:r/>
            <w:r>
              <w:rPr>
                <w:rFonts w:ascii="Arial" w:hAnsi="Arial"/>
                <w:b w:val="0"/>
                <w:sz w:val="18"/>
              </w:rPr>
              <w:t>172,5</w:t>
            </w:r>
          </w:p>
        </w:tc>
        <w:tc>
          <w:tcPr>
            <w:tcW w:type="dxa" w:w="1134"/>
            <w:vAlign w:val="center"/>
          </w:tcPr>
          <w:p>
            <w:pPr>
              <w:jc w:val="center"/>
            </w:pPr>
            <w:r/>
            <w:r>
              <w:rPr>
                <w:rFonts w:ascii="Arial" w:hAnsi="Arial"/>
                <w:b w:val="0"/>
                <w:sz w:val="18"/>
              </w:rPr>
              <w:t>70</w:t>
            </w:r>
          </w:p>
        </w:tc>
        <w:tc>
          <w:tcPr>
            <w:tcW w:type="dxa" w:w="1134"/>
            <w:vAlign w:val="center"/>
          </w:tcPr>
          <w:p>
            <w:pPr>
              <w:jc w:val="center"/>
            </w:pPr>
            <w:r/>
            <w:r>
              <w:rPr>
                <w:rFonts w:ascii="Arial" w:hAnsi="Arial"/>
                <w:b w:val="0"/>
                <w:sz w:val="18"/>
              </w:rPr>
              <w:t>35,0</w:t>
            </w:r>
          </w:p>
        </w:tc>
      </w:tr>
      <w:tr>
        <w:tc>
          <w:tcPr>
            <w:tcW w:type="dxa" w:w="3685"/>
            <w:vAlign w:val="center"/>
          </w:tcPr>
          <w:p>
            <w:r/>
            <w:r>
              <w:rPr>
                <w:rFonts w:ascii="Arial" w:hAnsi="Arial"/>
                <w:b w:val="0"/>
                <w:sz w:val="18"/>
              </w:rPr>
              <w:t>VARA DO TRABALHO DE CANOINHAS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176</w:t>
            </w:r>
          </w:p>
        </w:tc>
        <w:tc>
          <w:tcPr>
            <w:tcW w:type="dxa" w:w="1247"/>
            <w:vAlign w:val="center"/>
          </w:tcPr>
          <w:p>
            <w:pPr>
              <w:jc w:val="center"/>
            </w:pPr>
            <w:r/>
            <w:r>
              <w:rPr>
                <w:rFonts w:ascii="Arial" w:hAnsi="Arial"/>
                <w:b w:val="0"/>
                <w:sz w:val="18"/>
              </w:rPr>
              <w:t>95</w:t>
            </w:r>
          </w:p>
        </w:tc>
        <w:tc>
          <w:tcPr>
            <w:tcW w:type="dxa" w:w="1134"/>
            <w:vAlign w:val="center"/>
          </w:tcPr>
          <w:p>
            <w:pPr>
              <w:jc w:val="center"/>
            </w:pPr>
            <w:r/>
            <w:r>
              <w:rPr>
                <w:rFonts w:ascii="Arial" w:hAnsi="Arial"/>
                <w:b w:val="0"/>
                <w:sz w:val="18"/>
              </w:rPr>
              <w:t>178</w:t>
            </w:r>
          </w:p>
        </w:tc>
        <w:tc>
          <w:tcPr>
            <w:tcW w:type="dxa" w:w="1134"/>
            <w:vAlign w:val="center"/>
          </w:tcPr>
          <w:p>
            <w:pPr>
              <w:jc w:val="center"/>
            </w:pPr>
            <w:r/>
            <w:r>
              <w:rPr>
                <w:rFonts w:ascii="Arial" w:hAnsi="Arial"/>
                <w:b w:val="0"/>
                <w:sz w:val="18"/>
              </w:rPr>
              <w:t>89,0</w:t>
            </w:r>
          </w:p>
        </w:tc>
        <w:tc>
          <w:tcPr>
            <w:tcW w:type="dxa" w:w="1134"/>
            <w:vAlign w:val="center"/>
          </w:tcPr>
          <w:p>
            <w:pPr>
              <w:jc w:val="center"/>
            </w:pPr>
            <w:r/>
            <w:r>
              <w:rPr>
                <w:rFonts w:ascii="Arial" w:hAnsi="Arial"/>
                <w:b w:val="0"/>
                <w:sz w:val="18"/>
              </w:rPr>
              <w:t>272</w:t>
            </w:r>
          </w:p>
        </w:tc>
        <w:tc>
          <w:tcPr>
            <w:tcW w:type="dxa" w:w="1134"/>
            <w:vAlign w:val="center"/>
          </w:tcPr>
          <w:p>
            <w:pPr>
              <w:jc w:val="center"/>
            </w:pPr>
            <w:r/>
            <w:r>
              <w:rPr>
                <w:rFonts w:ascii="Arial" w:hAnsi="Arial"/>
                <w:b w:val="0"/>
                <w:sz w:val="18"/>
              </w:rPr>
              <w:t>136,0</w:t>
            </w:r>
          </w:p>
        </w:tc>
        <w:tc>
          <w:tcPr>
            <w:tcW w:type="dxa" w:w="1134"/>
            <w:vAlign w:val="center"/>
          </w:tcPr>
          <w:p>
            <w:pPr>
              <w:jc w:val="center"/>
            </w:pPr>
            <w:r/>
            <w:r>
              <w:rPr>
                <w:rFonts w:ascii="Arial" w:hAnsi="Arial"/>
                <w:b w:val="0"/>
                <w:sz w:val="18"/>
              </w:rPr>
              <w:t>94</w:t>
            </w:r>
          </w:p>
        </w:tc>
        <w:tc>
          <w:tcPr>
            <w:tcW w:type="dxa" w:w="1134"/>
            <w:vAlign w:val="center"/>
          </w:tcPr>
          <w:p>
            <w:pPr>
              <w:jc w:val="center"/>
            </w:pPr>
            <w:r/>
            <w:r>
              <w:rPr>
                <w:rFonts w:ascii="Arial" w:hAnsi="Arial"/>
                <w:b w:val="0"/>
                <w:sz w:val="18"/>
              </w:rPr>
              <w:t>47,0</w:t>
            </w:r>
          </w:p>
        </w:tc>
      </w:tr>
      <w:tr>
        <w:tc>
          <w:tcPr>
            <w:tcW w:type="dxa" w:w="3685"/>
            <w:vAlign w:val="center"/>
          </w:tcPr>
          <w:p>
            <w:r/>
            <w:r>
              <w:rPr>
                <w:rFonts w:ascii="Arial" w:hAnsi="Arial"/>
                <w:b w:val="0"/>
                <w:sz w:val="18"/>
              </w:rPr>
              <w:t>VARA DO TRABALHO DE CURITIBANOS</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141</w:t>
            </w:r>
          </w:p>
        </w:tc>
        <w:tc>
          <w:tcPr>
            <w:tcW w:type="dxa" w:w="1247"/>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142</w:t>
            </w:r>
          </w:p>
        </w:tc>
        <w:tc>
          <w:tcPr>
            <w:tcW w:type="dxa" w:w="1134"/>
            <w:vAlign w:val="center"/>
          </w:tcPr>
          <w:p>
            <w:pPr>
              <w:jc w:val="center"/>
            </w:pPr>
            <w:r/>
            <w:r>
              <w:rPr>
                <w:rFonts w:ascii="Arial" w:hAnsi="Arial"/>
                <w:b w:val="0"/>
                <w:sz w:val="18"/>
              </w:rPr>
              <w:t>142,0</w:t>
            </w:r>
          </w:p>
        </w:tc>
        <w:tc>
          <w:tcPr>
            <w:tcW w:type="dxa" w:w="1134"/>
            <w:vAlign w:val="center"/>
          </w:tcPr>
          <w:p>
            <w:pPr>
              <w:jc w:val="center"/>
            </w:pPr>
            <w:r/>
            <w:r>
              <w:rPr>
                <w:rFonts w:ascii="Arial" w:hAnsi="Arial"/>
                <w:b w:val="0"/>
                <w:sz w:val="18"/>
              </w:rPr>
              <w:t>171</w:t>
            </w:r>
          </w:p>
        </w:tc>
        <w:tc>
          <w:tcPr>
            <w:tcW w:type="dxa" w:w="1134"/>
            <w:vAlign w:val="center"/>
          </w:tcPr>
          <w:p>
            <w:pPr>
              <w:jc w:val="center"/>
            </w:pPr>
            <w:r/>
            <w:r>
              <w:rPr>
                <w:rFonts w:ascii="Arial" w:hAnsi="Arial"/>
                <w:b w:val="0"/>
                <w:sz w:val="18"/>
              </w:rPr>
              <w:t>171,0</w:t>
            </w:r>
          </w:p>
        </w:tc>
        <w:tc>
          <w:tcPr>
            <w:tcW w:type="dxa" w:w="1134"/>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29,0</w:t>
            </w:r>
          </w:p>
        </w:tc>
      </w:tr>
      <w:tr>
        <w:tc>
          <w:tcPr>
            <w:tcW w:type="dxa" w:w="3685"/>
            <w:vAlign w:val="center"/>
          </w:tcPr>
          <w:p>
            <w:r/>
            <w:r>
              <w:rPr>
                <w:rFonts w:ascii="Arial" w:hAnsi="Arial"/>
                <w:b w:val="0"/>
                <w:sz w:val="18"/>
              </w:rPr>
              <w:t>VARA DO TRABALHO DE FRAIBURGO</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105</w:t>
            </w:r>
          </w:p>
        </w:tc>
        <w:tc>
          <w:tcPr>
            <w:tcW w:type="dxa" w:w="1247"/>
            <w:vAlign w:val="center"/>
          </w:tcPr>
          <w:p>
            <w:pPr>
              <w:jc w:val="center"/>
            </w:pPr>
            <w:r/>
            <w:r>
              <w:rPr>
                <w:rFonts w:ascii="Arial" w:hAnsi="Arial"/>
                <w:b w:val="0"/>
                <w:sz w:val="18"/>
              </w:rPr>
              <w:t>55</w:t>
            </w:r>
          </w:p>
        </w:tc>
        <w:tc>
          <w:tcPr>
            <w:tcW w:type="dxa" w:w="1134"/>
            <w:vAlign w:val="center"/>
          </w:tcPr>
          <w:p>
            <w:pPr>
              <w:jc w:val="center"/>
            </w:pPr>
            <w:r/>
            <w:r>
              <w:rPr>
                <w:rFonts w:ascii="Arial" w:hAnsi="Arial"/>
                <w:b w:val="0"/>
                <w:sz w:val="18"/>
              </w:rPr>
              <w:t>107</w:t>
            </w:r>
          </w:p>
        </w:tc>
        <w:tc>
          <w:tcPr>
            <w:tcW w:type="dxa" w:w="1134"/>
            <w:vAlign w:val="center"/>
          </w:tcPr>
          <w:p>
            <w:pPr>
              <w:jc w:val="center"/>
            </w:pPr>
            <w:r/>
            <w:r>
              <w:rPr>
                <w:rFonts w:ascii="Arial" w:hAnsi="Arial"/>
                <w:b w:val="0"/>
                <w:sz w:val="18"/>
              </w:rPr>
              <w:t>107,0</w:t>
            </w:r>
          </w:p>
        </w:tc>
        <w:tc>
          <w:tcPr>
            <w:tcW w:type="dxa" w:w="1134"/>
            <w:vAlign w:val="center"/>
          </w:tcPr>
          <w:p>
            <w:pPr>
              <w:jc w:val="center"/>
            </w:pPr>
            <w:r/>
            <w:r>
              <w:rPr>
                <w:rFonts w:ascii="Arial" w:hAnsi="Arial"/>
                <w:b w:val="0"/>
                <w:sz w:val="18"/>
              </w:rPr>
              <w:t>162</w:t>
            </w:r>
          </w:p>
        </w:tc>
        <w:tc>
          <w:tcPr>
            <w:tcW w:type="dxa" w:w="1134"/>
            <w:vAlign w:val="center"/>
          </w:tcPr>
          <w:p>
            <w:pPr>
              <w:jc w:val="center"/>
            </w:pPr>
            <w:r/>
            <w:r>
              <w:rPr>
                <w:rFonts w:ascii="Arial" w:hAnsi="Arial"/>
                <w:b w:val="0"/>
                <w:sz w:val="18"/>
              </w:rPr>
              <w:t>162,0</w:t>
            </w:r>
          </w:p>
        </w:tc>
        <w:tc>
          <w:tcPr>
            <w:tcW w:type="dxa" w:w="1134"/>
            <w:vAlign w:val="center"/>
          </w:tcPr>
          <w:p>
            <w:pPr>
              <w:jc w:val="center"/>
            </w:pPr>
            <w:r/>
            <w:r>
              <w:rPr>
                <w:rFonts w:ascii="Arial" w:hAnsi="Arial"/>
                <w:b w:val="0"/>
                <w:sz w:val="18"/>
              </w:rPr>
              <w:t>55</w:t>
            </w:r>
          </w:p>
        </w:tc>
        <w:tc>
          <w:tcPr>
            <w:tcW w:type="dxa" w:w="1134"/>
            <w:vAlign w:val="center"/>
          </w:tcPr>
          <w:p>
            <w:pPr>
              <w:jc w:val="center"/>
            </w:pPr>
            <w:r/>
            <w:r>
              <w:rPr>
                <w:rFonts w:ascii="Arial" w:hAnsi="Arial"/>
                <w:b w:val="0"/>
                <w:sz w:val="18"/>
              </w:rPr>
              <w:t>55,0</w:t>
            </w:r>
          </w:p>
        </w:tc>
      </w:tr>
      <w:tr>
        <w:tc>
          <w:tcPr>
            <w:tcW w:type="dxa" w:w="3685"/>
            <w:vAlign w:val="center"/>
          </w:tcPr>
          <w:p>
            <w:r/>
            <w:r>
              <w:rPr>
                <w:rFonts w:ascii="Arial" w:hAnsi="Arial"/>
                <w:b w:val="0"/>
                <w:sz w:val="18"/>
              </w:rPr>
              <w:t>VARA DO TRABALHO DE INDAIAL</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93</w:t>
            </w:r>
          </w:p>
        </w:tc>
        <w:tc>
          <w:tcPr>
            <w:tcW w:type="dxa" w:w="1247"/>
            <w:vAlign w:val="center"/>
          </w:tcPr>
          <w:p>
            <w:pPr>
              <w:jc w:val="center"/>
            </w:pPr>
            <w:r/>
            <w:r>
              <w:rPr>
                <w:rFonts w:ascii="Arial" w:hAnsi="Arial"/>
                <w:b w:val="0"/>
                <w:sz w:val="18"/>
              </w:rPr>
              <w:t>47</w:t>
            </w:r>
          </w:p>
        </w:tc>
        <w:tc>
          <w:tcPr>
            <w:tcW w:type="dxa" w:w="1134"/>
            <w:vAlign w:val="center"/>
          </w:tcPr>
          <w:p>
            <w:pPr>
              <w:jc w:val="center"/>
            </w:pPr>
            <w:r/>
            <w:r>
              <w:rPr>
                <w:rFonts w:ascii="Arial" w:hAnsi="Arial"/>
                <w:b w:val="0"/>
                <w:sz w:val="18"/>
              </w:rPr>
              <w:t>94</w:t>
            </w:r>
          </w:p>
        </w:tc>
        <w:tc>
          <w:tcPr>
            <w:tcW w:type="dxa" w:w="1134"/>
            <w:vAlign w:val="center"/>
          </w:tcPr>
          <w:p>
            <w:pPr>
              <w:jc w:val="center"/>
            </w:pPr>
            <w:r/>
            <w:r>
              <w:rPr>
                <w:rFonts w:ascii="Arial" w:hAnsi="Arial"/>
                <w:b w:val="0"/>
                <w:sz w:val="18"/>
              </w:rPr>
              <w:t>94,0</w:t>
            </w:r>
          </w:p>
        </w:tc>
        <w:tc>
          <w:tcPr>
            <w:tcW w:type="dxa" w:w="1134"/>
            <w:vAlign w:val="center"/>
          </w:tcPr>
          <w:p>
            <w:pPr>
              <w:jc w:val="center"/>
            </w:pPr>
            <w:r/>
            <w:r>
              <w:rPr>
                <w:rFonts w:ascii="Arial" w:hAnsi="Arial"/>
                <w:b w:val="0"/>
                <w:sz w:val="18"/>
              </w:rPr>
              <w:t>141</w:t>
            </w:r>
          </w:p>
        </w:tc>
        <w:tc>
          <w:tcPr>
            <w:tcW w:type="dxa" w:w="1134"/>
            <w:vAlign w:val="center"/>
          </w:tcPr>
          <w:p>
            <w:pPr>
              <w:jc w:val="center"/>
            </w:pPr>
            <w:r/>
            <w:r>
              <w:rPr>
                <w:rFonts w:ascii="Arial" w:hAnsi="Arial"/>
                <w:b w:val="0"/>
                <w:sz w:val="18"/>
              </w:rPr>
              <w:t>141,0</w:t>
            </w:r>
          </w:p>
        </w:tc>
        <w:tc>
          <w:tcPr>
            <w:tcW w:type="dxa" w:w="1134"/>
            <w:vAlign w:val="center"/>
          </w:tcPr>
          <w:p>
            <w:pPr>
              <w:jc w:val="center"/>
            </w:pPr>
            <w:r/>
            <w:r>
              <w:rPr>
                <w:rFonts w:ascii="Arial" w:hAnsi="Arial"/>
                <w:b w:val="0"/>
                <w:sz w:val="18"/>
              </w:rPr>
              <w:t>47</w:t>
            </w:r>
          </w:p>
        </w:tc>
        <w:tc>
          <w:tcPr>
            <w:tcW w:type="dxa" w:w="1134"/>
            <w:vAlign w:val="center"/>
          </w:tcPr>
          <w:p>
            <w:pPr>
              <w:jc w:val="center"/>
            </w:pPr>
            <w:r/>
            <w:r>
              <w:rPr>
                <w:rFonts w:ascii="Arial" w:hAnsi="Arial"/>
                <w:b w:val="0"/>
                <w:sz w:val="18"/>
              </w:rPr>
              <w:t>47,0</w:t>
            </w:r>
          </w:p>
        </w:tc>
      </w:tr>
      <w:tr>
        <w:tc>
          <w:tcPr>
            <w:tcW w:type="dxa" w:w="3685"/>
            <w:vAlign w:val="center"/>
          </w:tcPr>
          <w:p>
            <w:r/>
            <w:r>
              <w:rPr>
                <w:rFonts w:ascii="Arial" w:hAnsi="Arial"/>
                <w:b w:val="0"/>
                <w:sz w:val="18"/>
              </w:rPr>
              <w:t>VARA DO TRABALHO DE MAFRA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188</w:t>
            </w:r>
          </w:p>
        </w:tc>
        <w:tc>
          <w:tcPr>
            <w:tcW w:type="dxa" w:w="1247"/>
            <w:vAlign w:val="center"/>
          </w:tcPr>
          <w:p>
            <w:pPr>
              <w:jc w:val="center"/>
            </w:pPr>
            <w:r/>
            <w:r>
              <w:rPr>
                <w:rFonts w:ascii="Arial" w:hAnsi="Arial"/>
                <w:b w:val="0"/>
                <w:sz w:val="18"/>
              </w:rPr>
              <w:t>81</w:t>
            </w:r>
          </w:p>
        </w:tc>
        <w:tc>
          <w:tcPr>
            <w:tcW w:type="dxa" w:w="1134"/>
            <w:vAlign w:val="center"/>
          </w:tcPr>
          <w:p>
            <w:pPr>
              <w:jc w:val="center"/>
            </w:pPr>
            <w:r/>
            <w:r>
              <w:rPr>
                <w:rFonts w:ascii="Arial" w:hAnsi="Arial"/>
                <w:b w:val="0"/>
                <w:sz w:val="18"/>
              </w:rPr>
              <w:t>190</w:t>
            </w:r>
          </w:p>
        </w:tc>
        <w:tc>
          <w:tcPr>
            <w:tcW w:type="dxa" w:w="1134"/>
            <w:vAlign w:val="center"/>
          </w:tcPr>
          <w:p>
            <w:pPr>
              <w:jc w:val="center"/>
            </w:pPr>
            <w:r/>
            <w:r>
              <w:rPr>
                <w:rFonts w:ascii="Arial" w:hAnsi="Arial"/>
                <w:b w:val="0"/>
                <w:sz w:val="18"/>
              </w:rPr>
              <w:t>95,0</w:t>
            </w:r>
          </w:p>
        </w:tc>
        <w:tc>
          <w:tcPr>
            <w:tcW w:type="dxa" w:w="1134"/>
            <w:vAlign w:val="center"/>
          </w:tcPr>
          <w:p>
            <w:pPr>
              <w:jc w:val="center"/>
            </w:pPr>
            <w:r/>
            <w:r>
              <w:rPr>
                <w:rFonts w:ascii="Arial" w:hAnsi="Arial"/>
                <w:b w:val="0"/>
                <w:sz w:val="18"/>
              </w:rPr>
              <w:t>270</w:t>
            </w:r>
          </w:p>
        </w:tc>
        <w:tc>
          <w:tcPr>
            <w:tcW w:type="dxa" w:w="1134"/>
            <w:vAlign w:val="center"/>
          </w:tcPr>
          <w:p>
            <w:pPr>
              <w:jc w:val="center"/>
            </w:pPr>
            <w:r/>
            <w:r>
              <w:rPr>
                <w:rFonts w:ascii="Arial" w:hAnsi="Arial"/>
                <w:b w:val="0"/>
                <w:sz w:val="18"/>
              </w:rPr>
              <w:t>135,0</w:t>
            </w:r>
          </w:p>
        </w:tc>
        <w:tc>
          <w:tcPr>
            <w:tcW w:type="dxa" w:w="1134"/>
            <w:vAlign w:val="center"/>
          </w:tcPr>
          <w:p>
            <w:pPr>
              <w:jc w:val="center"/>
            </w:pPr>
            <w:r/>
            <w:r>
              <w:rPr>
                <w:rFonts w:ascii="Arial" w:hAnsi="Arial"/>
                <w:b w:val="0"/>
                <w:sz w:val="18"/>
              </w:rPr>
              <w:t>80</w:t>
            </w:r>
          </w:p>
        </w:tc>
        <w:tc>
          <w:tcPr>
            <w:tcW w:type="dxa" w:w="1134"/>
            <w:vAlign w:val="center"/>
          </w:tcPr>
          <w:p>
            <w:pPr>
              <w:jc w:val="center"/>
            </w:pPr>
            <w:r/>
            <w:r>
              <w:rPr>
                <w:rFonts w:ascii="Arial" w:hAnsi="Arial"/>
                <w:b w:val="0"/>
                <w:sz w:val="18"/>
              </w:rPr>
              <w:t>40,0</w:t>
            </w:r>
          </w:p>
        </w:tc>
      </w:tr>
      <w:tr>
        <w:tc>
          <w:tcPr>
            <w:tcW w:type="dxa" w:w="3685"/>
            <w:vAlign w:val="center"/>
          </w:tcPr>
          <w:p>
            <w:r/>
            <w:r>
              <w:rPr>
                <w:rFonts w:ascii="Arial" w:hAnsi="Arial"/>
                <w:b w:val="0"/>
                <w:sz w:val="18"/>
              </w:rPr>
              <w:t>VARA DO TRABALHO DE SÃO BENTO DO SUL</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188</w:t>
            </w:r>
          </w:p>
        </w:tc>
        <w:tc>
          <w:tcPr>
            <w:tcW w:type="dxa" w:w="1247"/>
            <w:vAlign w:val="center"/>
          </w:tcPr>
          <w:p>
            <w:pPr>
              <w:jc w:val="center"/>
            </w:pPr>
            <w:r/>
            <w:r>
              <w:rPr>
                <w:rFonts w:ascii="Arial" w:hAnsi="Arial"/>
                <w:b w:val="0"/>
                <w:sz w:val="18"/>
              </w:rPr>
              <w:t>68</w:t>
            </w:r>
          </w:p>
        </w:tc>
        <w:tc>
          <w:tcPr>
            <w:tcW w:type="dxa" w:w="1134"/>
            <w:vAlign w:val="center"/>
          </w:tcPr>
          <w:p>
            <w:pPr>
              <w:jc w:val="center"/>
            </w:pPr>
            <w:r/>
            <w:r>
              <w:rPr>
                <w:rFonts w:ascii="Arial" w:hAnsi="Arial"/>
                <w:b w:val="0"/>
                <w:sz w:val="18"/>
              </w:rPr>
              <w:t>188</w:t>
            </w:r>
          </w:p>
        </w:tc>
        <w:tc>
          <w:tcPr>
            <w:tcW w:type="dxa" w:w="1134"/>
            <w:vAlign w:val="center"/>
          </w:tcPr>
          <w:p>
            <w:pPr>
              <w:jc w:val="center"/>
            </w:pPr>
            <w:r/>
            <w:r>
              <w:rPr>
                <w:rFonts w:ascii="Arial" w:hAnsi="Arial"/>
                <w:b w:val="0"/>
                <w:sz w:val="18"/>
              </w:rPr>
              <w:t>94,0</w:t>
            </w:r>
          </w:p>
        </w:tc>
        <w:tc>
          <w:tcPr>
            <w:tcW w:type="dxa" w:w="1134"/>
            <w:vAlign w:val="center"/>
          </w:tcPr>
          <w:p>
            <w:pPr>
              <w:jc w:val="center"/>
            </w:pPr>
            <w:r/>
            <w:r>
              <w:rPr>
                <w:rFonts w:ascii="Arial" w:hAnsi="Arial"/>
                <w:b w:val="0"/>
                <w:sz w:val="18"/>
              </w:rPr>
              <w:t>255</w:t>
            </w:r>
          </w:p>
        </w:tc>
        <w:tc>
          <w:tcPr>
            <w:tcW w:type="dxa" w:w="1134"/>
            <w:vAlign w:val="center"/>
          </w:tcPr>
          <w:p>
            <w:pPr>
              <w:jc w:val="center"/>
            </w:pPr>
            <w:r/>
            <w:r>
              <w:rPr>
                <w:rFonts w:ascii="Arial" w:hAnsi="Arial"/>
                <w:b w:val="0"/>
                <w:sz w:val="18"/>
              </w:rPr>
              <w:t>127,5</w:t>
            </w:r>
          </w:p>
        </w:tc>
        <w:tc>
          <w:tcPr>
            <w:tcW w:type="dxa" w:w="1134"/>
            <w:vAlign w:val="center"/>
          </w:tcPr>
          <w:p>
            <w:pPr>
              <w:jc w:val="center"/>
            </w:pPr>
            <w:r/>
            <w:r>
              <w:rPr>
                <w:rFonts w:ascii="Arial" w:hAnsi="Arial"/>
                <w:b w:val="0"/>
                <w:sz w:val="18"/>
              </w:rPr>
              <w:t>67</w:t>
            </w:r>
          </w:p>
        </w:tc>
        <w:tc>
          <w:tcPr>
            <w:tcW w:type="dxa" w:w="1134"/>
            <w:vAlign w:val="center"/>
          </w:tcPr>
          <w:p>
            <w:pPr>
              <w:jc w:val="center"/>
            </w:pPr>
            <w:r/>
            <w:r>
              <w:rPr>
                <w:rFonts w:ascii="Arial" w:hAnsi="Arial"/>
                <w:b w:val="0"/>
                <w:sz w:val="18"/>
              </w:rPr>
              <w:t>33,5</w:t>
            </w:r>
          </w:p>
        </w:tc>
      </w:tr>
      <w:tr>
        <w:tc>
          <w:tcPr>
            <w:tcW w:type="dxa" w:w="3685"/>
            <w:vAlign w:val="center"/>
          </w:tcPr>
          <w:p>
            <w:r/>
            <w:r>
              <w:rPr>
                <w:rFonts w:ascii="Arial" w:hAnsi="Arial"/>
                <w:b/>
                <w:sz w:val="18"/>
              </w:rPr>
              <w:t>TOTAL</w:t>
            </w:r>
          </w:p>
        </w:tc>
        <w:tc>
          <w:tcPr>
            <w:tcW w:type="dxa" w:w="907"/>
            <w:vAlign w:val="center"/>
          </w:tcPr>
          <w:p>
            <w:pPr>
              <w:jc w:val="center"/>
            </w:pPr>
            <w:r/>
            <w:r>
              <w:rPr>
                <w:rFonts w:ascii="Arial" w:hAnsi="Arial"/>
                <w:b/>
                <w:sz w:val="18"/>
              </w:rPr>
              <w:t>31</w:t>
            </w:r>
          </w:p>
        </w:tc>
        <w:tc>
          <w:tcPr>
            <w:tcW w:type="dxa" w:w="1134"/>
            <w:vAlign w:val="center"/>
          </w:tcPr>
          <w:p>
            <w:pPr>
              <w:jc w:val="center"/>
            </w:pPr>
            <w:r/>
            <w:r>
              <w:rPr>
                <w:rFonts w:ascii="Arial" w:hAnsi="Arial"/>
                <w:b/>
                <w:sz w:val="18"/>
              </w:rPr>
              <w:t>3.119</w:t>
            </w:r>
          </w:p>
        </w:tc>
        <w:tc>
          <w:tcPr>
            <w:tcW w:type="dxa" w:w="1247"/>
            <w:vAlign w:val="center"/>
          </w:tcPr>
          <w:p>
            <w:pPr>
              <w:jc w:val="center"/>
            </w:pPr>
            <w:r/>
            <w:r>
              <w:rPr>
                <w:rFonts w:ascii="Arial" w:hAnsi="Arial"/>
                <w:b/>
                <w:sz w:val="18"/>
              </w:rPr>
              <w:t>1.049</w:t>
            </w:r>
          </w:p>
        </w:tc>
        <w:tc>
          <w:tcPr>
            <w:tcW w:type="dxa" w:w="1134"/>
            <w:vAlign w:val="center"/>
          </w:tcPr>
          <w:p>
            <w:pPr>
              <w:jc w:val="center"/>
            </w:pPr>
            <w:r/>
            <w:r>
              <w:rPr>
                <w:rFonts w:ascii="Arial" w:hAnsi="Arial"/>
                <w:b/>
                <w:sz w:val="18"/>
              </w:rPr>
              <w:t>3.140</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4.185</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1.045</w:t>
            </w:r>
          </w:p>
        </w:tc>
        <w:tc>
          <w:tcPr>
            <w:tcW w:type="dxa" w:w="1134"/>
            <w:vAlign w:val="center"/>
          </w:tcPr>
          <w:p>
            <w:pPr>
              <w:jc w:val="center"/>
            </w:pPr>
            <w:r/>
            <w:r>
              <w:rPr>
                <w:rFonts w:ascii="Arial" w:hAnsi="Arial"/>
                <w:b/>
                <w:sz w:val="18"/>
              </w:rPr>
              <w:t>—</w:t>
            </w:r>
          </w:p>
        </w:tc>
      </w:tr>
      <w:tr>
        <w:tc>
          <w:tcPr>
            <w:tcW w:type="dxa" w:w="3685"/>
            <w:vAlign w:val="center"/>
          </w:tcPr>
          <w:p>
            <w:r/>
            <w:r>
              <w:rPr>
                <w:rFonts w:ascii="Arial" w:hAnsi="Arial"/>
                <w:b/>
                <w:sz w:val="18"/>
              </w:rPr>
              <w:t>MÉDIA POR UNIDADE / CARGA DO GRUPO</w:t>
            </w:r>
          </w:p>
        </w:tc>
        <w:tc>
          <w:tcPr>
            <w:tcW w:type="dxa" w:w="907"/>
            <w:vAlign w:val="center"/>
          </w:tcPr>
          <w:p>
            <w:pPr>
              <w:jc w:val="center"/>
            </w:pPr>
            <w:r/>
            <w:r>
              <w:rPr>
                <w:rFonts w:ascii="Arial" w:hAnsi="Arial"/>
                <w:b/>
                <w:sz w:val="18"/>
              </w:rPr>
              <w:t>1,7</w:t>
            </w:r>
          </w:p>
        </w:tc>
        <w:tc>
          <w:tcPr>
            <w:tcW w:type="dxa" w:w="1134"/>
            <w:vAlign w:val="center"/>
          </w:tcPr>
          <w:p>
            <w:pPr>
              <w:jc w:val="center"/>
            </w:pPr>
            <w:r/>
            <w:r>
              <w:rPr>
                <w:rFonts w:ascii="Arial" w:hAnsi="Arial"/>
                <w:b/>
                <w:sz w:val="18"/>
              </w:rPr>
              <w:t>173,3</w:t>
            </w:r>
          </w:p>
        </w:tc>
        <w:tc>
          <w:tcPr>
            <w:tcW w:type="dxa" w:w="1247"/>
            <w:vAlign w:val="center"/>
          </w:tcPr>
          <w:p>
            <w:pPr>
              <w:jc w:val="center"/>
            </w:pPr>
            <w:r/>
            <w:r>
              <w:rPr>
                <w:rFonts w:ascii="Arial" w:hAnsi="Arial"/>
                <w:b/>
                <w:sz w:val="18"/>
              </w:rPr>
              <w:t>58,3</w:t>
            </w:r>
          </w:p>
        </w:tc>
        <w:tc>
          <w:tcPr>
            <w:tcW w:type="dxa" w:w="1134"/>
            <w:vAlign w:val="center"/>
          </w:tcPr>
          <w:p>
            <w:pPr>
              <w:jc w:val="center"/>
            </w:pPr>
            <w:r/>
            <w:r>
              <w:rPr>
                <w:rFonts w:ascii="Arial" w:hAnsi="Arial"/>
                <w:b/>
                <w:sz w:val="18"/>
              </w:rPr>
              <w:t>174,4</w:t>
            </w:r>
          </w:p>
        </w:tc>
        <w:tc>
          <w:tcPr>
            <w:tcW w:type="dxa" w:w="1134"/>
            <w:vAlign w:val="center"/>
          </w:tcPr>
          <w:p>
            <w:pPr>
              <w:jc w:val="center"/>
            </w:pPr>
            <w:r/>
            <w:r>
              <w:rPr>
                <w:rFonts w:ascii="Arial" w:hAnsi="Arial"/>
                <w:b/>
                <w:sz w:val="18"/>
              </w:rPr>
              <w:t>101,3</w:t>
            </w:r>
          </w:p>
        </w:tc>
        <w:tc>
          <w:tcPr>
            <w:tcW w:type="dxa" w:w="1134"/>
            <w:vAlign w:val="center"/>
          </w:tcPr>
          <w:p>
            <w:pPr>
              <w:jc w:val="center"/>
            </w:pPr>
            <w:r/>
            <w:r>
              <w:rPr>
                <w:rFonts w:ascii="Arial" w:hAnsi="Arial"/>
                <w:b/>
                <w:sz w:val="18"/>
              </w:rPr>
              <w:t>232,5</w:t>
            </w:r>
          </w:p>
        </w:tc>
        <w:tc>
          <w:tcPr>
            <w:tcW w:type="dxa" w:w="1134"/>
            <w:vAlign w:val="center"/>
          </w:tcPr>
          <w:p>
            <w:pPr>
              <w:jc w:val="center"/>
            </w:pPr>
            <w:r/>
            <w:r>
              <w:rPr>
                <w:rFonts w:ascii="Arial" w:hAnsi="Arial"/>
                <w:b/>
                <w:sz w:val="18"/>
              </w:rPr>
              <w:t>135,0</w:t>
            </w:r>
          </w:p>
        </w:tc>
        <w:tc>
          <w:tcPr>
            <w:tcW w:type="dxa" w:w="1134"/>
            <w:vAlign w:val="center"/>
          </w:tcPr>
          <w:p>
            <w:pPr>
              <w:jc w:val="center"/>
            </w:pPr>
            <w:r/>
            <w:r>
              <w:rPr>
                <w:rFonts w:ascii="Arial" w:hAnsi="Arial"/>
                <w:b/>
                <w:sz w:val="18"/>
              </w:rPr>
              <w:t>58,1</w:t>
            </w:r>
          </w:p>
        </w:tc>
        <w:tc>
          <w:tcPr>
            <w:tcW w:type="dxa" w:w="1134"/>
            <w:vAlign w:val="center"/>
          </w:tcPr>
          <w:p>
            <w:pPr>
              <w:jc w:val="center"/>
            </w:pPr>
            <w:r/>
            <w:r>
              <w:rPr>
                <w:rFonts w:ascii="Arial" w:hAnsi="Arial"/>
                <w:b/>
                <w:sz w:val="18"/>
              </w:rPr>
              <w:t>33,7</w:t>
            </w:r>
          </w:p>
        </w:tc>
      </w:tr>
    </w:tbl>
    <w:p/>
    <w:p>
      <w:r>
        <w:br w:type="page"/>
      </w:r>
    </w:p>
    <w:p>
      <w:pPr>
        <w:spacing w:before="280" w:after="120"/>
        <w:outlineLvl w:val="1"/>
      </w:pPr>
      <w:r>
        <w:rPr>
          <w:rFonts w:ascii="Arial" w:hAnsi="Arial"/>
          <w:b/>
          <w:color w:val="1E3F66"/>
          <w:sz w:val="36"/>
        </w:rPr>
        <w:t>Anexo 3 – Resumo por Grupo de Unidade</w:t>
      </w:r>
    </w:p>
    <w:p>
      <w:r>
        <w:rPr>
          <w:rFonts w:ascii="Arial" w:hAnsi="Arial"/>
          <w:b w:val="0"/>
          <w:sz w:val="22"/>
        </w:rPr>
        <w:t>Comparação dos cenários com e sem equalização</w:t>
      </w:r>
    </w:p>
    <w:p>
      <w:pPr>
        <w:spacing w:before="160" w:after="80"/>
      </w:pPr>
      <w:r>
        <w:rPr>
          <w:rFonts w:ascii="Arial" w:hAnsi="Arial"/>
          <w:b/>
          <w:color w:val="1E3F66"/>
          <w:sz w:val="26"/>
        </w:rPr>
        <w:t>Quadro 1 – Síntese das medidas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330"/>
        <w:gridCol w:w="1330"/>
        <w:gridCol w:w="1330"/>
        <w:gridCol w:w="1330"/>
        <w:gridCol w:w="1330"/>
        <w:gridCol w:w="1330"/>
        <w:gridCol w:w="1330"/>
        <w:gridCol w:w="1330"/>
        <w:gridCol w:w="1330"/>
        <w:gridCol w:w="1330"/>
        <w:gridCol w:w="1330"/>
      </w:tblGrid>
      <w:tr>
        <w:trPr>
          <w:tblHeader w:val="true"/>
        </w:trPr>
        <w:tc>
          <w:tcPr>
            <w:tcW w:type="dxa" w:w="1330"/>
            <w:shd w:val="clear" w:fill="285B87"/>
            <w:vAlign w:val="center"/>
          </w:tcPr>
          <w:p>
            <w:pPr>
              <w:jc w:val="center"/>
            </w:pPr>
            <w:r/>
            <w:r>
              <w:rPr>
                <w:rFonts w:ascii="Arial" w:hAnsi="Arial"/>
                <w:b/>
                <w:color w:val="FFFFFF"/>
                <w:sz w:val="19"/>
              </w:rPr>
            </w:r>
          </w:p>
        </w:tc>
        <w:tc>
          <w:tcPr>
            <w:tcW w:type="dxa" w:w="2660"/>
            <w:gridSpan w:val="2"/>
            <w:shd w:val="clear" w:fill="285B87"/>
            <w:vAlign w:val="center"/>
          </w:tcPr>
          <w:p>
            <w:pPr>
              <w:jc w:val="center"/>
            </w:pPr>
            <w:r/>
            <w:r>
              <w:rPr>
                <w:rFonts w:ascii="Arial" w:hAnsi="Arial"/>
                <w:b/>
                <w:color w:val="FFFFFF"/>
                <w:sz w:val="19"/>
              </w:rPr>
              <w:t>Estrutura</w:t>
            </w:r>
          </w:p>
        </w:tc>
        <w:tc>
          <w:tcPr>
            <w:tcW w:type="dxa" w:w="3990"/>
            <w:gridSpan w:val="3"/>
            <w:shd w:val="clear" w:fill="285B87"/>
            <w:vAlign w:val="center"/>
          </w:tcPr>
          <w:p>
            <w:pPr>
              <w:jc w:val="center"/>
            </w:pPr>
            <w:r/>
            <w:r>
              <w:rPr>
                <w:rFonts w:ascii="Arial" w:hAnsi="Arial"/>
                <w:b/>
                <w:color w:val="FFFFFF"/>
                <w:sz w:val="19"/>
              </w:rPr>
              <w:t>Cenário sem equalização</w:t>
            </w:r>
          </w:p>
        </w:tc>
        <w:tc>
          <w:tcPr>
            <w:tcW w:type="dxa" w:w="3990"/>
            <w:gridSpan w:val="3"/>
            <w:shd w:val="clear" w:fill="285B87"/>
            <w:vAlign w:val="center"/>
          </w:tcPr>
          <w:p>
            <w:pPr>
              <w:jc w:val="center"/>
            </w:pPr>
            <w:r/>
            <w:r>
              <w:rPr>
                <w:rFonts w:ascii="Arial" w:hAnsi="Arial"/>
                <w:b/>
                <w:color w:val="FFFFFF"/>
                <w:sz w:val="19"/>
              </w:rPr>
              <w:t>Cenário com equalização</w:t>
            </w:r>
          </w:p>
        </w:tc>
        <w:tc>
          <w:tcPr>
            <w:tcW w:type="dxa" w:w="2660"/>
            <w:gridSpan w:val="2"/>
            <w:shd w:val="clear" w:fill="285B87"/>
            <w:vAlign w:val="center"/>
          </w:tcPr>
          <w:p>
            <w:pPr>
              <w:jc w:val="center"/>
            </w:pPr>
            <w:r/>
            <w:r>
              <w:rPr>
                <w:rFonts w:ascii="Arial" w:hAnsi="Arial"/>
                <w:b/>
                <w:color w:val="FFFFFF"/>
                <w:sz w:val="19"/>
              </w:rPr>
              <w:t>Variação líquida</w:t>
            </w:r>
          </w:p>
        </w:tc>
      </w:tr>
      <w:tr>
        <w:trPr>
          <w:tblHeader w:val="true"/>
        </w:trPr>
        <w:tc>
          <w:tcPr>
            <w:tcW w:type="dxa" w:w="1701"/>
            <w:shd w:val="clear" w:fill="285B87"/>
            <w:vAlign w:val="center"/>
          </w:tcPr>
          <w:p>
            <w:r/>
            <w:r>
              <w:rPr>
                <w:rFonts w:ascii="Arial" w:hAnsi="Arial"/>
                <w:b/>
                <w:color w:val="FFFFFF"/>
                <w:sz w:val="18"/>
              </w:rPr>
              <w:t>Grupo</w:t>
            </w:r>
          </w:p>
        </w:tc>
        <w:tc>
          <w:tcPr>
            <w:tcW w:type="dxa" w:w="1134"/>
            <w:shd w:val="clear" w:fill="285B87"/>
            <w:vAlign w:val="center"/>
          </w:tcPr>
          <w:p>
            <w:pPr>
              <w:jc w:val="center"/>
            </w:pPr>
            <w:r/>
            <w:r>
              <w:rPr>
                <w:rFonts w:ascii="Arial" w:hAnsi="Arial"/>
                <w:b/>
                <w:color w:val="FFFFFF"/>
                <w:sz w:val="18"/>
              </w:rPr>
              <w:t>Unidades</w:t>
            </w:r>
          </w:p>
        </w:tc>
        <w:tc>
          <w:tcPr>
            <w:tcW w:type="dxa" w:w="1247"/>
            <w:shd w:val="clear" w:fill="285B87"/>
            <w:vAlign w:val="center"/>
          </w:tcPr>
          <w:p>
            <w:pPr>
              <w:jc w:val="center"/>
            </w:pPr>
            <w:r/>
            <w:r>
              <w:rPr>
                <w:rFonts w:ascii="Arial" w:hAnsi="Arial"/>
                <w:b/>
                <w:color w:val="FFFFFF"/>
                <w:sz w:val="18"/>
              </w:rPr>
              <w:t>Magistrados</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Média/unid.</w:t>
            </w:r>
          </w:p>
        </w:tc>
        <w:tc>
          <w:tcPr>
            <w:tcW w:type="dxa" w:w="1134"/>
            <w:shd w:val="clear" w:fill="285B87"/>
            <w:vAlign w:val="center"/>
          </w:tcPr>
          <w:p>
            <w:pPr>
              <w:jc w:val="center"/>
            </w:pPr>
            <w:r/>
            <w:r>
              <w:rPr>
                <w:rFonts w:ascii="Arial" w:hAnsi="Arial"/>
                <w:b/>
                <w:color w:val="FFFFFF"/>
                <w:sz w:val="18"/>
              </w:rPr>
              <w:t>Média/mag.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Média/unid.</w:t>
            </w:r>
          </w:p>
        </w:tc>
        <w:tc>
          <w:tcPr>
            <w:tcW w:type="dxa" w:w="1134"/>
            <w:shd w:val="clear" w:fill="285B87"/>
            <w:vAlign w:val="center"/>
          </w:tcPr>
          <w:p>
            <w:pPr>
              <w:jc w:val="center"/>
            </w:pPr>
            <w:r/>
            <w:r>
              <w:rPr>
                <w:rFonts w:ascii="Arial" w:hAnsi="Arial"/>
                <w:b/>
                <w:color w:val="FFFFFF"/>
                <w:sz w:val="18"/>
              </w:rPr>
              <w:t>Média/mag.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w:t>
            </w:r>
          </w:p>
        </w:tc>
      </w:tr>
      <w:tr>
        <w:tc>
          <w:tcPr>
            <w:tcW w:type="dxa" w:w="1701"/>
            <w:vAlign w:val="center"/>
          </w:tcPr>
          <w:p>
            <w:r/>
            <w:r>
              <w:rPr>
                <w:rFonts w:ascii="Arial" w:hAnsi="Arial"/>
                <w:b w:val="0"/>
                <w:sz w:val="18"/>
              </w:rPr>
              <w:t>Cedentes</w:t>
            </w:r>
          </w:p>
        </w:tc>
        <w:tc>
          <w:tcPr>
            <w:tcW w:type="dxa" w:w="1134"/>
            <w:vAlign w:val="center"/>
          </w:tcPr>
          <w:p>
            <w:pPr>
              <w:jc w:val="center"/>
            </w:pPr>
            <w:r/>
            <w:r>
              <w:rPr>
                <w:rFonts w:ascii="Arial" w:hAnsi="Arial"/>
                <w:b w:val="0"/>
                <w:sz w:val="18"/>
              </w:rPr>
              <w:t>16</w:t>
            </w:r>
          </w:p>
        </w:tc>
        <w:tc>
          <w:tcPr>
            <w:tcW w:type="dxa" w:w="1247"/>
            <w:vAlign w:val="center"/>
          </w:tcPr>
          <w:p>
            <w:pPr>
              <w:jc w:val="center"/>
            </w:pPr>
            <w:r/>
            <w:r>
              <w:rPr>
                <w:rFonts w:ascii="Arial" w:hAnsi="Arial"/>
                <w:b w:val="0"/>
                <w:sz w:val="18"/>
              </w:rPr>
              <w:t>25</w:t>
            </w:r>
          </w:p>
        </w:tc>
        <w:tc>
          <w:tcPr>
            <w:tcW w:type="dxa" w:w="1020"/>
            <w:vAlign w:val="center"/>
          </w:tcPr>
          <w:p>
            <w:pPr>
              <w:jc w:val="center"/>
            </w:pPr>
            <w:r/>
            <w:r>
              <w:rPr>
                <w:rFonts w:ascii="Arial" w:hAnsi="Arial"/>
                <w:b w:val="0"/>
                <w:sz w:val="18"/>
              </w:rPr>
              <w:t>5.151</w:t>
            </w:r>
          </w:p>
        </w:tc>
        <w:tc>
          <w:tcPr>
            <w:tcW w:type="dxa" w:w="1134"/>
            <w:vAlign w:val="center"/>
          </w:tcPr>
          <w:p>
            <w:pPr>
              <w:jc w:val="center"/>
            </w:pPr>
            <w:r/>
            <w:r>
              <w:rPr>
                <w:rFonts w:ascii="Arial" w:hAnsi="Arial"/>
                <w:b w:val="0"/>
                <w:sz w:val="18"/>
              </w:rPr>
              <w:t>321,94</w:t>
            </w:r>
          </w:p>
        </w:tc>
        <w:tc>
          <w:tcPr>
            <w:tcW w:type="dxa" w:w="1134"/>
            <w:vAlign w:val="center"/>
          </w:tcPr>
          <w:p>
            <w:pPr>
              <w:jc w:val="center"/>
            </w:pPr>
            <w:r/>
            <w:r>
              <w:rPr>
                <w:rFonts w:ascii="Arial" w:hAnsi="Arial"/>
                <w:b w:val="0"/>
                <w:sz w:val="18"/>
              </w:rPr>
              <w:t>206,04</w:t>
            </w:r>
          </w:p>
        </w:tc>
        <w:tc>
          <w:tcPr>
            <w:tcW w:type="dxa" w:w="1020"/>
            <w:vAlign w:val="center"/>
          </w:tcPr>
          <w:p>
            <w:pPr>
              <w:jc w:val="center"/>
            </w:pPr>
            <w:r/>
            <w:r>
              <w:rPr>
                <w:rFonts w:ascii="Arial" w:hAnsi="Arial"/>
                <w:b w:val="0"/>
                <w:sz w:val="18"/>
              </w:rPr>
              <w:t>4.105</w:t>
            </w:r>
          </w:p>
        </w:tc>
        <w:tc>
          <w:tcPr>
            <w:tcW w:type="dxa" w:w="1134"/>
            <w:vAlign w:val="center"/>
          </w:tcPr>
          <w:p>
            <w:pPr>
              <w:jc w:val="center"/>
            </w:pPr>
            <w:r/>
            <w:r>
              <w:rPr>
                <w:rFonts w:ascii="Arial" w:hAnsi="Arial"/>
                <w:b w:val="0"/>
                <w:sz w:val="18"/>
              </w:rPr>
              <w:t>256,56</w:t>
            </w:r>
          </w:p>
        </w:tc>
        <w:tc>
          <w:tcPr>
            <w:tcW w:type="dxa" w:w="1134"/>
            <w:vAlign w:val="center"/>
          </w:tcPr>
          <w:p>
            <w:pPr>
              <w:jc w:val="center"/>
            </w:pPr>
            <w:r/>
            <w:r>
              <w:rPr>
                <w:rFonts w:ascii="Arial" w:hAnsi="Arial"/>
                <w:b w:val="0"/>
                <w:sz w:val="18"/>
              </w:rPr>
              <w:t>164,20</w:t>
            </w:r>
          </w:p>
        </w:tc>
        <w:tc>
          <w:tcPr>
            <w:tcW w:type="dxa" w:w="1134"/>
            <w:vAlign w:val="center"/>
          </w:tcPr>
          <w:p>
            <w:pPr>
              <w:jc w:val="center"/>
            </w:pPr>
            <w:r/>
            <w:r>
              <w:rPr>
                <w:rFonts w:ascii="Arial" w:hAnsi="Arial"/>
                <w:b w:val="0"/>
                <w:sz w:val="18"/>
              </w:rPr>
              <w:t>-1.046</w:t>
            </w:r>
          </w:p>
        </w:tc>
        <w:tc>
          <w:tcPr>
            <w:tcW w:type="dxa" w:w="1134"/>
            <w:vAlign w:val="center"/>
          </w:tcPr>
          <w:p>
            <w:pPr>
              <w:jc w:val="center"/>
            </w:pPr>
            <w:r/>
            <w:r>
              <w:rPr>
                <w:rFonts w:ascii="Arial" w:hAnsi="Arial"/>
                <w:b w:val="0"/>
                <w:sz w:val="18"/>
              </w:rPr>
              <w:t>-20,3%</w:t>
            </w:r>
          </w:p>
        </w:tc>
      </w:tr>
      <w:tr>
        <w:tc>
          <w:tcPr>
            <w:tcW w:type="dxa" w:w="1701"/>
            <w:vAlign w:val="center"/>
          </w:tcPr>
          <w:p>
            <w:r/>
            <w:r>
              <w:rPr>
                <w:rFonts w:ascii="Arial" w:hAnsi="Arial"/>
                <w:b w:val="0"/>
                <w:sz w:val="18"/>
              </w:rPr>
              <w:t>Neutras</w:t>
            </w:r>
          </w:p>
        </w:tc>
        <w:tc>
          <w:tcPr>
            <w:tcW w:type="dxa" w:w="1134"/>
            <w:vAlign w:val="center"/>
          </w:tcPr>
          <w:p>
            <w:pPr>
              <w:jc w:val="center"/>
            </w:pPr>
            <w:r/>
            <w:r>
              <w:rPr>
                <w:rFonts w:ascii="Arial" w:hAnsi="Arial"/>
                <w:b w:val="0"/>
                <w:sz w:val="18"/>
              </w:rPr>
              <w:t>26</w:t>
            </w:r>
          </w:p>
        </w:tc>
        <w:tc>
          <w:tcPr>
            <w:tcW w:type="dxa" w:w="1247"/>
            <w:vAlign w:val="center"/>
          </w:tcPr>
          <w:p>
            <w:pPr>
              <w:jc w:val="center"/>
            </w:pPr>
            <w:r/>
            <w:r>
              <w:rPr>
                <w:rFonts w:ascii="Arial" w:hAnsi="Arial"/>
                <w:b w:val="0"/>
                <w:sz w:val="18"/>
              </w:rPr>
              <w:t>45</w:t>
            </w:r>
          </w:p>
        </w:tc>
        <w:tc>
          <w:tcPr>
            <w:tcW w:type="dxa" w:w="1020"/>
            <w:vAlign w:val="center"/>
          </w:tcPr>
          <w:p>
            <w:pPr>
              <w:jc w:val="center"/>
            </w:pPr>
            <w:r/>
            <w:r>
              <w:rPr>
                <w:rFonts w:ascii="Arial" w:hAnsi="Arial"/>
                <w:b w:val="0"/>
                <w:sz w:val="18"/>
              </w:rPr>
              <w:t>6.132</w:t>
            </w:r>
          </w:p>
        </w:tc>
        <w:tc>
          <w:tcPr>
            <w:tcW w:type="dxa" w:w="1134"/>
            <w:vAlign w:val="center"/>
          </w:tcPr>
          <w:p>
            <w:pPr>
              <w:jc w:val="center"/>
            </w:pPr>
            <w:r/>
            <w:r>
              <w:rPr>
                <w:rFonts w:ascii="Arial" w:hAnsi="Arial"/>
                <w:b w:val="0"/>
                <w:sz w:val="18"/>
              </w:rPr>
              <w:t>235,85</w:t>
            </w:r>
          </w:p>
        </w:tc>
        <w:tc>
          <w:tcPr>
            <w:tcW w:type="dxa" w:w="1134"/>
            <w:vAlign w:val="center"/>
          </w:tcPr>
          <w:p>
            <w:pPr>
              <w:jc w:val="center"/>
            </w:pPr>
            <w:r/>
            <w:r>
              <w:rPr>
                <w:rFonts w:ascii="Arial" w:hAnsi="Arial"/>
                <w:b w:val="0"/>
                <w:sz w:val="18"/>
              </w:rPr>
              <w:t>136,27</w:t>
            </w:r>
          </w:p>
        </w:tc>
        <w:tc>
          <w:tcPr>
            <w:tcW w:type="dxa" w:w="1020"/>
            <w:vAlign w:val="center"/>
          </w:tcPr>
          <w:p>
            <w:pPr>
              <w:jc w:val="center"/>
            </w:pPr>
            <w:r/>
            <w:r>
              <w:rPr>
                <w:rFonts w:ascii="Arial" w:hAnsi="Arial"/>
                <w:b w:val="0"/>
                <w:sz w:val="18"/>
              </w:rPr>
              <w:t>6.133</w:t>
            </w:r>
          </w:p>
        </w:tc>
        <w:tc>
          <w:tcPr>
            <w:tcW w:type="dxa" w:w="1134"/>
            <w:vAlign w:val="center"/>
          </w:tcPr>
          <w:p>
            <w:pPr>
              <w:jc w:val="center"/>
            </w:pPr>
            <w:r/>
            <w:r>
              <w:rPr>
                <w:rFonts w:ascii="Arial" w:hAnsi="Arial"/>
                <w:b w:val="0"/>
                <w:sz w:val="18"/>
              </w:rPr>
              <w:t>235,88</w:t>
            </w:r>
          </w:p>
        </w:tc>
        <w:tc>
          <w:tcPr>
            <w:tcW w:type="dxa" w:w="1134"/>
            <w:vAlign w:val="center"/>
          </w:tcPr>
          <w:p>
            <w:pPr>
              <w:jc w:val="center"/>
            </w:pPr>
            <w:r/>
            <w:r>
              <w:rPr>
                <w:rFonts w:ascii="Arial" w:hAnsi="Arial"/>
                <w:b w:val="0"/>
                <w:sz w:val="18"/>
              </w:rPr>
              <w:t>136,29</w:t>
            </w:r>
          </w:p>
        </w:tc>
        <w:tc>
          <w:tcPr>
            <w:tcW w:type="dxa" w:w="1134"/>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+0,0%</w:t>
            </w:r>
          </w:p>
        </w:tc>
      </w:tr>
      <w:tr>
        <w:tc>
          <w:tcPr>
            <w:tcW w:type="dxa" w:w="1701"/>
            <w:vAlign w:val="center"/>
          </w:tcPr>
          <w:p>
            <w:r/>
            <w:r>
              <w:rPr>
                <w:rFonts w:ascii="Arial" w:hAnsi="Arial"/>
                <w:b w:val="0"/>
                <w:sz w:val="18"/>
              </w:rPr>
              <w:t>Destinatárias</w:t>
            </w:r>
          </w:p>
        </w:tc>
        <w:tc>
          <w:tcPr>
            <w:tcW w:type="dxa" w:w="1134"/>
            <w:vAlign w:val="center"/>
          </w:tcPr>
          <w:p>
            <w:pPr>
              <w:jc w:val="center"/>
            </w:pPr>
            <w:r/>
            <w:r>
              <w:rPr>
                <w:rFonts w:ascii="Arial" w:hAnsi="Arial"/>
                <w:b w:val="0"/>
                <w:sz w:val="18"/>
              </w:rPr>
              <w:t>18</w:t>
            </w:r>
          </w:p>
        </w:tc>
        <w:tc>
          <w:tcPr>
            <w:tcW w:type="dxa" w:w="1247"/>
            <w:vAlign w:val="center"/>
          </w:tcPr>
          <w:p>
            <w:pPr>
              <w:jc w:val="center"/>
            </w:pPr>
            <w:r/>
            <w:r>
              <w:rPr>
                <w:rFonts w:ascii="Arial" w:hAnsi="Arial"/>
                <w:b w:val="0"/>
                <w:sz w:val="18"/>
              </w:rPr>
              <w:t>31</w:t>
            </w:r>
          </w:p>
        </w:tc>
        <w:tc>
          <w:tcPr>
            <w:tcW w:type="dxa" w:w="1020"/>
            <w:vAlign w:val="center"/>
          </w:tcPr>
          <w:p>
            <w:pPr>
              <w:jc w:val="center"/>
            </w:pPr>
            <w:r/>
            <w:r>
              <w:rPr>
                <w:rFonts w:ascii="Arial" w:hAnsi="Arial"/>
                <w:b w:val="0"/>
                <w:sz w:val="18"/>
              </w:rPr>
              <w:t>3.140</w:t>
            </w:r>
          </w:p>
        </w:tc>
        <w:tc>
          <w:tcPr>
            <w:tcW w:type="dxa" w:w="1134"/>
            <w:vAlign w:val="center"/>
          </w:tcPr>
          <w:p>
            <w:pPr>
              <w:jc w:val="center"/>
            </w:pPr>
            <w:r/>
            <w:r>
              <w:rPr>
                <w:rFonts w:ascii="Arial" w:hAnsi="Arial"/>
                <w:b w:val="0"/>
                <w:sz w:val="18"/>
              </w:rPr>
              <w:t>174,44</w:t>
            </w:r>
          </w:p>
        </w:tc>
        <w:tc>
          <w:tcPr>
            <w:tcW w:type="dxa" w:w="1134"/>
            <w:vAlign w:val="center"/>
          </w:tcPr>
          <w:p>
            <w:pPr>
              <w:jc w:val="center"/>
            </w:pPr>
            <w:r/>
            <w:r>
              <w:rPr>
                <w:rFonts w:ascii="Arial" w:hAnsi="Arial"/>
                <w:b w:val="0"/>
                <w:sz w:val="18"/>
              </w:rPr>
              <w:t>101,29</w:t>
            </w:r>
          </w:p>
        </w:tc>
        <w:tc>
          <w:tcPr>
            <w:tcW w:type="dxa" w:w="1020"/>
            <w:vAlign w:val="center"/>
          </w:tcPr>
          <w:p>
            <w:pPr>
              <w:jc w:val="center"/>
            </w:pPr>
            <w:r/>
            <w:r>
              <w:rPr>
                <w:rFonts w:ascii="Arial" w:hAnsi="Arial"/>
                <w:b w:val="0"/>
                <w:sz w:val="18"/>
              </w:rPr>
              <w:t>4.185</w:t>
            </w:r>
          </w:p>
        </w:tc>
        <w:tc>
          <w:tcPr>
            <w:tcW w:type="dxa" w:w="1134"/>
            <w:vAlign w:val="center"/>
          </w:tcPr>
          <w:p>
            <w:pPr>
              <w:jc w:val="center"/>
            </w:pPr>
            <w:r/>
            <w:r>
              <w:rPr>
                <w:rFonts w:ascii="Arial" w:hAnsi="Arial"/>
                <w:b w:val="0"/>
                <w:sz w:val="18"/>
              </w:rPr>
              <w:t>232,50</w:t>
            </w:r>
          </w:p>
        </w:tc>
        <w:tc>
          <w:tcPr>
            <w:tcW w:type="dxa" w:w="1134"/>
            <w:vAlign w:val="center"/>
          </w:tcPr>
          <w:p>
            <w:pPr>
              <w:jc w:val="center"/>
            </w:pPr>
            <w:r/>
            <w:r>
              <w:rPr>
                <w:rFonts w:ascii="Arial" w:hAnsi="Arial"/>
                <w:b w:val="0"/>
                <w:sz w:val="18"/>
              </w:rPr>
              <w:t>135,00</w:t>
            </w:r>
          </w:p>
        </w:tc>
        <w:tc>
          <w:tcPr>
            <w:tcW w:type="dxa" w:w="1134"/>
            <w:vAlign w:val="center"/>
          </w:tcPr>
          <w:p>
            <w:pPr>
              <w:jc w:val="center"/>
            </w:pPr>
            <w:r/>
            <w:r>
              <w:rPr>
                <w:rFonts w:ascii="Arial" w:hAnsi="Arial"/>
                <w:b w:val="0"/>
                <w:sz w:val="18"/>
              </w:rPr>
              <w:t>1.045</w:t>
            </w:r>
          </w:p>
        </w:tc>
        <w:tc>
          <w:tcPr>
            <w:tcW w:type="dxa" w:w="1134"/>
            <w:vAlign w:val="center"/>
          </w:tcPr>
          <w:p>
            <w:pPr>
              <w:jc w:val="center"/>
            </w:pPr>
            <w:r/>
            <w:r>
              <w:rPr>
                <w:rFonts w:ascii="Arial" w:hAnsi="Arial"/>
                <w:b w:val="0"/>
                <w:sz w:val="18"/>
              </w:rPr>
              <w:t>+33,3%</w:t>
            </w:r>
          </w:p>
        </w:tc>
      </w:tr>
      <w:tr>
        <w:tc>
          <w:tcPr>
            <w:tcW w:type="dxa" w:w="1701"/>
            <w:vAlign w:val="center"/>
          </w:tcPr>
          <w:p>
            <w:r/>
            <w:r>
              <w:rPr>
                <w:rFonts w:ascii="Arial" w:hAnsi="Arial"/>
                <w:b/>
                <w:sz w:val="18"/>
              </w:rPr>
              <w:t>Total do sistema</w:t>
            </w:r>
          </w:p>
        </w:tc>
        <w:tc>
          <w:tcPr>
            <w:tcW w:type="dxa" w:w="1134"/>
            <w:vAlign w:val="center"/>
          </w:tcPr>
          <w:p>
            <w:pPr>
              <w:jc w:val="center"/>
            </w:pPr>
            <w:r/>
            <w:r>
              <w:rPr>
                <w:rFonts w:ascii="Arial" w:hAnsi="Arial"/>
                <w:b/>
                <w:sz w:val="18"/>
              </w:rPr>
              <w:t>60</w:t>
            </w:r>
          </w:p>
        </w:tc>
        <w:tc>
          <w:tcPr>
            <w:tcW w:type="dxa" w:w="1247"/>
            <w:vAlign w:val="center"/>
          </w:tcPr>
          <w:p>
            <w:pPr>
              <w:jc w:val="center"/>
            </w:pPr>
            <w:r/>
            <w:r>
              <w:rPr>
                <w:rFonts w:ascii="Arial" w:hAnsi="Arial"/>
                <w:b/>
                <w:sz w:val="18"/>
              </w:rPr>
              <w:t>101</w:t>
            </w:r>
          </w:p>
        </w:tc>
        <w:tc>
          <w:tcPr>
            <w:tcW w:type="dxa" w:w="1020"/>
            <w:vAlign w:val="center"/>
          </w:tcPr>
          <w:p>
            <w:pPr>
              <w:jc w:val="center"/>
            </w:pPr>
            <w:r/>
            <w:r>
              <w:rPr>
                <w:rFonts w:ascii="Arial" w:hAnsi="Arial"/>
                <w:b/>
                <w:sz w:val="18"/>
              </w:rPr>
              <w:t>14.423</w:t>
            </w:r>
          </w:p>
        </w:tc>
        <w:tc>
          <w:tcPr>
            <w:tcW w:type="dxa" w:w="1134"/>
            <w:vAlign w:val="center"/>
          </w:tcPr>
          <w:p>
            <w:pPr>
              <w:jc w:val="center"/>
            </w:pPr>
            <w:r/>
            <w:r>
              <w:rPr>
                <w:rFonts w:ascii="Arial" w:hAnsi="Arial"/>
                <w:b/>
                <w:sz w:val="18"/>
              </w:rPr>
              <w:t>240,38</w:t>
            </w:r>
          </w:p>
        </w:tc>
        <w:tc>
          <w:tcPr>
            <w:tcW w:type="dxa" w:w="1134"/>
            <w:vAlign w:val="center"/>
          </w:tcPr>
          <w:p>
            <w:pPr>
              <w:jc w:val="center"/>
            </w:pPr>
            <w:r/>
            <w:r>
              <w:rPr>
                <w:rFonts w:ascii="Arial" w:hAnsi="Arial"/>
                <w:b/>
                <w:sz w:val="18"/>
              </w:rPr>
              <w:t>142,80</w:t>
            </w:r>
          </w:p>
        </w:tc>
        <w:tc>
          <w:tcPr>
            <w:tcW w:type="dxa" w:w="1020"/>
            <w:vAlign w:val="center"/>
          </w:tcPr>
          <w:p>
            <w:pPr>
              <w:jc w:val="center"/>
            </w:pPr>
            <w:r/>
            <w:r>
              <w:rPr>
                <w:rFonts w:ascii="Arial" w:hAnsi="Arial"/>
                <w:b/>
                <w:sz w:val="18"/>
              </w:rPr>
              <w:t>14.423</w:t>
            </w:r>
          </w:p>
        </w:tc>
        <w:tc>
          <w:tcPr>
            <w:tcW w:type="dxa" w:w="1134"/>
            <w:vAlign w:val="center"/>
          </w:tcPr>
          <w:p>
            <w:pPr>
              <w:jc w:val="center"/>
            </w:pPr>
            <w:r/>
            <w:r>
              <w:rPr>
                <w:rFonts w:ascii="Arial" w:hAnsi="Arial"/>
                <w:b/>
                <w:sz w:val="18"/>
              </w:rPr>
              <w:t>240,38</w:t>
            </w:r>
          </w:p>
        </w:tc>
        <w:tc>
          <w:tcPr>
            <w:tcW w:type="dxa" w:w="1134"/>
            <w:vAlign w:val="center"/>
          </w:tcPr>
          <w:p>
            <w:pPr>
              <w:jc w:val="center"/>
            </w:pPr>
            <w:r/>
            <w:r>
              <w:rPr>
                <w:rFonts w:ascii="Arial" w:hAnsi="Arial"/>
                <w:b/>
                <w:sz w:val="18"/>
              </w:rPr>
              <w:t>142,80</w:t>
            </w:r>
          </w:p>
        </w:tc>
        <w:tc>
          <w:tcPr>
            <w:tcW w:type="dxa" w:w="1134"/>
            <w:vAlign w:val="center"/>
          </w:tcPr>
          <w:p>
            <w:pPr>
              <w:jc w:val="center"/>
            </w:pPr>
            <w:r/>
            <w:r>
              <w:rPr>
                <w:rFonts w:ascii="Arial" w:hAnsi="Arial"/>
                <w:b/>
                <w:sz w:val="18"/>
              </w:rPr>
              <w:t>0</w:t>
            </w:r>
          </w:p>
        </w:tc>
        <w:tc>
          <w:tcPr>
            <w:tcW w:type="dxa" w:w="1134"/>
            <w:vAlign w:val="center"/>
          </w:tcPr>
          <w:p>
            <w:pPr>
              <w:jc w:val="center"/>
            </w:pPr>
            <w:r/>
            <w:r>
              <w:rPr>
                <w:rFonts w:ascii="Arial" w:hAnsi="Arial"/>
                <w:b/>
                <w:sz w:val="18"/>
              </w:rPr>
              <w:t>0,0%</w:t>
            </w:r>
          </w:p>
        </w:tc>
      </w:tr>
    </w:tbl>
    <w:p/>
    <w:p>
      <w:pPr>
        <w:spacing w:before="160" w:after="80"/>
      </w:pPr>
      <w:r>
        <w:rPr>
          <w:rFonts w:ascii="Arial" w:hAnsi="Arial"/>
          <w:b/>
          <w:color w:val="1E3F66"/>
          <w:sz w:val="26"/>
        </w:rPr>
        <w:t>Leitura executiva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4875"/>
        <w:gridCol w:w="4875"/>
        <w:gridCol w:w="4875"/>
      </w:tblGrid>
      <w:tr>
        <w:tc>
          <w:tcPr>
            <w:tcW w:type="dxa" w:w="4875"/>
            <w:vAlign w:val="center"/>
            <w:shd w:val="clear" w:fill="F3F6F8"/>
          </w:tcPr>
          <w:p>
            <w:r>
              <w:rPr>
                <w:rFonts w:ascii="Arial" w:hAnsi="Arial"/>
                <w:b/>
                <w:color w:val="1E3F66"/>
              </w:rPr>
              <w:t>CEDENTES</w:t>
              <w:br/>
            </w:r>
            <w:r>
              <w:rPr>
                <w:rFonts w:ascii="Arial" w:hAnsi="Arial"/>
                <w:sz w:val="19"/>
              </w:rPr>
              <w:t>5.151 → 4.105 processos</w:t>
              <w:br/>
              <w:t>Média por unidade: 321,94 → 256,56</w:t>
              <w:br/>
              <w:t>Média por magistrado: 206,04 → 164,20</w:t>
              <w:br/>
              <w:t>Variação líquida: -1.046 processos (-20,3%)</w:t>
            </w:r>
          </w:p>
        </w:tc>
        <w:tc>
          <w:tcPr>
            <w:tcW w:type="dxa" w:w="4875"/>
            <w:vAlign w:val="center"/>
            <w:shd w:val="clear" w:fill="F3F6F8"/>
          </w:tcPr>
          <w:p>
            <w:r>
              <w:rPr>
                <w:rFonts w:ascii="Arial" w:hAnsi="Arial"/>
                <w:b/>
                <w:color w:val="1E3F66"/>
              </w:rPr>
              <w:t>DESTINATÁRIAS</w:t>
              <w:br/>
            </w:r>
            <w:r>
              <w:rPr>
                <w:rFonts w:ascii="Arial" w:hAnsi="Arial"/>
                <w:sz w:val="19"/>
              </w:rPr>
              <w:t>3.140 → 4.185 processos</w:t>
              <w:br/>
              <w:t>Média por unidade: 174,44 → 232,50</w:t>
              <w:br/>
              <w:t>Média por magistrado: 101,29 → 135,00</w:t>
              <w:br/>
              <w:t>Variação líquida: 1.045 processos (+33,3%)</w:t>
            </w:r>
          </w:p>
        </w:tc>
        <w:tc>
          <w:tcPr>
            <w:tcW w:type="dxa" w:w="4875"/>
            <w:vAlign w:val="center"/>
            <w:shd w:val="clear" w:fill="F3F6F8"/>
          </w:tcPr>
          <w:p>
            <w:r>
              <w:rPr>
                <w:rFonts w:ascii="Arial" w:hAnsi="Arial"/>
                <w:b/>
                <w:color w:val="1E3F66"/>
              </w:rPr>
              <w:t>NEUTRAS</w:t>
              <w:br/>
            </w:r>
            <w:r>
              <w:rPr>
                <w:rFonts w:ascii="Arial" w:hAnsi="Arial"/>
                <w:sz w:val="19"/>
              </w:rPr>
              <w:t>6.133 processos</w:t>
              <w:br/>
              <w:t>Média por unidade: 235,88</w:t>
              <w:br/>
              <w:t>Média por magistrado: 136,29</w:t>
              <w:br/>
              <w:t>Variação líquida: não se aplica</w:t>
            </w:r>
          </w:p>
        </w:tc>
      </w:tr>
    </w:tbl>
    <w:p/>
    <w:p>
      <w:pPr>
        <w:spacing w:before="160" w:after="80"/>
      </w:pPr>
      <w:r>
        <w:rPr>
          <w:rFonts w:ascii="Arial" w:hAnsi="Arial"/>
          <w:b/>
          <w:color w:val="1E3F66"/>
          <w:sz w:val="26"/>
        </w:rPr>
        <w:t>Quadro 2 – Convergência das médias entre os grupos</w:t>
      </w:r>
    </w:p>
    <w:p>
      <w:r>
        <w:rPr>
          <w:rFonts w:ascii="Arial" w:hAnsi="Arial"/>
          <w:b/>
          <w:sz w:val="21"/>
        </w:rPr>
        <w:t>Diferença entre as médias das unidades cedentes e destinatárias</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925"/>
        <w:gridCol w:w="2925"/>
        <w:gridCol w:w="2925"/>
        <w:gridCol w:w="2925"/>
        <w:gridCol w:w="2925"/>
      </w:tblGrid>
      <w:tr>
        <w:trPr>
          <w:tblHeader w:val="true"/>
        </w:trPr>
        <w:tc>
          <w:tcPr>
            <w:tcW w:type="dxa" w:w="2835"/>
            <w:shd w:val="clear" w:fill="285B87"/>
            <w:vAlign w:val="center"/>
          </w:tcPr>
          <w:p>
            <w:r/>
            <w:r>
              <w:rPr>
                <w:rFonts w:ascii="Arial" w:hAnsi="Arial"/>
                <w:b/>
                <w:color w:val="FFFFFF"/>
                <w:sz w:val="19"/>
              </w:rPr>
              <w:t>Dimensão</w:t>
            </w:r>
          </w:p>
        </w:tc>
        <w:tc>
          <w:tcPr>
            <w:tcW w:type="dxa" w:w="1701"/>
            <w:shd w:val="clear" w:fill="285B87"/>
            <w:vAlign w:val="center"/>
          </w:tcPr>
          <w:p>
            <w:pPr>
              <w:jc w:val="center"/>
            </w:pPr>
            <w:r/>
            <w:r>
              <w:rPr>
                <w:rFonts w:ascii="Arial" w:hAnsi="Arial"/>
                <w:b/>
                <w:color w:val="FFFFFF"/>
                <w:sz w:val="19"/>
              </w:rPr>
              <w:t>Sem equalização</w:t>
            </w:r>
          </w:p>
        </w:tc>
        <w:tc>
          <w:tcPr>
            <w:tcW w:type="dxa" w:w="1701"/>
            <w:shd w:val="clear" w:fill="285B87"/>
            <w:vAlign w:val="center"/>
          </w:tcPr>
          <w:p>
            <w:pPr>
              <w:jc w:val="center"/>
            </w:pPr>
            <w:r/>
            <w:r>
              <w:rPr>
                <w:rFonts w:ascii="Arial" w:hAnsi="Arial"/>
                <w:b/>
                <w:color w:val="FFFFFF"/>
                <w:sz w:val="19"/>
              </w:rPr>
              <w:t>Com equalização</w:t>
            </w:r>
          </w:p>
        </w:tc>
        <w:tc>
          <w:tcPr>
            <w:tcW w:type="dxa" w:w="1701"/>
            <w:shd w:val="clear" w:fill="285B87"/>
            <w:vAlign w:val="center"/>
          </w:tcPr>
          <w:p>
            <w:pPr>
              <w:jc w:val="center"/>
            </w:pPr>
            <w:r/>
            <w:r>
              <w:rPr>
                <w:rFonts w:ascii="Arial" w:hAnsi="Arial"/>
                <w:b/>
                <w:color w:val="FFFFFF"/>
                <w:sz w:val="19"/>
              </w:rPr>
              <w:t>Redução absoluta</w:t>
            </w:r>
          </w:p>
        </w:tc>
        <w:tc>
          <w:tcPr>
            <w:tcW w:type="dxa" w:w="1701"/>
            <w:shd w:val="clear" w:fill="285B87"/>
            <w:vAlign w:val="center"/>
          </w:tcPr>
          <w:p>
            <w:pPr>
              <w:jc w:val="center"/>
            </w:pPr>
            <w:r/>
            <w:r>
              <w:rPr>
                <w:rFonts w:ascii="Arial" w:hAnsi="Arial"/>
                <w:b/>
                <w:color w:val="FFFFFF"/>
                <w:sz w:val="19"/>
              </w:rPr>
              <w:t>Redução relativa</w:t>
            </w:r>
          </w:p>
        </w:tc>
      </w:tr>
      <w:tr>
        <w:tc>
          <w:tcPr>
            <w:tcW w:type="dxa" w:w="2835"/>
            <w:vAlign w:val="center"/>
          </w:tcPr>
          <w:p>
            <w:r/>
            <w:r>
              <w:rPr>
                <w:rFonts w:ascii="Arial" w:hAnsi="Arial"/>
                <w:b w:val="0"/>
                <w:sz w:val="19"/>
              </w:rPr>
              <w:t>Média de processos por unidade</w:t>
            </w:r>
          </w:p>
        </w:tc>
        <w:tc>
          <w:tcPr>
            <w:tcW w:type="dxa" w:w="1701"/>
            <w:vAlign w:val="center"/>
          </w:tcPr>
          <w:p>
            <w:pPr>
              <w:jc w:val="center"/>
            </w:pPr>
            <w:r/>
            <w:r>
              <w:rPr>
                <w:rFonts w:ascii="Arial" w:hAnsi="Arial"/>
                <w:b w:val="0"/>
                <w:sz w:val="19"/>
              </w:rPr>
              <w:t>147,49</w:t>
            </w:r>
          </w:p>
        </w:tc>
        <w:tc>
          <w:tcPr>
            <w:tcW w:type="dxa" w:w="1701"/>
            <w:vAlign w:val="center"/>
          </w:tcPr>
          <w:p>
            <w:pPr>
              <w:jc w:val="center"/>
            </w:pPr>
            <w:r/>
            <w:r>
              <w:rPr>
                <w:rFonts w:ascii="Arial" w:hAnsi="Arial"/>
                <w:b w:val="0"/>
                <w:sz w:val="19"/>
              </w:rPr>
              <w:t>24,06</w:t>
            </w:r>
          </w:p>
        </w:tc>
        <w:tc>
          <w:tcPr>
            <w:tcW w:type="dxa" w:w="1701"/>
            <w:vAlign w:val="center"/>
          </w:tcPr>
          <w:p>
            <w:pPr>
              <w:jc w:val="center"/>
            </w:pPr>
            <w:r/>
            <w:r>
              <w:rPr>
                <w:rFonts w:ascii="Arial" w:hAnsi="Arial"/>
                <w:b w:val="0"/>
                <w:sz w:val="19"/>
              </w:rPr>
              <w:t>123,43</w:t>
            </w:r>
          </w:p>
        </w:tc>
        <w:tc>
          <w:tcPr>
            <w:tcW w:type="dxa" w:w="1701"/>
            <w:vAlign w:val="center"/>
          </w:tcPr>
          <w:p>
            <w:pPr>
              <w:jc w:val="center"/>
            </w:pPr>
            <w:r/>
            <w:r>
              <w:rPr>
                <w:rFonts w:ascii="Arial" w:hAnsi="Arial"/>
                <w:b w:val="0"/>
                <w:sz w:val="19"/>
              </w:rPr>
              <w:t>83,7%</w:t>
            </w:r>
          </w:p>
        </w:tc>
      </w:tr>
      <w:tr>
        <w:tc>
          <w:tcPr>
            <w:tcW w:type="dxa" w:w="2835"/>
            <w:vAlign w:val="center"/>
          </w:tcPr>
          <w:p>
            <w:r/>
            <w:r>
              <w:rPr>
                <w:rFonts w:ascii="Arial" w:hAnsi="Arial"/>
                <w:b w:val="0"/>
                <w:sz w:val="19"/>
              </w:rPr>
              <w:t>Média de processos por magistrado</w:t>
            </w:r>
          </w:p>
        </w:tc>
        <w:tc>
          <w:tcPr>
            <w:tcW w:type="dxa" w:w="1701"/>
            <w:vAlign w:val="center"/>
          </w:tcPr>
          <w:p>
            <w:pPr>
              <w:jc w:val="center"/>
            </w:pPr>
            <w:r/>
            <w:r>
              <w:rPr>
                <w:rFonts w:ascii="Arial" w:hAnsi="Arial"/>
                <w:b w:val="0"/>
                <w:sz w:val="19"/>
              </w:rPr>
              <w:t>104,75</w:t>
            </w:r>
          </w:p>
        </w:tc>
        <w:tc>
          <w:tcPr>
            <w:tcW w:type="dxa" w:w="1701"/>
            <w:vAlign w:val="center"/>
          </w:tcPr>
          <w:p>
            <w:pPr>
              <w:jc w:val="center"/>
            </w:pPr>
            <w:r/>
            <w:r>
              <w:rPr>
                <w:rFonts w:ascii="Arial" w:hAnsi="Arial"/>
                <w:b w:val="0"/>
                <w:sz w:val="19"/>
              </w:rPr>
              <w:t>29,20</w:t>
            </w:r>
          </w:p>
        </w:tc>
        <w:tc>
          <w:tcPr>
            <w:tcW w:type="dxa" w:w="1701"/>
            <w:vAlign w:val="center"/>
          </w:tcPr>
          <w:p>
            <w:pPr>
              <w:jc w:val="center"/>
            </w:pPr>
            <w:r/>
            <w:r>
              <w:rPr>
                <w:rFonts w:ascii="Arial" w:hAnsi="Arial"/>
                <w:b w:val="0"/>
                <w:sz w:val="19"/>
              </w:rPr>
              <w:t>75,55</w:t>
            </w:r>
          </w:p>
        </w:tc>
        <w:tc>
          <w:tcPr>
            <w:tcW w:type="dxa" w:w="1701"/>
            <w:vAlign w:val="center"/>
          </w:tcPr>
          <w:p>
            <w:pPr>
              <w:jc w:val="center"/>
            </w:pPr>
            <w:r/>
            <w:r>
              <w:rPr>
                <w:rFonts w:ascii="Arial" w:hAnsi="Arial"/>
                <w:b w:val="0"/>
                <w:sz w:val="19"/>
              </w:rPr>
              <w:t>72,1%</w:t>
            </w:r>
          </w:p>
        </w:tc>
      </w:tr>
    </w:tbl>
    <w:p/>
    <w:p>
      <w:pPr>
        <w:spacing w:before="160" w:after="80"/>
      </w:pPr>
      <w:r>
        <w:rPr>
          <w:rFonts w:ascii="Arial" w:hAnsi="Arial"/>
          <w:b/>
          <w:color w:val="1E3F66"/>
          <w:sz w:val="26"/>
        </w:rPr>
        <w:t>Síntese interpretativa</w:t>
      </w:r>
    </w:p>
    <w:p>
      <w:r>
        <w:rPr>
          <w:rFonts w:ascii="Arial" w:hAnsi="Arial"/>
          <w:b w:val="0"/>
          <w:sz w:val="22"/>
        </w:rPr>
        <w:t>O quadro compara a distância entre as médias dos dois grupos diretamente envolvidos no fluxo de equalização. As unidades cedentes são aquelas que redistribuem processos, enquanto as destinatárias recebem processos pelo sistema.</w:t>
      </w:r>
    </w:p>
    <w:p>
      <w:r>
        <w:rPr>
          <w:rFonts w:ascii="Arial" w:hAnsi="Arial"/>
          <w:b w:val="0"/>
          <w:sz w:val="22"/>
        </w:rPr>
        <w:t>No cenário simulado sem equalização, a média das unidades cedentes superava a média das destinatárias em 147,49 processos por unidade. Após as redistribuições, essa diferença caiu para 24,06 processos, o que representa uma redução de 83,7%. O resultado indica uma forte aproximação entre os volumes médios de processos dos dois grupos.</w:t>
      </w:r>
    </w:p>
    <w:p>
      <w:r>
        <w:rPr>
          <w:rFonts w:ascii="Arial" w:hAnsi="Arial"/>
          <w:b w:val="0"/>
          <w:sz w:val="22"/>
        </w:rPr>
        <w:t>A análise da carga de trabalho por magistrado apresenta comportamento semelhante. Sem a equalização, a diferença entre as médias dos grupos seria de 104,75 processos por magistrado. No cenário com equalização, essa distância foi reduzida para 29,20 processos por magistrado, correspondendo a uma redução de 72,1%.</w:t>
      </w:r>
    </w:p>
    <w:p>
      <w:r>
        <w:rPr>
          <w:rFonts w:ascii="Arial" w:hAnsi="Arial"/>
          <w:b w:val="0"/>
          <w:sz w:val="22"/>
        </w:rPr>
        <w:t>Os resultados não significam que todas as unidades passaram a possuir exatamente a mesma quantidade de processos ou a mesma carga de trabalho. A comparação demonstra que, em termos médios, a diferença estrutural entre unidades cedentes e destinatárias foi substancialmente reduzida. A medida por magistrado é especialmente relevante porque considera as diferenças de capacidade de trabalho entre as unidades, evitando que unidades com números distintos de magistrados sejam comparadas apenas pelo volume bruto de processos.</w:t>
      </w:r>
    </w:p>
    <w:p>
      <w:r>
        <w:rPr>
          <w:rFonts w:ascii="Arial" w:hAnsi="Arial"/>
          <w:b w:val="0"/>
          <w:sz w:val="22"/>
        </w:rPr>
        <w:t>As unidades neutras não integram este quadro porque não enviam nem recebem processos pelo fluxo de equalização. Sua situação é considerada nas análises gerais de dispersão, mas não na comparação direta entre os dois grupos alcançados pelas redistribuições.</w:t>
      </w:r>
    </w:p>
    <w:sectPr w:rsidR="00FC693F" w:rsidRPr="0006063C" w:rsidSect="00034616">
      <w:headerReference w:type="default" r:id="rId14"/>
      <w:footerReference w:type="default" r:id="rId15"/>
      <w:pgSz w:w="15840" w:h="12240" w:orient="landscape"/>
      <w:pgMar w:top="646" w:right="607" w:bottom="646" w:left="6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11/08/2026 12:32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11/08/2026 12:32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2.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