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spacing w:after="360"/>
      </w:pPr>
    </w:p>
    <w:tbl>
      <w:tblPr>
        <w:tblW w:type="auto" w:w="0"/>
        <w:jc w:val="center"/>
        <w:tblLayout w:type="fixed"/>
        <w:tblLook w:firstColumn="1" w:firstRow="1" w:lastColumn="0" w:lastRow="0" w:noHBand="0" w:noVBand="1" w:val="04A0"/>
      </w:tblPr>
      <w:tblGrid>
        <w:gridCol w:w="9412"/>
      </w:tblGrid>
      <w:tr>
        <w:tc>
          <w:tcPr>
            <w:tcW w:type="dxa" w:w="9411"/>
            <w:shd w:val="clear" w:color="auto" w:fill="172B4D"/>
            <w:tcMar>
              <w:top w:w="500" w:type="dxa"/>
              <w:left w:w="500" w:type="dxa"/>
              <w:bottom w:w="500" w:type="dxa"/>
              <w:right w:w="500" w:type="dxa"/>
            </w:tcMar>
          </w:tcPr>
          <w:p>
            <w:pPr>
              <w:jc w:val="left"/>
            </w:pPr>
            <w:r>
              <w:rPr>
                <w:b/>
                <w:color w:val="C99628"/>
                <w:sz w:val="24"/>
              </w:rPr>
              <w:t>APUNTE PARA CONFERENCIA</w:t>
            </w:r>
          </w:p>
          <w:p>
            <w:pPr>
              <w:spacing w:before="200"/>
            </w:pPr>
            <w:r>
              <w:rPr>
                <w:b/>
                <w:color w:val="FFFFFF"/>
                <w:sz w:val="60"/>
              </w:rPr>
              <w:t>La legítima defensa en el Código Penal argentino</w:t>
            </w:r>
          </w:p>
          <w:p>
            <w:pPr>
              <w:spacing w:before="200"/>
            </w:pPr>
            <w:r>
              <w:rPr>
                <w:color w:val="D6E4EA"/>
                <w:sz w:val="28"/>
              </w:rPr>
              <w:t>Art. 34, incs. 6 y 7 · Art. 35</w:t>
              <w:br/>
              <w:t>Requisitos, presunciones, exceso, error y variantes</w:t>
              <w:br/>
              <w:t>Jurisprudencia, casos prácticos y filminas</w:t>
            </w:r>
          </w:p>
        </w:tc>
      </w:tr>
    </w:tbl>
    <w:p>
      <w:pPr>
        <w:spacing w:after="800"/>
      </w:pPr>
    </w:p>
    <w:p>
      <w:r>
        <w:rPr>
          <w:b/>
          <w:color w:val="5A626E"/>
          <w:sz w:val="22"/>
        </w:rPr>
        <w:t>Destinatario:</w:t>
      </w:r>
      <w:r>
        <w:rPr>
          <w:color w:val="5A626E"/>
          <w:sz w:val="22"/>
        </w:rPr>
        <w:t xml:space="preserve"> exposición ante abogados y magistrados.</w:t>
      </w:r>
    </w:p>
    <w:p>
      <w:r>
        <w:rPr>
          <w:b/>
          <w:color w:val="5A626E"/>
          <w:sz w:val="22"/>
        </w:rPr>
        <w:t>Estado normativo considerado:</w:t>
      </w:r>
      <w:r>
        <w:rPr>
          <w:color w:val="5A626E"/>
          <w:sz w:val="22"/>
        </w:rPr>
        <w:t xml:space="preserve"> Código Penal (Ley 11.179) vigente a octubre de 2026; reforma en trámite informada por la prensa, no sancionada.</w:t>
      </w:r>
    </w:p>
    <w:p>
      <w:r>
        <w:rPr>
          <w:b/>
          <w:color w:val="5A626E"/>
          <w:sz w:val="22"/>
        </w:rPr>
        <w:t>Importante:</w:t>
      </w:r>
      <w:r>
        <w:rPr>
          <w:color w:val="5A626E"/>
          <w:sz w:val="22"/>
        </w:rPr>
        <w:t xml:space="preserve"> cada cita lleva una etiqueta de verificación (ver Nota previa). Confirmar en la fuente primaria antes de citar en un escrito.</w:t>
      </w:r>
    </w:p>
    <w:p>
      <w:pPr>
        <w:spacing w:after="0"/>
      </w:pPr>
      <w:r>
        <w:br w:type="page"/>
      </w:r>
    </w:p>
    <w:p>
      <w:pPr>
        <w:spacing w:after="160"/>
      </w:pPr>
      <w:r>
        <w:rPr>
          <w:b/>
          <w:color w:val="172B4D"/>
          <w:sz w:val="36"/>
        </w:rPr>
        <w:t>Índice</w:t>
      </w:r>
    </w:p>
    <w:p>
      <w:pPr>
        <w:tabs>
          <w:tab w:pos="9411" w:val="right" w:leader="dot"/>
        </w:tabs>
        <w:spacing w:after="60"/>
        <w:ind w:left="0"/>
      </w:pPr>
      <w:r>
        <w:rPr>
          <w:b/>
          <w:sz w:val="20"/>
        </w:rPr>
        <w:t>Nota previa: cómo usar este apunte y cuánto confiar en cada cita</w:t>
        <w:tab/>
        <w:t>4</w:t>
      </w:r>
    </w:p>
    <w:p>
      <w:pPr>
        <w:tabs>
          <w:tab w:pos="9411" w:val="right" w:leader="dot"/>
        </w:tabs>
        <w:spacing w:after="30"/>
        <w:ind w:left="397"/>
      </w:pPr>
      <w:r>
        <w:rPr>
          <w:b w:val="0"/>
          <w:sz w:val="18"/>
        </w:rPr>
        <w:t>Semáforo de verificación de fuentes</w:t>
        <w:tab/>
        <w:t>4</w:t>
      </w:r>
    </w:p>
    <w:p>
      <w:pPr>
        <w:tabs>
          <w:tab w:pos="9411" w:val="right" w:leader="dot"/>
        </w:tabs>
        <w:spacing w:after="60"/>
        <w:ind w:left="0"/>
      </w:pPr>
      <w:r>
        <w:rPr>
          <w:b/>
          <w:sz w:val="20"/>
        </w:rPr>
        <w:t>Guía rápida de la conferencia</w:t>
        <w:tab/>
        <w:t>5</w:t>
      </w:r>
    </w:p>
    <w:p>
      <w:pPr>
        <w:tabs>
          <w:tab w:pos="9411" w:val="right" w:leader="dot"/>
        </w:tabs>
        <w:spacing w:after="60"/>
        <w:ind w:left="0"/>
      </w:pPr>
      <w:r>
        <w:rPr>
          <w:b/>
          <w:sz w:val="20"/>
        </w:rPr>
        <w:t>Capítulo 1. Marco general y fundamento</w:t>
        <w:tab/>
        <w:t>6</w:t>
      </w:r>
    </w:p>
    <w:p>
      <w:pPr>
        <w:tabs>
          <w:tab w:pos="9411" w:val="right" w:leader="dot"/>
        </w:tabs>
        <w:spacing w:after="30"/>
        <w:ind w:left="397"/>
      </w:pPr>
      <w:r>
        <w:rPr>
          <w:b w:val="0"/>
          <w:sz w:val="18"/>
        </w:rPr>
        <w:t>1.1. Concepto</w:t>
        <w:tab/>
        <w:t>6</w:t>
      </w:r>
    </w:p>
    <w:p>
      <w:pPr>
        <w:tabs>
          <w:tab w:pos="9411" w:val="right" w:leader="dot"/>
        </w:tabs>
        <w:spacing w:after="30"/>
        <w:ind w:left="397"/>
      </w:pPr>
      <w:r>
        <w:rPr>
          <w:b w:val="0"/>
          <w:sz w:val="18"/>
        </w:rPr>
        <w:t>1.2. Ubicación en la teoría del delito</w:t>
        <w:tab/>
        <w:t>6</w:t>
      </w:r>
    </w:p>
    <w:p>
      <w:pPr>
        <w:tabs>
          <w:tab w:pos="9411" w:val="right" w:leader="dot"/>
        </w:tabs>
        <w:spacing w:after="30"/>
        <w:ind w:left="397"/>
      </w:pPr>
      <w:r>
        <w:rPr>
          <w:b w:val="0"/>
          <w:sz w:val="18"/>
        </w:rPr>
        <w:t>1.3. Fundamento</w:t>
        <w:tab/>
        <w:t>7</w:t>
      </w:r>
    </w:p>
    <w:p>
      <w:pPr>
        <w:tabs>
          <w:tab w:pos="9411" w:val="right" w:leader="dot"/>
        </w:tabs>
        <w:spacing w:after="30"/>
        <w:ind w:left="397"/>
      </w:pPr>
      <w:r>
        <w:rPr>
          <w:b w:val="0"/>
          <w:sz w:val="18"/>
        </w:rPr>
        <w:t>1.4. Evolución y vigencia del texto</w:t>
        <w:tab/>
        <w:t>7</w:t>
      </w:r>
    </w:p>
    <w:p>
      <w:pPr>
        <w:tabs>
          <w:tab w:pos="9411" w:val="right" w:leader="dot"/>
        </w:tabs>
        <w:spacing w:after="30"/>
        <w:ind w:left="397"/>
      </w:pPr>
      <w:r>
        <w:rPr>
          <w:b w:val="0"/>
          <w:sz w:val="18"/>
        </w:rPr>
        <w:t>1.5. Dimensión civil y constitucional</w:t>
        <w:tab/>
        <w:t>7</w:t>
      </w:r>
    </w:p>
    <w:p>
      <w:pPr>
        <w:tabs>
          <w:tab w:pos="9411" w:val="right" w:leader="dot"/>
        </w:tabs>
        <w:spacing w:after="60"/>
        <w:ind w:left="0"/>
      </w:pPr>
      <w:r>
        <w:rPr>
          <w:b/>
          <w:sz w:val="20"/>
        </w:rPr>
        <w:t>Capítulo 2. El texto legal</w:t>
        <w:tab/>
        <w:t>10</w:t>
      </w:r>
    </w:p>
    <w:p>
      <w:pPr>
        <w:tabs>
          <w:tab w:pos="9411" w:val="right" w:leader="dot"/>
        </w:tabs>
        <w:spacing w:after="30"/>
        <w:ind w:left="397"/>
      </w:pPr>
      <w:r>
        <w:rPr>
          <w:b w:val="0"/>
          <w:sz w:val="18"/>
        </w:rPr>
        <w:t>2.1. Texto de las disposiciones (VERIFICADO – oficial)</w:t>
        <w:tab/>
        <w:t>10</w:t>
      </w:r>
    </w:p>
    <w:p>
      <w:pPr>
        <w:tabs>
          <w:tab w:pos="9411" w:val="right" w:leader="dot"/>
        </w:tabs>
        <w:spacing w:after="30"/>
        <w:ind w:left="397"/>
      </w:pPr>
      <w:r>
        <w:rPr>
          <w:b w:val="0"/>
          <w:sz w:val="18"/>
        </w:rPr>
        <w:t>2.2. Anatomía del inciso 6</w:t>
        <w:tab/>
        <w:t>10</w:t>
      </w:r>
    </w:p>
    <w:p>
      <w:pPr>
        <w:tabs>
          <w:tab w:pos="9411" w:val="right" w:leader="dot"/>
        </w:tabs>
        <w:spacing w:after="30"/>
        <w:ind w:left="397"/>
      </w:pPr>
      <w:r>
        <w:rPr>
          <w:b w:val="0"/>
          <w:sz w:val="18"/>
        </w:rPr>
        <w:t>2.3. Observaciones de técnica legislativa</w:t>
        <w:tab/>
        <w:t>11</w:t>
      </w:r>
    </w:p>
    <w:p>
      <w:pPr>
        <w:tabs>
          <w:tab w:pos="9411" w:val="right" w:leader="dot"/>
        </w:tabs>
        <w:spacing w:after="30"/>
        <w:ind w:left="397"/>
      </w:pPr>
      <w:r>
        <w:rPr>
          <w:b w:val="0"/>
          <w:sz w:val="18"/>
        </w:rPr>
        <w:t>2.4. Normas conexas del art. 34</w:t>
        <w:tab/>
        <w:t>11</w:t>
      </w:r>
    </w:p>
    <w:p>
      <w:pPr>
        <w:tabs>
          <w:tab w:pos="9411" w:val="right" w:leader="dot"/>
        </w:tabs>
        <w:spacing w:after="60"/>
        <w:ind w:left="0"/>
      </w:pPr>
      <w:r>
        <w:rPr>
          <w:b/>
          <w:sz w:val="20"/>
        </w:rPr>
        <w:t>Capítulo 3. Primer requisito: la agresión ilegítima</w:t>
        <w:tab/>
        <w:t>14</w:t>
      </w:r>
    </w:p>
    <w:p>
      <w:pPr>
        <w:tabs>
          <w:tab w:pos="9411" w:val="right" w:leader="dot"/>
        </w:tabs>
        <w:spacing w:after="30"/>
        <w:ind w:left="397"/>
      </w:pPr>
      <w:r>
        <w:rPr>
          <w:b w:val="0"/>
          <w:sz w:val="18"/>
        </w:rPr>
        <w:t>3.1. Concepto</w:t>
        <w:tab/>
        <w:t>14</w:t>
      </w:r>
    </w:p>
    <w:p>
      <w:pPr>
        <w:tabs>
          <w:tab w:pos="9411" w:val="right" w:leader="dot"/>
        </w:tabs>
        <w:spacing w:after="30"/>
        <w:ind w:left="397"/>
      </w:pPr>
      <w:r>
        <w:rPr>
          <w:b w:val="0"/>
          <w:sz w:val="18"/>
        </w:rPr>
        <w:t>3.2. Elementos</w:t>
        <w:tab/>
        <w:t>14</w:t>
      </w:r>
    </w:p>
    <w:p>
      <w:pPr>
        <w:tabs>
          <w:tab w:pos="9411" w:val="right" w:leader="dot"/>
        </w:tabs>
        <w:spacing w:after="30"/>
        <w:ind w:left="397"/>
      </w:pPr>
      <w:r>
        <w:rPr>
          <w:b w:val="0"/>
          <w:sz w:val="18"/>
        </w:rPr>
        <w:t>3.3. Actualidad: el factor tiempo</w:t>
        <w:tab/>
        <w:t>14</w:t>
      </w:r>
    </w:p>
    <w:p>
      <w:pPr>
        <w:tabs>
          <w:tab w:pos="9411" w:val="right" w:leader="dot"/>
        </w:tabs>
        <w:spacing w:after="30"/>
        <w:ind w:left="397"/>
      </w:pPr>
      <w:r>
        <w:rPr>
          <w:b w:val="0"/>
          <w:sz w:val="18"/>
        </w:rPr>
        <w:t>3.4. Supuestos problemáticos</w:t>
        <w:tab/>
        <w:t>15</w:t>
      </w:r>
    </w:p>
    <w:p>
      <w:pPr>
        <w:tabs>
          <w:tab w:pos="9411" w:val="right" w:leader="dot"/>
        </w:tabs>
        <w:spacing w:after="30"/>
        <w:ind w:left="397"/>
      </w:pPr>
      <w:r>
        <w:rPr>
          <w:b w:val="0"/>
          <w:sz w:val="18"/>
        </w:rPr>
        <w:t>3.5. Límites ético-sociales</w:t>
        <w:tab/>
        <w:t>15</w:t>
      </w:r>
    </w:p>
    <w:p>
      <w:pPr>
        <w:tabs>
          <w:tab w:pos="9411" w:val="right" w:leader="dot"/>
        </w:tabs>
        <w:spacing w:after="30"/>
        <w:ind w:left="397"/>
      </w:pPr>
      <w:r>
        <w:rPr>
          <w:b w:val="0"/>
          <w:sz w:val="18"/>
        </w:rPr>
        <w:t>3.6. Ejemplos</w:t>
        <w:tab/>
        <w:t>15</w:t>
      </w:r>
    </w:p>
    <w:p>
      <w:pPr>
        <w:tabs>
          <w:tab w:pos="9411" w:val="right" w:leader="dot"/>
        </w:tabs>
        <w:spacing w:after="30"/>
        <w:ind w:left="397"/>
      </w:pPr>
      <w:r>
        <w:rPr>
          <w:b w:val="0"/>
          <w:sz w:val="18"/>
        </w:rPr>
        <w:t>3.7. Jurisprudencia</w:t>
        <w:tab/>
        <w:t>16</w:t>
      </w:r>
    </w:p>
    <w:p>
      <w:pPr>
        <w:tabs>
          <w:tab w:pos="9411" w:val="right" w:leader="dot"/>
        </w:tabs>
        <w:spacing w:after="60"/>
        <w:ind w:left="0"/>
      </w:pPr>
      <w:r>
        <w:rPr>
          <w:b/>
          <w:sz w:val="20"/>
        </w:rPr>
        <w:t>Capítulo 4. Segundo requisito: la necesidad racional del medio empleado</w:t>
        <w:tab/>
        <w:t>19</w:t>
      </w:r>
    </w:p>
    <w:p>
      <w:pPr>
        <w:tabs>
          <w:tab w:pos="9411" w:val="right" w:leader="dot"/>
        </w:tabs>
        <w:spacing w:after="30"/>
        <w:ind w:left="397"/>
      </w:pPr>
      <w:r>
        <w:rPr>
          <w:b w:val="0"/>
          <w:sz w:val="18"/>
        </w:rPr>
        <w:t>4.1. Dos planos: necesidad y racionalidad</w:t>
        <w:tab/>
        <w:t>19</w:t>
      </w:r>
    </w:p>
    <w:p>
      <w:pPr>
        <w:tabs>
          <w:tab w:pos="9411" w:val="right" w:leader="dot"/>
        </w:tabs>
        <w:spacing w:after="30"/>
        <w:ind w:left="397"/>
      </w:pPr>
      <w:r>
        <w:rPr>
          <w:b w:val="0"/>
          <w:sz w:val="18"/>
        </w:rPr>
        <w:t>4.2. Cómo se mide: criterio ex ante y situación concreta</w:t>
        <w:tab/>
        <w:t>19</w:t>
      </w:r>
    </w:p>
    <w:p>
      <w:pPr>
        <w:tabs>
          <w:tab w:pos="9411" w:val="right" w:leader="dot"/>
        </w:tabs>
        <w:spacing w:after="30"/>
        <w:ind w:left="397"/>
      </w:pPr>
      <w:r>
        <w:rPr>
          <w:b w:val="0"/>
          <w:sz w:val="18"/>
        </w:rPr>
        <w:t>4.3. Las discusiones centrales</w:t>
        <w:tab/>
        <w:t>20</w:t>
      </w:r>
    </w:p>
    <w:p>
      <w:pPr>
        <w:tabs>
          <w:tab w:pos="9411" w:val="right" w:leader="dot"/>
        </w:tabs>
        <w:spacing w:after="30"/>
        <w:ind w:left="397"/>
      </w:pPr>
      <w:r>
        <w:rPr>
          <w:b w:val="0"/>
          <w:sz w:val="18"/>
        </w:rPr>
        <w:t>4.4. Ejemplos</w:t>
        <w:tab/>
        <w:t>20</w:t>
      </w:r>
    </w:p>
    <w:p>
      <w:pPr>
        <w:tabs>
          <w:tab w:pos="9411" w:val="right" w:leader="dot"/>
        </w:tabs>
        <w:spacing w:after="30"/>
        <w:ind w:left="397"/>
      </w:pPr>
      <w:r>
        <w:rPr>
          <w:b w:val="0"/>
          <w:sz w:val="18"/>
        </w:rPr>
        <w:t>4.5. Jurisprudencia</w:t>
        <w:tab/>
        <w:t>21</w:t>
      </w:r>
    </w:p>
    <w:p>
      <w:pPr>
        <w:tabs>
          <w:tab w:pos="9411" w:val="right" w:leader="dot"/>
        </w:tabs>
        <w:spacing w:after="60"/>
        <w:ind w:left="0"/>
      </w:pPr>
      <w:r>
        <w:rPr>
          <w:b/>
          <w:sz w:val="20"/>
        </w:rPr>
        <w:t>Capítulo 5. Tercer requisito: falta de provocación suficiente. El elemento subjetivo</w:t>
        <w:tab/>
        <w:t>24</w:t>
      </w:r>
    </w:p>
    <w:p>
      <w:pPr>
        <w:tabs>
          <w:tab w:pos="9411" w:val="right" w:leader="dot"/>
        </w:tabs>
        <w:spacing w:after="30"/>
        <w:ind w:left="397"/>
      </w:pPr>
      <w:r>
        <w:rPr>
          <w:b w:val="0"/>
          <w:sz w:val="18"/>
        </w:rPr>
        <w:t>5.1. Qué es la provocación suficiente</w:t>
        <w:tab/>
        <w:t>24</w:t>
      </w:r>
    </w:p>
    <w:p>
      <w:pPr>
        <w:tabs>
          <w:tab w:pos="9411" w:val="right" w:leader="dot"/>
        </w:tabs>
        <w:spacing w:after="30"/>
        <w:ind w:left="397"/>
      </w:pPr>
      <w:r>
        <w:rPr>
          <w:b w:val="0"/>
          <w:sz w:val="18"/>
        </w:rPr>
        <w:t>5.2. Defensa de terceros</w:t>
        <w:tab/>
        <w:t>24</w:t>
      </w:r>
    </w:p>
    <w:p>
      <w:pPr>
        <w:tabs>
          <w:tab w:pos="9411" w:val="right" w:leader="dot"/>
        </w:tabs>
        <w:spacing w:after="30"/>
        <w:ind w:left="397"/>
      </w:pPr>
      <w:r>
        <w:rPr>
          <w:b w:val="0"/>
          <w:sz w:val="18"/>
        </w:rPr>
        <w:t>5.3. El elemento subjetivo de la justificación</w:t>
        <w:tab/>
        <w:t>24</w:t>
      </w:r>
    </w:p>
    <w:p>
      <w:pPr>
        <w:tabs>
          <w:tab w:pos="9411" w:val="right" w:leader="dot"/>
        </w:tabs>
        <w:spacing w:after="30"/>
        <w:ind w:left="397"/>
      </w:pPr>
      <w:r>
        <w:rPr>
          <w:b w:val="0"/>
          <w:sz w:val="18"/>
        </w:rPr>
        <w:t>5.4. Ejemplos</w:t>
        <w:tab/>
        <w:t>24</w:t>
      </w:r>
    </w:p>
    <w:p>
      <w:pPr>
        <w:tabs>
          <w:tab w:pos="9411" w:val="right" w:leader="dot"/>
        </w:tabs>
        <w:spacing w:after="30"/>
        <w:ind w:left="397"/>
      </w:pPr>
      <w:r>
        <w:rPr>
          <w:b w:val="0"/>
          <w:sz w:val="18"/>
        </w:rPr>
        <w:t>5.5. Jurisprudencia</w:t>
        <w:tab/>
        <w:t>25</w:t>
      </w:r>
    </w:p>
    <w:p>
      <w:pPr>
        <w:tabs>
          <w:tab w:pos="9411" w:val="right" w:leader="dot"/>
        </w:tabs>
        <w:spacing w:after="60"/>
        <w:ind w:left="0"/>
      </w:pPr>
      <w:r>
        <w:rPr>
          <w:b/>
          <w:sz w:val="20"/>
        </w:rPr>
        <w:t>Capítulo 6. Sujetos y bienes defendibles. La defensa de terceros</w:t>
        <w:tab/>
        <w:t>27</w:t>
      </w:r>
    </w:p>
    <w:p>
      <w:pPr>
        <w:tabs>
          <w:tab w:pos="9411" w:val="right" w:leader="dot"/>
        </w:tabs>
        <w:spacing w:after="30"/>
        <w:ind w:left="397"/>
      </w:pPr>
      <w:r>
        <w:rPr>
          <w:b w:val="0"/>
          <w:sz w:val="18"/>
        </w:rPr>
        <w:t>6.1. Los sujetos</w:t>
        <w:tab/>
        <w:t>27</w:t>
      </w:r>
    </w:p>
    <w:p>
      <w:pPr>
        <w:tabs>
          <w:tab w:pos="9411" w:val="right" w:leader="dot"/>
        </w:tabs>
        <w:spacing w:after="30"/>
        <w:ind w:left="397"/>
      </w:pPr>
      <w:r>
        <w:rPr>
          <w:b w:val="0"/>
          <w:sz w:val="18"/>
        </w:rPr>
        <w:t>6.2. Los bienes defendibles</w:t>
        <w:tab/>
        <w:t>27</w:t>
      </w:r>
    </w:p>
    <w:p>
      <w:pPr>
        <w:tabs>
          <w:tab w:pos="9411" w:val="right" w:leader="dot"/>
        </w:tabs>
        <w:spacing w:after="30"/>
        <w:ind w:left="397"/>
      </w:pPr>
      <w:r>
        <w:rPr>
          <w:b w:val="0"/>
          <w:sz w:val="18"/>
        </w:rPr>
        <w:t>6.3. Defensa de terceros (inciso 7)</w:t>
        <w:tab/>
        <w:t>28</w:t>
      </w:r>
    </w:p>
    <w:p>
      <w:pPr>
        <w:tabs>
          <w:tab w:pos="9411" w:val="right" w:leader="dot"/>
        </w:tabs>
        <w:spacing w:after="30"/>
        <w:ind w:left="397"/>
      </w:pPr>
      <w:r>
        <w:rPr>
          <w:b w:val="0"/>
          <w:sz w:val="18"/>
        </w:rPr>
        <w:t>6.4. Ejemplos</w:t>
        <w:tab/>
        <w:t>28</w:t>
      </w:r>
    </w:p>
    <w:p>
      <w:pPr>
        <w:tabs>
          <w:tab w:pos="9411" w:val="right" w:leader="dot"/>
        </w:tabs>
        <w:spacing w:after="30"/>
        <w:ind w:left="397"/>
      </w:pPr>
      <w:r>
        <w:rPr>
          <w:b w:val="0"/>
          <w:sz w:val="18"/>
        </w:rPr>
        <w:t>6.5. Jurisprudencia</w:t>
        <w:tab/>
        <w:t>28</w:t>
      </w:r>
    </w:p>
    <w:p>
      <w:pPr>
        <w:tabs>
          <w:tab w:pos="9411" w:val="right" w:leader="dot"/>
        </w:tabs>
        <w:spacing w:after="60"/>
        <w:ind w:left="0"/>
      </w:pPr>
      <w:r>
        <w:rPr>
          <w:b/>
          <w:sz w:val="20"/>
        </w:rPr>
        <w:t>Capítulo 7. La legítima defensa «privilegiada»: presunciones del hogar</w:t>
        <w:tab/>
        <w:t>31</w:t>
      </w:r>
    </w:p>
    <w:p>
      <w:pPr>
        <w:tabs>
          <w:tab w:pos="9411" w:val="right" w:leader="dot"/>
        </w:tabs>
        <w:spacing w:after="30"/>
        <w:ind w:left="397"/>
      </w:pPr>
      <w:r>
        <w:rPr>
          <w:b w:val="0"/>
          <w:sz w:val="18"/>
        </w:rPr>
        <w:t>7.1. Los dos supuestos</w:t>
        <w:tab/>
        <w:t>31</w:t>
      </w:r>
    </w:p>
    <w:p>
      <w:pPr>
        <w:tabs>
          <w:tab w:pos="9411" w:val="right" w:leader="dot"/>
        </w:tabs>
        <w:spacing w:after="30"/>
        <w:ind w:left="397"/>
      </w:pPr>
      <w:r>
        <w:rPr>
          <w:b w:val="0"/>
          <w:sz w:val="18"/>
        </w:rPr>
        <w:t>7.2. Naturaleza de la presunción</w:t>
        <w:tab/>
        <w:t>31</w:t>
      </w:r>
    </w:p>
    <w:p>
      <w:pPr>
        <w:tabs>
          <w:tab w:pos="9411" w:val="right" w:leader="dot"/>
        </w:tabs>
        <w:spacing w:after="30"/>
        <w:ind w:left="397"/>
      </w:pPr>
      <w:r>
        <w:rPr>
          <w:b w:val="0"/>
          <w:sz w:val="18"/>
        </w:rPr>
        <w:t>7.3. Alcance de cada elemento</w:t>
        <w:tab/>
        <w:t>32</w:t>
      </w:r>
    </w:p>
    <w:p>
      <w:pPr>
        <w:tabs>
          <w:tab w:pos="9411" w:val="right" w:leader="dot"/>
        </w:tabs>
        <w:spacing w:after="30"/>
        <w:ind w:left="397"/>
      </w:pPr>
      <w:r>
        <w:rPr>
          <w:b w:val="0"/>
          <w:sz w:val="18"/>
        </w:rPr>
        <w:t>7.4. Críticas y límites constitucionales</w:t>
        <w:tab/>
        <w:t>32</w:t>
      </w:r>
    </w:p>
    <w:p>
      <w:pPr>
        <w:tabs>
          <w:tab w:pos="9411" w:val="right" w:leader="dot"/>
        </w:tabs>
        <w:spacing w:after="30"/>
        <w:ind w:left="397"/>
      </w:pPr>
      <w:r>
        <w:rPr>
          <w:b w:val="0"/>
          <w:sz w:val="18"/>
        </w:rPr>
        <w:t>7.5. Ejemplos</w:t>
        <w:tab/>
        <w:t>32</w:t>
      </w:r>
    </w:p>
    <w:p>
      <w:pPr>
        <w:tabs>
          <w:tab w:pos="9411" w:val="right" w:leader="dot"/>
        </w:tabs>
        <w:spacing w:after="30"/>
        <w:ind w:left="397"/>
      </w:pPr>
      <w:r>
        <w:rPr>
          <w:b w:val="0"/>
          <w:sz w:val="18"/>
        </w:rPr>
        <w:t>7.6. Jurisprudencia</w:t>
        <w:tab/>
        <w:t>32</w:t>
      </w:r>
    </w:p>
    <w:p>
      <w:pPr>
        <w:tabs>
          <w:tab w:pos="9411" w:val="right" w:leader="dot"/>
        </w:tabs>
        <w:spacing w:after="60"/>
        <w:ind w:left="0"/>
      </w:pPr>
      <w:r>
        <w:rPr>
          <w:b/>
          <w:sz w:val="20"/>
        </w:rPr>
        <w:t>Capítulo 8. El exceso en la defensa (art. 35)</w:t>
        <w:tab/>
        <w:t>36</w:t>
      </w:r>
    </w:p>
    <w:p>
      <w:pPr>
        <w:tabs>
          <w:tab w:pos="9411" w:val="right" w:leader="dot"/>
        </w:tabs>
        <w:spacing w:after="30"/>
        <w:ind w:left="397"/>
      </w:pPr>
      <w:r>
        <w:rPr>
          <w:b w:val="0"/>
          <w:sz w:val="18"/>
        </w:rPr>
        <w:t>8.1. Concepto y fundamento</w:t>
        <w:tab/>
        <w:t>36</w:t>
      </w:r>
    </w:p>
    <w:p>
      <w:pPr>
        <w:tabs>
          <w:tab w:pos="9411" w:val="right" w:leader="dot"/>
        </w:tabs>
        <w:spacing w:after="30"/>
        <w:ind w:left="397"/>
      </w:pPr>
      <w:r>
        <w:rPr>
          <w:b w:val="0"/>
          <w:sz w:val="18"/>
        </w:rPr>
        <w:t>8.2. Clases de exceso</w:t>
        <w:tab/>
        <w:t>36</w:t>
      </w:r>
    </w:p>
    <w:p>
      <w:pPr>
        <w:tabs>
          <w:tab w:pos="9411" w:val="right" w:leader="dot"/>
        </w:tabs>
        <w:spacing w:after="30"/>
        <w:ind w:left="397"/>
      </w:pPr>
      <w:r>
        <w:rPr>
          <w:b w:val="0"/>
          <w:sz w:val="18"/>
        </w:rPr>
        <w:t>8.3. Requisitos del exceso</w:t>
        <w:tab/>
        <w:t>36</w:t>
      </w:r>
    </w:p>
    <w:p>
      <w:pPr>
        <w:tabs>
          <w:tab w:pos="9411" w:val="right" w:leader="dot"/>
        </w:tabs>
        <w:spacing w:after="30"/>
        <w:ind w:left="397"/>
      </w:pPr>
      <w:r>
        <w:rPr>
          <w:b w:val="0"/>
          <w:sz w:val="18"/>
        </w:rPr>
        <w:t>8.4. Consecuencias punitivas</w:t>
        <w:tab/>
        <w:t>37</w:t>
      </w:r>
    </w:p>
    <w:p>
      <w:pPr>
        <w:tabs>
          <w:tab w:pos="9411" w:val="right" w:leader="dot"/>
        </w:tabs>
        <w:spacing w:after="30"/>
        <w:ind w:left="397"/>
      </w:pPr>
      <w:r>
        <w:rPr>
          <w:b w:val="0"/>
          <w:sz w:val="18"/>
        </w:rPr>
        <w:t>8.5. Controversias</w:t>
        <w:tab/>
        <w:t>37</w:t>
      </w:r>
    </w:p>
    <w:p>
      <w:pPr>
        <w:tabs>
          <w:tab w:pos="9411" w:val="right" w:leader="dot"/>
        </w:tabs>
        <w:spacing w:after="30"/>
        <w:ind w:left="397"/>
      </w:pPr>
      <w:r>
        <w:rPr>
          <w:b w:val="0"/>
          <w:sz w:val="18"/>
        </w:rPr>
        <w:t>8.6. Ejemplos</w:t>
        <w:tab/>
        <w:t>37</w:t>
      </w:r>
    </w:p>
    <w:p>
      <w:pPr>
        <w:tabs>
          <w:tab w:pos="9411" w:val="right" w:leader="dot"/>
        </w:tabs>
        <w:spacing w:after="30"/>
        <w:ind w:left="397"/>
      </w:pPr>
      <w:r>
        <w:rPr>
          <w:b w:val="0"/>
          <w:sz w:val="18"/>
        </w:rPr>
        <w:t>8.7. Jurisprudencia</w:t>
        <w:tab/>
        <w:t>37</w:t>
      </w:r>
    </w:p>
    <w:p>
      <w:pPr>
        <w:tabs>
          <w:tab w:pos="9411" w:val="right" w:leader="dot"/>
        </w:tabs>
        <w:spacing w:after="60"/>
        <w:ind w:left="0"/>
      </w:pPr>
      <w:r>
        <w:rPr>
          <w:b/>
          <w:sz w:val="20"/>
        </w:rPr>
        <w:t>Capítulo 9. Error y defensa putativa. Distinción con otras eximentes</w:t>
        <w:tab/>
        <w:t>41</w:t>
      </w:r>
    </w:p>
    <w:p>
      <w:pPr>
        <w:tabs>
          <w:tab w:pos="9411" w:val="right" w:leader="dot"/>
        </w:tabs>
        <w:spacing w:after="30"/>
        <w:ind w:left="397"/>
      </w:pPr>
      <w:r>
        <w:rPr>
          <w:b w:val="0"/>
          <w:sz w:val="18"/>
        </w:rPr>
        <w:t>9.1. La defensa putativa</w:t>
        <w:tab/>
        <w:t>41</w:t>
      </w:r>
    </w:p>
    <w:p>
      <w:pPr>
        <w:tabs>
          <w:tab w:pos="9411" w:val="right" w:leader="dot"/>
        </w:tabs>
        <w:spacing w:after="30"/>
        <w:ind w:left="397"/>
      </w:pPr>
      <w:r>
        <w:rPr>
          <w:b w:val="0"/>
          <w:sz w:val="18"/>
        </w:rPr>
        <w:t>9.2. Clases de error</w:t>
        <w:tab/>
        <w:t>41</w:t>
      </w:r>
    </w:p>
    <w:p>
      <w:pPr>
        <w:tabs>
          <w:tab w:pos="9411" w:val="right" w:leader="dot"/>
        </w:tabs>
        <w:spacing w:after="30"/>
        <w:ind w:left="397"/>
      </w:pPr>
      <w:r>
        <w:rPr>
          <w:b w:val="0"/>
          <w:sz w:val="18"/>
        </w:rPr>
        <w:t>9.3. El error sobre la magnitud o sobre la racionalidad</w:t>
        <w:tab/>
        <w:t>42</w:t>
      </w:r>
    </w:p>
    <w:p>
      <w:pPr>
        <w:tabs>
          <w:tab w:pos="9411" w:val="right" w:leader="dot"/>
        </w:tabs>
        <w:spacing w:after="30"/>
        <w:ind w:left="397"/>
      </w:pPr>
      <w:r>
        <w:rPr>
          <w:b w:val="0"/>
          <w:sz w:val="18"/>
        </w:rPr>
        <w:t>9.4. Distinción con otras eximentes</w:t>
        <w:tab/>
        <w:t>42</w:t>
      </w:r>
    </w:p>
    <w:p>
      <w:pPr>
        <w:tabs>
          <w:tab w:pos="9411" w:val="right" w:leader="dot"/>
        </w:tabs>
        <w:spacing w:after="30"/>
        <w:ind w:left="397"/>
      </w:pPr>
      <w:r>
        <w:rPr>
          <w:b w:val="0"/>
          <w:sz w:val="18"/>
        </w:rPr>
        <w:t>9.5. Ejemplos</w:t>
        <w:tab/>
        <w:t>42</w:t>
      </w:r>
    </w:p>
    <w:p>
      <w:pPr>
        <w:tabs>
          <w:tab w:pos="9411" w:val="right" w:leader="dot"/>
        </w:tabs>
        <w:spacing w:after="60"/>
        <w:ind w:left="0"/>
      </w:pPr>
      <w:r>
        <w:rPr>
          <w:b/>
          <w:sz w:val="20"/>
        </w:rPr>
        <w:t>Capítulo 10. Variantes especiales</w:t>
        <w:tab/>
        <w:t>45</w:t>
      </w:r>
    </w:p>
    <w:p>
      <w:pPr>
        <w:tabs>
          <w:tab w:pos="9411" w:val="right" w:leader="dot"/>
        </w:tabs>
        <w:spacing w:after="30"/>
        <w:ind w:left="397"/>
      </w:pPr>
      <w:r>
        <w:rPr>
          <w:b w:val="0"/>
          <w:sz w:val="18"/>
        </w:rPr>
        <w:t>10.1. Violencia de género y legítima defensa</w:t>
        <w:tab/>
        <w:t>45</w:t>
      </w:r>
    </w:p>
    <w:p>
      <w:pPr>
        <w:tabs>
          <w:tab w:pos="9411" w:val="right" w:leader="dot"/>
        </w:tabs>
        <w:spacing w:after="30"/>
        <w:ind w:left="397"/>
      </w:pPr>
      <w:r>
        <w:rPr>
          <w:b w:val="0"/>
          <w:sz w:val="18"/>
        </w:rPr>
        <w:t>10.2. Fuerzas de seguridad</w:t>
        <w:tab/>
        <w:t>46</w:t>
      </w:r>
    </w:p>
    <w:p>
      <w:pPr>
        <w:tabs>
          <w:tab w:pos="9411" w:val="right" w:leader="dot"/>
        </w:tabs>
        <w:spacing w:after="30"/>
        <w:ind w:left="397"/>
      </w:pPr>
      <w:r>
        <w:rPr>
          <w:b w:val="0"/>
          <w:sz w:val="18"/>
        </w:rPr>
        <w:t>10.3. Otras variantes</w:t>
        <w:tab/>
        <w:t>47</w:t>
      </w:r>
    </w:p>
    <w:p>
      <w:pPr>
        <w:tabs>
          <w:tab w:pos="9411" w:val="right" w:leader="dot"/>
        </w:tabs>
        <w:spacing w:after="60"/>
        <w:ind w:left="0"/>
      </w:pPr>
      <w:r>
        <w:rPr>
          <w:b/>
          <w:sz w:val="20"/>
        </w:rPr>
        <w:t>Capítulo 11. Aspectos procesales y probatorios</w:t>
        <w:tab/>
        <w:t>53</w:t>
      </w:r>
    </w:p>
    <w:p>
      <w:pPr>
        <w:tabs>
          <w:tab w:pos="9411" w:val="right" w:leader="dot"/>
        </w:tabs>
        <w:spacing w:after="30"/>
        <w:ind w:left="397"/>
      </w:pPr>
      <w:r>
        <w:rPr>
          <w:b w:val="0"/>
          <w:sz w:val="18"/>
        </w:rPr>
        <w:t>11.1. Quién debe probar y qué se prueba</w:t>
        <w:tab/>
        <w:t>53</w:t>
      </w:r>
    </w:p>
    <w:p>
      <w:pPr>
        <w:tabs>
          <w:tab w:pos="9411" w:val="right" w:leader="dot"/>
        </w:tabs>
        <w:spacing w:after="30"/>
        <w:ind w:left="397"/>
      </w:pPr>
      <w:r>
        <w:rPr>
          <w:b w:val="0"/>
          <w:sz w:val="18"/>
        </w:rPr>
        <w:t>11.2. Momentos procesales</w:t>
        <w:tab/>
        <w:t>53</w:t>
      </w:r>
    </w:p>
    <w:p>
      <w:pPr>
        <w:tabs>
          <w:tab w:pos="9411" w:val="right" w:leader="dot"/>
        </w:tabs>
        <w:spacing w:after="30"/>
        <w:ind w:left="397"/>
      </w:pPr>
      <w:r>
        <w:rPr>
          <w:b w:val="0"/>
          <w:sz w:val="18"/>
        </w:rPr>
        <w:t>11.3. Prueba típica</w:t>
        <w:tab/>
        <w:t>53</w:t>
      </w:r>
    </w:p>
    <w:p>
      <w:pPr>
        <w:tabs>
          <w:tab w:pos="9411" w:val="right" w:leader="dot"/>
        </w:tabs>
        <w:spacing w:after="30"/>
        <w:ind w:left="397"/>
      </w:pPr>
      <w:r>
        <w:rPr>
          <w:b w:val="0"/>
          <w:sz w:val="18"/>
        </w:rPr>
        <w:t>11.4. Estándares de control</w:t>
        <w:tab/>
        <w:t>54</w:t>
      </w:r>
    </w:p>
    <w:p>
      <w:pPr>
        <w:tabs>
          <w:tab w:pos="9411" w:val="right" w:leader="dot"/>
        </w:tabs>
        <w:spacing w:after="30"/>
        <w:ind w:left="397"/>
      </w:pPr>
      <w:r>
        <w:rPr>
          <w:b w:val="0"/>
          <w:sz w:val="18"/>
        </w:rPr>
        <w:t>11.4 bis. Efectos civiles</w:t>
        <w:tab/>
        <w:t>54</w:t>
      </w:r>
    </w:p>
    <w:p>
      <w:pPr>
        <w:tabs>
          <w:tab w:pos="9411" w:val="right" w:leader="dot"/>
        </w:tabs>
        <w:spacing w:after="30"/>
        <w:ind w:left="397"/>
      </w:pPr>
      <w:r>
        <w:rPr>
          <w:b w:val="0"/>
          <w:sz w:val="18"/>
        </w:rPr>
        <w:t>11.5. Lista de control del litigante</w:t>
        <w:tab/>
        <w:t>54</w:t>
      </w:r>
    </w:p>
    <w:p>
      <w:pPr>
        <w:tabs>
          <w:tab w:pos="9411" w:val="right" w:leader="dot"/>
        </w:tabs>
        <w:spacing w:after="60"/>
        <w:ind w:left="0"/>
      </w:pPr>
      <w:r>
        <w:rPr>
          <w:b/>
          <w:sz w:val="20"/>
        </w:rPr>
        <w:t>Capítulo 12. Reforma en curso y proyectos</w:t>
        <w:tab/>
        <w:t>57</w:t>
      </w:r>
    </w:p>
    <w:p>
      <w:pPr>
        <w:tabs>
          <w:tab w:pos="9411" w:val="right" w:leader="dot"/>
        </w:tabs>
        <w:spacing w:after="30"/>
        <w:ind w:left="397"/>
      </w:pPr>
      <w:r>
        <w:rPr>
          <w:b w:val="0"/>
          <w:sz w:val="18"/>
        </w:rPr>
        <w:t>12.1. Proyectos parlamentarios individuales</w:t>
        <w:tab/>
        <w:t>57</w:t>
      </w:r>
    </w:p>
    <w:p>
      <w:pPr>
        <w:tabs>
          <w:tab w:pos="9411" w:val="right" w:leader="dot"/>
        </w:tabs>
        <w:spacing w:after="30"/>
        <w:ind w:left="397"/>
      </w:pPr>
      <w:r>
        <w:rPr>
          <w:b w:val="0"/>
          <w:sz w:val="18"/>
        </w:rPr>
        <w:t>12.2. Perspectivas de análisis</w:t>
        <w:tab/>
        <w:t>57</w:t>
      </w:r>
    </w:p>
    <w:p>
      <w:pPr>
        <w:tabs>
          <w:tab w:pos="9411" w:val="right" w:leader="dot"/>
        </w:tabs>
        <w:spacing w:after="60"/>
        <w:ind w:left="0"/>
      </w:pPr>
      <w:r>
        <w:rPr>
          <w:b/>
          <w:sz w:val="20"/>
        </w:rPr>
        <w:t>Capítulo 13. Casos prácticos para la conferencia</w:t>
        <w:tab/>
        <w:t>60</w:t>
      </w:r>
    </w:p>
    <w:p>
      <w:pPr>
        <w:tabs>
          <w:tab w:pos="9411" w:val="right" w:leader="dot"/>
        </w:tabs>
        <w:spacing w:after="60"/>
        <w:ind w:left="0"/>
      </w:pPr>
      <w:r>
        <w:rPr>
          <w:b/>
          <w:sz w:val="20"/>
        </w:rPr>
        <w:t>Capítulo 14. Jurisprudencia: tabla de referencia</w:t>
        <w:tab/>
        <w:t>65</w:t>
      </w:r>
    </w:p>
    <w:p>
      <w:pPr>
        <w:tabs>
          <w:tab w:pos="9411" w:val="right" w:leader="dot"/>
        </w:tabs>
        <w:spacing w:after="60"/>
        <w:ind w:left="0"/>
      </w:pPr>
      <w:r>
        <w:rPr>
          <w:b/>
          <w:sz w:val="20"/>
        </w:rPr>
        <w:t>Capítulo 17. Herramientas de trabajo</w:t>
        <w:tab/>
        <w:t>68</w:t>
      </w:r>
    </w:p>
    <w:p>
      <w:pPr>
        <w:tabs>
          <w:tab w:pos="9411" w:val="right" w:leader="dot"/>
        </w:tabs>
        <w:spacing w:after="30"/>
        <w:ind w:left="397"/>
      </w:pPr>
      <w:r>
        <w:rPr>
          <w:b w:val="0"/>
          <w:sz w:val="18"/>
        </w:rPr>
        <w:t>17.1. Glosario</w:t>
        <w:tab/>
        <w:t>68</w:t>
      </w:r>
    </w:p>
    <w:p>
      <w:pPr>
        <w:tabs>
          <w:tab w:pos="9411" w:val="right" w:leader="dot"/>
        </w:tabs>
        <w:spacing w:after="30"/>
        <w:ind w:left="397"/>
      </w:pPr>
      <w:r>
        <w:rPr>
          <w:b w:val="0"/>
          <w:sz w:val="18"/>
        </w:rPr>
        <w:t>17.2. Derecho comparado (referencia breve)</w:t>
        <w:tab/>
        <w:t>68</w:t>
      </w:r>
    </w:p>
    <w:p>
      <w:pPr>
        <w:tabs>
          <w:tab w:pos="9411" w:val="right" w:leader="dot"/>
        </w:tabs>
        <w:spacing w:after="30"/>
        <w:ind w:left="397"/>
      </w:pPr>
      <w:r>
        <w:rPr>
          <w:b w:val="0"/>
          <w:sz w:val="18"/>
        </w:rPr>
        <w:t>17.3. Modelo de planteo en un escrito</w:t>
        <w:tab/>
        <w:t>68</w:t>
      </w:r>
    </w:p>
    <w:p>
      <w:pPr>
        <w:tabs>
          <w:tab w:pos="9411" w:val="right" w:leader="dot"/>
        </w:tabs>
        <w:spacing w:after="60"/>
        <w:ind w:left="0"/>
      </w:pPr>
      <w:r>
        <w:rPr>
          <w:b/>
          <w:sz w:val="20"/>
        </w:rPr>
        <w:t>Capítulo 15. Preguntas frecuentes y cierre</w:t>
        <w:tab/>
        <w:t>71</w:t>
      </w:r>
    </w:p>
    <w:p>
      <w:pPr>
        <w:tabs>
          <w:tab w:pos="9411" w:val="right" w:leader="dot"/>
        </w:tabs>
        <w:spacing w:after="30"/>
        <w:ind w:left="397"/>
      </w:pPr>
      <w:r>
        <w:rPr>
          <w:b w:val="0"/>
          <w:sz w:val="18"/>
        </w:rPr>
        <w:t>15.1. Preguntas que suele hacer el auditorio</w:t>
        <w:tab/>
        <w:t>71</w:t>
      </w:r>
    </w:p>
    <w:p>
      <w:pPr>
        <w:tabs>
          <w:tab w:pos="9411" w:val="right" w:leader="dot"/>
        </w:tabs>
        <w:spacing w:after="30"/>
        <w:ind w:left="397"/>
      </w:pPr>
      <w:r>
        <w:rPr>
          <w:b w:val="0"/>
          <w:sz w:val="18"/>
        </w:rPr>
        <w:t>15.2. Mensajes finales para la exposición</w:t>
        <w:tab/>
        <w:t>71</w:t>
      </w:r>
    </w:p>
    <w:p>
      <w:pPr>
        <w:tabs>
          <w:tab w:pos="9411" w:val="right" w:leader="dot"/>
        </w:tabs>
        <w:spacing w:after="60"/>
        <w:ind w:left="0"/>
      </w:pPr>
      <w:r>
        <w:rPr>
          <w:b/>
          <w:sz w:val="20"/>
        </w:rPr>
        <w:t>Capítulo 16. Bibliografía, fuentes y lista de verificación</w:t>
        <w:tab/>
        <w:t>74</w:t>
      </w:r>
    </w:p>
    <w:p>
      <w:pPr>
        <w:tabs>
          <w:tab w:pos="9411" w:val="right" w:leader="dot"/>
        </w:tabs>
        <w:spacing w:after="30"/>
        <w:ind w:left="397"/>
      </w:pPr>
      <w:r>
        <w:rPr>
          <w:b w:val="0"/>
          <w:sz w:val="18"/>
        </w:rPr>
        <w:t>16.1. Normativa</w:t>
        <w:tab/>
        <w:t>74</w:t>
      </w:r>
    </w:p>
    <w:p>
      <w:pPr>
        <w:tabs>
          <w:tab w:pos="9411" w:val="right" w:leader="dot"/>
        </w:tabs>
        <w:spacing w:after="30"/>
        <w:ind w:left="397"/>
      </w:pPr>
      <w:r>
        <w:rPr>
          <w:b w:val="0"/>
          <w:sz w:val="18"/>
        </w:rPr>
        <w:t>16.2. Doctrina (verificar edición y página antes de citar)</w:t>
        <w:tab/>
        <w:t>74</w:t>
      </w:r>
    </w:p>
    <w:p>
      <w:pPr>
        <w:tabs>
          <w:tab w:pos="9411" w:val="right" w:leader="dot"/>
        </w:tabs>
        <w:spacing w:after="30"/>
        <w:ind w:left="397"/>
      </w:pPr>
      <w:r>
        <w:rPr>
          <w:b w:val="0"/>
          <w:sz w:val="18"/>
        </w:rPr>
        <w:t>16.3. Fuentes jurisprudenciales y enlaces</w:t>
        <w:tab/>
        <w:t>74</w:t>
      </w:r>
    </w:p>
    <w:p>
      <w:pPr>
        <w:tabs>
          <w:tab w:pos="9411" w:val="right" w:leader="dot"/>
        </w:tabs>
        <w:spacing w:after="30"/>
        <w:ind w:left="397"/>
      </w:pPr>
      <w:r>
        <w:rPr>
          <w:b w:val="0"/>
          <w:sz w:val="18"/>
        </w:rPr>
        <w:t>16.4. Lista de verificación antes de la conferencia</w:t>
        <w:tab/>
        <w:t>75</w:t>
      </w:r>
    </w:p>
    <w:p>
      <w:pPr>
        <w:pStyle w:val="Heading1"/>
      </w:pPr>
      <w:r>
        <w:t>Nota previa: cómo usar este apunte y cuánto confiar en cada cita</w:t>
      </w:r>
    </w:p>
    <w:p>
      <w:pPr>
        <w:jc w:val="both"/>
      </w:pPr>
      <w:r>
        <w:t xml:space="preserve">Este apunte está pensado para estudiar y para exponer. No es un tratado: ordena el tema, advierte las discusiones abiertas y ofrece ejemplos, sumarios y filminas listos para usar. Cada capítulo sigue el mismo esquema: una </w:t>
      </w:r>
      <w:r>
        <w:rPr>
          <w:b/>
        </w:rPr>
        <w:t>ficha</w:t>
      </w:r>
      <w:r>
        <w:t xml:space="preserve"> con sujetos, normativa y elementos; el desarrollo; ejemplos y jurisprudencia; un </w:t>
      </w:r>
      <w:r>
        <w:rPr>
          <w:b/>
        </w:rPr>
        <w:t>resumen</w:t>
      </w:r>
      <w:r>
        <w:t xml:space="preserve"> del capítulo; y, al final, las </w:t>
      </w:r>
      <w:r>
        <w:rPr>
          <w:b/>
        </w:rPr>
        <w:t>filminas</w:t>
      </w:r>
      <w:r>
        <w:t xml:space="preserve"> en página apaisada.</w:t>
      </w:r>
    </w:p>
    <w:p>
      <w:pPr>
        <w:pStyle w:val="Heading2"/>
      </w:pPr>
      <w:r>
        <w:t>Semáforo de verificación de fuentes</w:t>
      </w:r>
    </w:p>
    <w:p>
      <w:pPr>
        <w:jc w:val="both"/>
      </w:pPr>
      <w:r>
        <w:t>Siguiendo el criterio de no afirmar lo que no se pudo comprobar, cada cita jurisprudencial lleva una etiqueta que indica el grado de verificación alcanzado al preparar este material (octubre de 2026):</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098"/>
            <w:shd w:val="clear" w:color="auto" w:fill="172B4D"/>
            <w:tcMar>
              <w:top w:w="50" w:type="dxa"/>
              <w:left w:w="80" w:type="dxa"/>
              <w:bottom w:w="50" w:type="dxa"/>
              <w:right w:w="80" w:type="dxa"/>
            </w:tcMar>
          </w:tcPr>
          <w:p>
            <w:pPr>
              <w:spacing w:after="0"/>
            </w:pPr>
            <w:r>
              <w:rPr>
                <w:b/>
                <w:color w:val="FFFFFF"/>
                <w:sz w:val="18"/>
              </w:rPr>
              <w:t>Etiqueta</w:t>
            </w:r>
          </w:p>
        </w:tc>
        <w:tc>
          <w:tcPr>
            <w:tcW w:type="dxa" w:w="4649"/>
            <w:shd w:val="clear" w:color="auto" w:fill="172B4D"/>
            <w:tcMar>
              <w:top w:w="50" w:type="dxa"/>
              <w:left w:w="80" w:type="dxa"/>
              <w:bottom w:w="50" w:type="dxa"/>
              <w:right w:w="80" w:type="dxa"/>
            </w:tcMar>
          </w:tcPr>
          <w:p>
            <w:pPr>
              <w:spacing w:after="0"/>
            </w:pPr>
            <w:r>
              <w:rPr>
                <w:b/>
                <w:color w:val="FFFFFF"/>
                <w:sz w:val="18"/>
              </w:rPr>
              <w:t>Significado</w:t>
            </w:r>
          </w:p>
        </w:tc>
        <w:tc>
          <w:tcPr>
            <w:tcW w:type="dxa" w:w="2665"/>
            <w:shd w:val="clear" w:color="auto" w:fill="172B4D"/>
            <w:tcMar>
              <w:top w:w="50" w:type="dxa"/>
              <w:left w:w="80" w:type="dxa"/>
              <w:bottom w:w="50" w:type="dxa"/>
              <w:right w:w="80" w:type="dxa"/>
            </w:tcMar>
          </w:tcPr>
          <w:p>
            <w:pPr>
              <w:spacing w:after="0"/>
            </w:pPr>
            <w:r>
              <w:rPr>
                <w:b/>
                <w:color w:val="FFFFFF"/>
                <w:sz w:val="18"/>
              </w:rPr>
              <w:t>Uso recomendado</w:t>
            </w:r>
          </w:p>
        </w:tc>
      </w:tr>
      <w:tr>
        <w:trPr>
          <w:cantSplit w:val="true"/>
        </w:trPr>
        <w:tc>
          <w:tcPr>
            <w:tcW w:type="dxa" w:w="209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b/>
                <w:sz w:val="18"/>
              </w:rPr>
              <w:t>VERIFICADO – oficial</w:t>
            </w:r>
          </w:p>
        </w:tc>
        <w:tc>
          <w:tcPr>
            <w:tcW w:type="dxa" w:w="4649"/>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 xml:space="preserve">El texto fue leído en la fuente oficial (InfoLEG para el Código Penal; base de la Secretaría de Jurisprudencia de la CSJN para </w:t>
            </w:r>
            <w:r>
              <w:rPr>
                <w:i/>
                <w:sz w:val="18"/>
              </w:rPr>
              <w:t>Leiva</w:t>
            </w:r>
            <w:r>
              <w:rPr>
                <w:sz w:val="18"/>
              </w:rPr>
              <w:t>).</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Citable, previa lectura de la versión completa.</w:t>
            </w:r>
          </w:p>
        </w:tc>
      </w:tr>
      <w:tr>
        <w:trPr>
          <w:cantSplit w:val="true"/>
        </w:trPr>
        <w:tc>
          <w:tcPr>
            <w:tcW w:type="dxa" w:w="209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b/>
                <w:sz w:val="18"/>
              </w:rPr>
              <w:t>VERIFICADO – sumario SAIJ</w:t>
            </w:r>
          </w:p>
        </w:tc>
        <w:tc>
          <w:tcPr>
            <w:tcW w:type="dxa" w:w="4649"/>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 xml:space="preserve">Se leyó el sumario publicado por el SAIJ (Ministerio de Justicia). El sumario recuperado </w:t>
            </w:r>
            <w:r>
              <w:rPr>
                <w:b/>
                <w:sz w:val="18"/>
              </w:rPr>
              <w:t>no identifica el tribunal ni la carátula</w:t>
            </w:r>
            <w:r>
              <w:rPr>
                <w:sz w:val="18"/>
              </w:rPr>
              <w:t>; solo fecha y código SAIJ.</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Antes de citarlo en un escrito o en la conferencia, abrir el sumario en saij.gob.ar y completar tribunal y carátula.</w:t>
            </w:r>
          </w:p>
        </w:tc>
      </w:tr>
      <w:tr>
        <w:trPr>
          <w:cantSplit w:val="true"/>
        </w:trPr>
        <w:tc>
          <w:tcPr>
            <w:tcW w:type="dxa" w:w="209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b/>
                <w:sz w:val="18"/>
              </w:rPr>
              <w:t>A CONFIRMAR</w:t>
            </w:r>
          </w:p>
        </w:tc>
        <w:tc>
          <w:tcPr>
            <w:tcW w:type="dxa" w:w="4649"/>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Dato obtenido de notas a fallo, repositorios académicos o prensa. No se accedió al texto íntegro de la sentencia.</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No citar como precedente sin confirmar en la fuente primaria (p. ej., base del Poder Judicial de Córdoba).</w:t>
            </w:r>
          </w:p>
        </w:tc>
      </w:tr>
      <w:tr>
        <w:trPr>
          <w:cantSplit w:val="true"/>
        </w:trPr>
        <w:tc>
          <w:tcPr>
            <w:tcW w:type="dxa" w:w="209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b/>
                <w:sz w:val="18"/>
              </w:rPr>
              <w:t>DOCTRINA – verificar edición</w:t>
            </w:r>
          </w:p>
        </w:tc>
        <w:tc>
          <w:tcPr>
            <w:tcW w:type="dxa" w:w="4649"/>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Obra real y de referencia en la materia, mencionada a nivel de autor y título. No se consignan páginas porque no se pudo cotejar la edición.</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Completar edición, año y página antes de citar textualmente.</w:t>
            </w:r>
          </w:p>
        </w:tc>
      </w:tr>
    </w:tbl>
    <w:p>
      <w:pPr>
        <w:spacing w:after="60"/>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ECEC"/>
            <w:tcBorders>
              <w:top w:val="single" w:sz="4" w:color="A83232" w:space="0"/>
              <w:left w:val="single" w:sz="24" w:color="A83232" w:space="0"/>
              <w:bottom w:val="single" w:sz="4" w:color="A83232" w:space="0"/>
              <w:right w:val="single" w:sz="4" w:color="A83232" w:space="0"/>
            </w:tcBorders>
            <w:tcMar>
              <w:top w:w="80" w:type="dxa"/>
              <w:left w:w="160" w:type="dxa"/>
              <w:bottom w:w="80" w:type="dxa"/>
              <w:right w:w="140" w:type="dxa"/>
            </w:tcMar>
          </w:tcPr>
          <w:p>
            <w:pPr>
              <w:spacing w:after="60"/>
            </w:pPr>
            <w:r>
              <w:rPr>
                <w:b/>
                <w:color w:val="A83232"/>
                <w:sz w:val="21"/>
              </w:rPr>
              <w:t>Alerta sobre vigencia</w:t>
            </w:r>
          </w:p>
          <w:p>
            <w:pPr>
              <w:spacing w:after="50"/>
              <w:ind w:left="255" w:hanging="255"/>
              <w:jc w:val="both"/>
            </w:pPr>
            <w:r>
              <w:rPr>
                <w:sz w:val="20"/>
              </w:rPr>
              <w:t xml:space="preserve">•  El Código Penal analizado es el texto vigente (Ley 11.179). En octubre de 2026 la prensa informa que el Poder Ejecutivo prepara una </w:t>
            </w:r>
            <w:r>
              <w:rPr>
                <w:b/>
                <w:sz w:val="20"/>
              </w:rPr>
              <w:t>reforma integral</w:t>
            </w:r>
            <w:r>
              <w:rPr>
                <w:sz w:val="20"/>
              </w:rPr>
              <w:t xml:space="preserve"> que tocaría la legítima defensa, pero </w:t>
            </w:r>
            <w:r>
              <w:rPr>
                <w:b/>
                <w:sz w:val="20"/>
              </w:rPr>
              <w:t>no consta que haya sido enviada al Congreso ni sancionada</w:t>
            </w:r>
            <w:r>
              <w:rPr>
                <w:sz w:val="20"/>
              </w:rPr>
              <w:t xml:space="preserve"> (ver capítulo 12). Conviene reverificar el estado del proyecto el día de la conferencia.</w:t>
            </w:r>
          </w:p>
          <w:p>
            <w:pPr>
              <w:spacing w:after="50"/>
              <w:ind w:left="255" w:hanging="255"/>
              <w:jc w:val="both"/>
            </w:pPr>
            <w:r>
              <w:rPr>
                <w:sz w:val="20"/>
              </w:rPr>
              <w:t xml:space="preserve">•  Los casos prácticos del capítulo 13 son </w:t>
            </w:r>
            <w:r>
              <w:rPr>
                <w:b/>
                <w:sz w:val="20"/>
              </w:rPr>
              <w:t>hipotéticos</w:t>
            </w:r>
            <w:r>
              <w:rPr>
                <w:sz w:val="20"/>
              </w:rPr>
              <w:t>, creados para la exposición. No son jurisprudencia.</w:t>
            </w:r>
          </w:p>
        </w:tc>
      </w:tr>
    </w:tbl>
    <w:p>
      <w:pPr>
        <w:spacing w:after="40" w:line="120" w:lineRule="auto"/>
      </w:pPr>
    </w:p>
    <w:p>
      <w:pPr>
        <w:spacing w:after="40"/>
        <w:jc w:val="both"/>
      </w:pPr>
      <w:r>
        <w:t>Todo el contenido está redactado para un auditorio de abogados y magistrados. Las posiciones doctrinarias se presentan como tales; cuando la doctrina o la jurisprudencia se dividen, se exponen las alternativas y se indica cuál es la más difundida, sin pretender cerrar la discusión.</w:t>
      </w:r>
    </w:p>
    <w:p>
      <w:pPr>
        <w:pStyle w:val="Heading1"/>
      </w:pPr>
      <w:r>
        <w:t>Guía rápida de la conferencia</w:t>
      </w:r>
    </w:p>
    <w:p>
      <w:pPr>
        <w:jc w:val="both"/>
      </w:pPr>
      <w:r>
        <w:t xml:space="preserve">Propuesta de esquema para una exposición de </w:t>
      </w:r>
      <w:r>
        <w:rPr>
          <w:b/>
        </w:rPr>
        <w:t>75 minutos</w:t>
      </w:r>
      <w:r>
        <w:t xml:space="preserve"> (60 de exposición y 15 de preguntas). Puede comprimirse a 45 minutos omitiendo los bloques marcados como optativos.</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907"/>
            <w:shd w:val="clear" w:color="auto" w:fill="172B4D"/>
            <w:tcMar>
              <w:top w:w="50" w:type="dxa"/>
              <w:left w:w="80" w:type="dxa"/>
              <w:bottom w:w="50" w:type="dxa"/>
              <w:right w:w="80" w:type="dxa"/>
            </w:tcMar>
          </w:tcPr>
          <w:p>
            <w:pPr>
              <w:spacing w:after="0"/>
            </w:pPr>
            <w:r>
              <w:rPr>
                <w:b/>
                <w:color w:val="FFFFFF"/>
                <w:sz w:val="18"/>
              </w:rPr>
              <w:t>Min.</w:t>
            </w:r>
          </w:p>
        </w:tc>
        <w:tc>
          <w:tcPr>
            <w:tcW w:type="dxa" w:w="2835"/>
            <w:shd w:val="clear" w:color="auto" w:fill="172B4D"/>
            <w:tcMar>
              <w:top w:w="50" w:type="dxa"/>
              <w:left w:w="80" w:type="dxa"/>
              <w:bottom w:w="50" w:type="dxa"/>
              <w:right w:w="80" w:type="dxa"/>
            </w:tcMar>
          </w:tcPr>
          <w:p>
            <w:pPr>
              <w:spacing w:after="0"/>
            </w:pPr>
            <w:r>
              <w:rPr>
                <w:b/>
                <w:color w:val="FFFFFF"/>
                <w:sz w:val="18"/>
              </w:rPr>
              <w:t>Bloque</w:t>
            </w:r>
          </w:p>
        </w:tc>
        <w:tc>
          <w:tcPr>
            <w:tcW w:type="dxa" w:w="2381"/>
            <w:shd w:val="clear" w:color="auto" w:fill="172B4D"/>
            <w:tcMar>
              <w:top w:w="50" w:type="dxa"/>
              <w:left w:w="80" w:type="dxa"/>
              <w:bottom w:w="50" w:type="dxa"/>
              <w:right w:w="80" w:type="dxa"/>
            </w:tcMar>
          </w:tcPr>
          <w:p>
            <w:pPr>
              <w:spacing w:after="0"/>
            </w:pPr>
            <w:r>
              <w:rPr>
                <w:b/>
                <w:color w:val="FFFFFF"/>
                <w:sz w:val="18"/>
              </w:rPr>
              <w:t>Capítulos / filminas</w:t>
            </w:r>
          </w:p>
        </w:tc>
        <w:tc>
          <w:tcPr>
            <w:tcW w:type="dxa" w:w="3288"/>
            <w:shd w:val="clear" w:color="auto" w:fill="172B4D"/>
            <w:tcMar>
              <w:top w:w="50" w:type="dxa"/>
              <w:left w:w="80" w:type="dxa"/>
              <w:bottom w:w="50" w:type="dxa"/>
              <w:right w:w="80" w:type="dxa"/>
            </w:tcMar>
          </w:tcPr>
          <w:p>
            <w:pPr>
              <w:spacing w:after="0"/>
            </w:pPr>
            <w:r>
              <w:rPr>
                <w:b/>
                <w:color w:val="FFFFFF"/>
                <w:sz w:val="18"/>
              </w:rPr>
              <w:t>Idea fuerza</w:t>
            </w:r>
          </w:p>
        </w:tc>
      </w:tr>
      <w:tr>
        <w:trPr>
          <w:cantSplit w:val="true"/>
        </w:trPr>
        <w:tc>
          <w:tcPr>
            <w:tcW w:type="dxa" w:w="907"/>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0–5</w:t>
            </w:r>
          </w:p>
        </w:tc>
        <w:tc>
          <w:tcPr>
            <w:tcW w:type="dxa" w:w="283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Apertura con un caso</w:t>
            </w:r>
          </w:p>
        </w:tc>
        <w:tc>
          <w:tcPr>
            <w:tcW w:type="dxa" w:w="238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Filmina 1 y caso 1 (cap. 13)</w:t>
            </w:r>
          </w:p>
        </w:tc>
        <w:tc>
          <w:tcPr>
            <w:tcW w:type="dxa" w:w="328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 xml:space="preserve">Una defensa legítima se juzga siempre </w:t>
            </w:r>
            <w:r>
              <w:rPr>
                <w:i/>
                <w:sz w:val="18"/>
              </w:rPr>
              <w:t>después</w:t>
            </w:r>
            <w:r>
              <w:rPr>
                <w:sz w:val="18"/>
              </w:rPr>
              <w:t>, con calma; se vivió en segundos.</w:t>
            </w:r>
          </w:p>
        </w:tc>
      </w:tr>
      <w:tr>
        <w:trPr>
          <w:cantSplit w:val="true"/>
        </w:trPr>
        <w:tc>
          <w:tcPr>
            <w:tcW w:type="dxa" w:w="907"/>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5–15</w:t>
            </w:r>
          </w:p>
        </w:tc>
        <w:tc>
          <w:tcPr>
            <w:tcW w:type="dxa" w:w="283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Concepto, fundamento y texto legal</w:t>
            </w:r>
          </w:p>
        </w:tc>
        <w:tc>
          <w:tcPr>
            <w:tcW w:type="dxa" w:w="238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Cap. 1–2</w:t>
            </w:r>
          </w:p>
        </w:tc>
        <w:tc>
          <w:tcPr>
            <w:tcW w:type="dxa" w:w="328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Art. 34, incs. 6 y 7 y art. 35: tres requisitos y un régimen de exceso.</w:t>
            </w:r>
          </w:p>
        </w:tc>
      </w:tr>
      <w:tr>
        <w:trPr>
          <w:cantSplit w:val="true"/>
        </w:trPr>
        <w:tc>
          <w:tcPr>
            <w:tcW w:type="dxa" w:w="907"/>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15–35</w:t>
            </w:r>
          </w:p>
        </w:tc>
        <w:tc>
          <w:tcPr>
            <w:tcW w:type="dxa" w:w="283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Los tres requisitos</w:t>
            </w:r>
          </w:p>
        </w:tc>
        <w:tc>
          <w:tcPr>
            <w:tcW w:type="dxa" w:w="238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Cap. 3–5</w:t>
            </w:r>
          </w:p>
        </w:tc>
        <w:tc>
          <w:tcPr>
            <w:tcW w:type="dxa" w:w="328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La agresión debe ser real, actual e ilegítima; la defensa, necesaria y racional.</w:t>
            </w:r>
          </w:p>
        </w:tc>
      </w:tr>
      <w:tr>
        <w:trPr>
          <w:cantSplit w:val="true"/>
        </w:trPr>
        <w:tc>
          <w:tcPr>
            <w:tcW w:type="dxa" w:w="907"/>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35–45</w:t>
            </w:r>
          </w:p>
        </w:tc>
        <w:tc>
          <w:tcPr>
            <w:tcW w:type="dxa" w:w="283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Defensa de terceros y privilegiada</w:t>
            </w:r>
          </w:p>
        </w:tc>
        <w:tc>
          <w:tcPr>
            <w:tcW w:type="dxa" w:w="238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Cap. 6–7</w:t>
            </w:r>
          </w:p>
        </w:tc>
        <w:tc>
          <w:tcPr>
            <w:tcW w:type="dxa" w:w="328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La presunción del hogar no es una licencia para matar.</w:t>
            </w:r>
          </w:p>
        </w:tc>
      </w:tr>
      <w:tr>
        <w:trPr>
          <w:cantSplit w:val="true"/>
        </w:trPr>
        <w:tc>
          <w:tcPr>
            <w:tcW w:type="dxa" w:w="907"/>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45–55</w:t>
            </w:r>
          </w:p>
        </w:tc>
        <w:tc>
          <w:tcPr>
            <w:tcW w:type="dxa" w:w="283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Exceso y error</w:t>
            </w:r>
          </w:p>
        </w:tc>
        <w:tc>
          <w:tcPr>
            <w:tcW w:type="dxa" w:w="238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Cap. 8–9</w:t>
            </w:r>
          </w:p>
        </w:tc>
        <w:tc>
          <w:tcPr>
            <w:tcW w:type="dxa" w:w="328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Entre la defensa y el delito hay una escala graduada.</w:t>
            </w:r>
          </w:p>
        </w:tc>
      </w:tr>
      <w:tr>
        <w:trPr>
          <w:cantSplit w:val="true"/>
        </w:trPr>
        <w:tc>
          <w:tcPr>
            <w:tcW w:type="dxa" w:w="907"/>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55–65</w:t>
            </w:r>
          </w:p>
        </w:tc>
        <w:tc>
          <w:tcPr>
            <w:tcW w:type="dxa" w:w="283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Variantes: género y fuerzas de seguridad (optativo: hogar, ofendículos, riña)</w:t>
            </w:r>
          </w:p>
        </w:tc>
        <w:tc>
          <w:tcPr>
            <w:tcW w:type="dxa" w:w="238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Cap. 10</w:t>
            </w:r>
          </w:p>
        </w:tc>
        <w:tc>
          <w:tcPr>
            <w:tcW w:type="dxa" w:w="328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i/>
                <w:sz w:val="18"/>
              </w:rPr>
              <w:t>Leiva</w:t>
            </w:r>
            <w:r>
              <w:rPr>
                <w:sz w:val="18"/>
              </w:rPr>
              <w:t xml:space="preserve"> cambió la manera de valorar la prueba.</w:t>
            </w:r>
          </w:p>
        </w:tc>
      </w:tr>
      <w:tr>
        <w:trPr>
          <w:cantSplit w:val="true"/>
        </w:trPr>
        <w:tc>
          <w:tcPr>
            <w:tcW w:type="dxa" w:w="907"/>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65–70</w:t>
            </w:r>
          </w:p>
        </w:tc>
        <w:tc>
          <w:tcPr>
            <w:tcW w:type="dxa" w:w="283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Proceso, prueba y reforma</w:t>
            </w:r>
          </w:p>
        </w:tc>
        <w:tc>
          <w:tcPr>
            <w:tcW w:type="dxa" w:w="238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Cap. 11–12</w:t>
            </w:r>
          </w:p>
        </w:tc>
        <w:tc>
          <w:tcPr>
            <w:tcW w:type="dxa" w:w="328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Quién prueba, cómo se prueba y qué puede cambiar la ley.</w:t>
            </w:r>
          </w:p>
        </w:tc>
      </w:tr>
      <w:tr>
        <w:trPr>
          <w:cantSplit w:val="true"/>
        </w:trPr>
        <w:tc>
          <w:tcPr>
            <w:tcW w:type="dxa" w:w="907"/>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70–75</w:t>
            </w:r>
          </w:p>
        </w:tc>
        <w:tc>
          <w:tcPr>
            <w:tcW w:type="dxa" w:w="283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Cierre</w:t>
            </w:r>
          </w:p>
        </w:tc>
        <w:tc>
          <w:tcPr>
            <w:tcW w:type="dxa" w:w="238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Cap. 15</w:t>
            </w:r>
          </w:p>
        </w:tc>
        <w:tc>
          <w:tcPr>
            <w:tcW w:type="dxa" w:w="328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Mensaje final y preguntas.</w:t>
            </w:r>
          </w:p>
        </w:tc>
      </w:tr>
    </w:tbl>
    <w:p>
      <w:pPr>
        <w:spacing w:after="60"/>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Consejos de exposición</w:t>
            </w:r>
          </w:p>
          <w:p>
            <w:pPr>
              <w:spacing w:after="50"/>
              <w:ind w:left="255" w:hanging="255"/>
              <w:jc w:val="both"/>
            </w:pPr>
            <w:r>
              <w:rPr>
                <w:sz w:val="20"/>
              </w:rPr>
              <w:t>•  Empezar por un caso y recién después por la norma: el auditorio recuerda mejor lo que primero imaginó.</w:t>
            </w:r>
          </w:p>
          <w:p>
            <w:pPr>
              <w:spacing w:after="50"/>
              <w:ind w:left="255" w:hanging="255"/>
              <w:jc w:val="both"/>
            </w:pPr>
            <w:r>
              <w:rPr>
                <w:sz w:val="20"/>
              </w:rPr>
              <w:t xml:space="preserve">•  Presentar cada requisito con un ejemplo que </w:t>
            </w:r>
            <w:r>
              <w:rPr>
                <w:b/>
                <w:sz w:val="20"/>
              </w:rPr>
              <w:t>sí</w:t>
            </w:r>
            <w:r>
              <w:rPr>
                <w:sz w:val="20"/>
              </w:rPr>
              <w:t xml:space="preserve"> lo cumple y otro que </w:t>
            </w:r>
            <w:r>
              <w:rPr>
                <w:b/>
                <w:sz w:val="20"/>
              </w:rPr>
              <w:t>no</w:t>
            </w:r>
            <w:r>
              <w:rPr>
                <w:sz w:val="20"/>
              </w:rPr>
              <w:t>.</w:t>
            </w:r>
          </w:p>
          <w:p>
            <w:pPr>
              <w:spacing w:after="50"/>
              <w:ind w:left="255" w:hanging="255"/>
              <w:jc w:val="both"/>
            </w:pPr>
            <w:r>
              <w:rPr>
                <w:sz w:val="20"/>
              </w:rPr>
              <w:t>•  Reservar los 10 últimos minutos para el caso práctico del capítulo 13 elegido por el público (votar con mano alzada).</w:t>
            </w:r>
          </w:p>
          <w:p>
            <w:pPr>
              <w:spacing w:after="50"/>
              <w:ind w:left="255" w:hanging="255"/>
              <w:jc w:val="both"/>
            </w:pPr>
            <w:r>
              <w:rPr>
                <w:sz w:val="20"/>
              </w:rPr>
              <w:t xml:space="preserve">•  Anticipar la pregunta inevitable: </w:t>
            </w:r>
            <w:r>
              <w:rPr>
                <w:i/>
                <w:sz w:val="20"/>
              </w:rPr>
              <w:t>¿y si entran a mi casa?</w:t>
            </w:r>
            <w:r>
              <w:rPr>
                <w:sz w:val="20"/>
              </w:rPr>
              <w:t xml:space="preserve"> La respuesta está en el capítulo 7.</w:t>
            </w:r>
          </w:p>
        </w:tc>
      </w:tr>
    </w:tbl>
    <w:p>
      <w:pPr>
        <w:spacing w:after="40" w:line="120" w:lineRule="auto"/>
      </w:pPr>
    </w:p>
    <w:p>
      <w:pPr>
        <w:pStyle w:val="Heading1"/>
      </w:pPr>
      <w:r>
        <w:t>Capítulo 1. Marco general y fundamento</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2F5F9"/>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Ficha del tema</w:t>
            </w:r>
          </w:p>
          <w:p>
            <w:pPr>
              <w:spacing w:after="50"/>
              <w:ind w:left="255" w:hanging="255"/>
              <w:jc w:val="both"/>
            </w:pPr>
            <w:r>
              <w:rPr>
                <w:sz w:val="20"/>
              </w:rPr>
              <w:t xml:space="preserve">•  </w:t>
            </w:r>
            <w:r>
              <w:rPr>
                <w:b/>
                <w:sz w:val="20"/>
              </w:rPr>
              <w:t>Sujetos:</w:t>
            </w:r>
            <w:r>
              <w:rPr>
                <w:sz w:val="20"/>
              </w:rPr>
              <w:t xml:space="preserve"> el agredido o defensor; el agresor; el tercero que defiende (inc. 7); el Estado, a través del juez que valora la conducta.</w:t>
            </w:r>
          </w:p>
          <w:p>
            <w:pPr>
              <w:spacing w:after="50"/>
              <w:ind w:left="255" w:hanging="255"/>
              <w:jc w:val="both"/>
            </w:pPr>
            <w:r>
              <w:rPr>
                <w:sz w:val="20"/>
              </w:rPr>
              <w:t xml:space="preserve">•  </w:t>
            </w:r>
            <w:r>
              <w:rPr>
                <w:b/>
                <w:sz w:val="20"/>
              </w:rPr>
              <w:t>Normativa:</w:t>
            </w:r>
            <w:r>
              <w:rPr>
                <w:sz w:val="20"/>
              </w:rPr>
              <w:t xml:space="preserve"> Código Penal, art. 34, incs. 6 y 7, y art. 35; Constitución Nacional, art. 18 (inocencia, defensa en juicio) y art. 19 (reserva); Código Civil y Comercial, art. 1718, inc. b (efectos civiles).</w:t>
            </w:r>
          </w:p>
          <w:p>
            <w:pPr>
              <w:spacing w:after="50"/>
              <w:ind w:left="255" w:hanging="255"/>
              <w:jc w:val="both"/>
            </w:pPr>
            <w:r>
              <w:rPr>
                <w:sz w:val="20"/>
              </w:rPr>
              <w:t xml:space="preserve">•  </w:t>
            </w:r>
            <w:r>
              <w:rPr>
                <w:b/>
                <w:sz w:val="20"/>
              </w:rPr>
              <w:t>Elementos clave:</w:t>
            </w:r>
            <w:r>
              <w:rPr>
                <w:sz w:val="20"/>
              </w:rPr>
              <w:t xml:space="preserve"> agresión ilegítima; necesidad racional del medio; falta de provocación suficiente; voluntad de defensa.</w:t>
            </w:r>
          </w:p>
        </w:tc>
      </w:tr>
    </w:tbl>
    <w:p>
      <w:pPr>
        <w:spacing w:after="40" w:line="120" w:lineRule="auto"/>
      </w:pPr>
    </w:p>
    <w:p>
      <w:pPr>
        <w:pStyle w:val="Heading2"/>
      </w:pPr>
      <w:r>
        <w:t>1.1. Concepto</w:t>
      </w:r>
    </w:p>
    <w:p>
      <w:pPr>
        <w:jc w:val="both"/>
      </w:pPr>
      <w:r>
        <w:t xml:space="preserve">La legítima defensa es la facultad de quien, frente a una agresión ilegítima, impide o repele esa agresión mediante una conducta necesaria y racional, aunque con ella lesione bienes del agresor. El ordenamiento no le exige soportar lo injusto ni abandonar el lugar: le reconoce un </w:t>
      </w:r>
      <w:r>
        <w:rPr>
          <w:b/>
        </w:rPr>
        <w:t>permiso</w:t>
      </w:r>
      <w:r>
        <w:t xml:space="preserve"> para defender un bien jurídico propio o ajeno.</w:t>
      </w:r>
    </w:p>
    <w:p>
      <w:pPr>
        <w:jc w:val="both"/>
      </w:pPr>
      <w:r>
        <w:t>El Código Penal argentino no la define. Describe sus circunstancias en el art. 34, inc. 6, y la extiende a la defensa de terceros en el inc. 7. De ahí que la doctrina trabaje con tres requisitos objetivos (agresión ilegítima, necesidad racional del medio y falta de provocación suficiente) y, además, con un requisito subjetivo que la teoría del delito exige a las causas de justificación: el conocimiento de la situación de defensa y la voluntad de defenderse (ver capítulo 5).</w:t>
      </w:r>
    </w:p>
    <w:p>
      <w:pPr>
        <w:pStyle w:val="Heading2"/>
      </w:pPr>
      <w:r>
        <w:t>1.2. Ubicación en la teoría del delito</w:t>
      </w:r>
    </w:p>
    <w:p>
      <w:pPr>
        <w:jc w:val="both"/>
      </w:pPr>
      <w:r>
        <w:t xml:space="preserve">En la estructura del delito (conducta típica, antijurídica y culpable), la legítima defensa opera en el segundo nivel. Es una </w:t>
      </w:r>
      <w:r>
        <w:rPr>
          <w:b/>
        </w:rPr>
        <w:t>causa de justificación</w:t>
      </w:r>
      <w:r>
        <w:t>: el hecho, que es típico (matar, lesionar, dañar), no es contrario a derecho porque el ordenamiento lo permite en esas circunstancias. La consecuencia práctica es de fondo:</w:t>
      </w:r>
    </w:p>
    <w:p>
      <w:pPr>
        <w:spacing w:after="50"/>
        <w:ind w:left="595" w:hanging="255"/>
        <w:jc w:val="both"/>
      </w:pPr>
      <w:r>
        <w:t xml:space="preserve">•  La conducta justificada es </w:t>
      </w:r>
      <w:r>
        <w:rPr>
          <w:b/>
        </w:rPr>
        <w:t>lícita</w:t>
      </w:r>
      <w:r>
        <w:t>: contra ella no cabe a su vez legítima defensa.</w:t>
      </w:r>
    </w:p>
    <w:p>
      <w:pPr>
        <w:spacing w:after="50"/>
        <w:ind w:left="595" w:hanging="255"/>
        <w:jc w:val="both"/>
      </w:pPr>
      <w:r>
        <w:t>•  Los partícipes y quienes ayudan al defensor también quedan amparados, porque lo justificado es el hecho y no solo la persona.</w:t>
      </w:r>
    </w:p>
    <w:p>
      <w:pPr>
        <w:spacing w:after="50"/>
        <w:ind w:left="595" w:hanging="255"/>
        <w:jc w:val="both"/>
      </w:pPr>
      <w:r>
        <w:t>•  No procede medida de seguridad ni consecuencia penal alguna, y el hecho no puede computarse como antecedente.</w:t>
      </w:r>
    </w:p>
    <w:p>
      <w:pPr>
        <w:spacing w:after="50"/>
        <w:ind w:left="595" w:hanging="255"/>
        <w:jc w:val="both"/>
      </w:pPr>
      <w:r>
        <w:t>•  En sede civil, el daño causado no es en principio indemnizable por el defensor frente al agresor (art. 1718, inc. b, CCyC); ver 1.5.</w:t>
      </w:r>
    </w:p>
    <w:p>
      <w:pPr>
        <w:jc w:val="both"/>
      </w:pPr>
      <w:r>
        <w:t xml:space="preserve">El art. 34 del Código Penal reúne bajo la fórmula «No son punibles» supuestos heterogéneos: inimputabilidad (inc. 1), coacción y necesidad exculpante (inc. 2), estado de necesidad (inc. 3), cumplimiento de un deber y ejercicio de un derecho (inc. 4), obediencia debida (inc. 5) y legítima defensa (incs. 6 y 7). La doctrina más difundida distingue entre causas de justificación, de inculpabilidad y de inimputabilidad, y ubica la legítima defensa entre las primeras (ver Zaffaroni–Alagia–Slokar, Soler, Núñez y Creus; </w:t>
      </w:r>
      <w:r>
        <w:rPr>
          <w:b/>
        </w:rPr>
        <w:t>DOCTRINA – verificar edición</w:t>
      </w:r>
      <w:r>
        <w:t>).</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984"/>
            <w:shd w:val="clear" w:color="auto" w:fill="172B4D"/>
            <w:tcMar>
              <w:top w:w="50" w:type="dxa"/>
              <w:left w:w="80" w:type="dxa"/>
              <w:bottom w:w="50" w:type="dxa"/>
              <w:right w:w="80" w:type="dxa"/>
            </w:tcMar>
          </w:tcPr>
          <w:p>
            <w:pPr>
              <w:spacing w:after="0"/>
            </w:pPr>
            <w:r>
              <w:rPr>
                <w:b/>
                <w:color w:val="FFFFFF"/>
                <w:sz w:val="18"/>
              </w:rPr>
              <w:t>Categoría</w:t>
            </w:r>
          </w:p>
        </w:tc>
        <w:tc>
          <w:tcPr>
            <w:tcW w:type="dxa" w:w="2268"/>
            <w:shd w:val="clear" w:color="auto" w:fill="172B4D"/>
            <w:tcMar>
              <w:top w:w="50" w:type="dxa"/>
              <w:left w:w="80" w:type="dxa"/>
              <w:bottom w:w="50" w:type="dxa"/>
              <w:right w:w="80" w:type="dxa"/>
            </w:tcMar>
          </w:tcPr>
          <w:p>
            <w:pPr>
              <w:spacing w:after="0"/>
            </w:pPr>
            <w:r>
              <w:rPr>
                <w:b/>
                <w:color w:val="FFFFFF"/>
                <w:sz w:val="18"/>
              </w:rPr>
              <w:t>Qué excluye</w:t>
            </w:r>
          </w:p>
        </w:tc>
        <w:tc>
          <w:tcPr>
            <w:tcW w:type="dxa" w:w="2381"/>
            <w:shd w:val="clear" w:color="auto" w:fill="172B4D"/>
            <w:tcMar>
              <w:top w:w="50" w:type="dxa"/>
              <w:left w:w="80" w:type="dxa"/>
              <w:bottom w:w="50" w:type="dxa"/>
              <w:right w:w="80" w:type="dxa"/>
            </w:tcMar>
          </w:tcPr>
          <w:p>
            <w:pPr>
              <w:spacing w:after="0"/>
            </w:pPr>
            <w:r>
              <w:rPr>
                <w:b/>
                <w:color w:val="FFFFFF"/>
                <w:sz w:val="18"/>
              </w:rPr>
              <w:t>Ejemplos en el art. 34</w:t>
            </w:r>
          </w:p>
        </w:tc>
        <w:tc>
          <w:tcPr>
            <w:tcW w:type="dxa" w:w="2778"/>
            <w:shd w:val="clear" w:color="auto" w:fill="172B4D"/>
            <w:tcMar>
              <w:top w:w="50" w:type="dxa"/>
              <w:left w:w="80" w:type="dxa"/>
              <w:bottom w:w="50" w:type="dxa"/>
              <w:right w:w="80" w:type="dxa"/>
            </w:tcMar>
          </w:tcPr>
          <w:p>
            <w:pPr>
              <w:spacing w:after="0"/>
            </w:pPr>
            <w:r>
              <w:rPr>
                <w:b/>
                <w:color w:val="FFFFFF"/>
                <w:sz w:val="18"/>
              </w:rPr>
              <w:t>Efecto para terceros</w:t>
            </w:r>
          </w:p>
        </w:tc>
      </w:tr>
      <w:tr>
        <w:trPr>
          <w:cantSplit w:val="true"/>
        </w:trPr>
        <w:tc>
          <w:tcPr>
            <w:tcW w:type="dxa" w:w="198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Causa de justificación</w:t>
            </w:r>
          </w:p>
        </w:tc>
        <w:tc>
          <w:tcPr>
            <w:tcW w:type="dxa" w:w="226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La antijuridicidad: el hecho está permitido</w:t>
            </w:r>
          </w:p>
        </w:tc>
        <w:tc>
          <w:tcPr>
            <w:tcW w:type="dxa" w:w="238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Incs. 3, 4, 6 y 7</w:t>
            </w:r>
          </w:p>
        </w:tc>
        <w:tc>
          <w:tcPr>
            <w:tcW w:type="dxa" w:w="277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El hecho es lícito: alcanza a los partícipes; no admite defensa contra él</w:t>
            </w:r>
          </w:p>
        </w:tc>
      </w:tr>
      <w:tr>
        <w:trPr>
          <w:cantSplit w:val="true"/>
        </w:trPr>
        <w:tc>
          <w:tcPr>
            <w:tcW w:type="dxa" w:w="198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Causa de inculpabilidad (o exculpación)</w:t>
            </w:r>
          </w:p>
        </w:tc>
        <w:tc>
          <w:tcPr>
            <w:tcW w:type="dxa" w:w="226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La reprochabilidad personal</w:t>
            </w:r>
          </w:p>
        </w:tc>
        <w:tc>
          <w:tcPr>
            <w:tcW w:type="dxa" w:w="238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Incs. 2 y 5; error no imputable (inc. 1)</w:t>
            </w:r>
          </w:p>
        </w:tc>
        <w:tc>
          <w:tcPr>
            <w:tcW w:type="dxa" w:w="277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El hecho sigue siendo antijurídico; cabe defensa contra él y no alcanza automáticamente a otros</w:t>
            </w:r>
          </w:p>
        </w:tc>
      </w:tr>
      <w:tr>
        <w:trPr>
          <w:cantSplit w:val="true"/>
        </w:trPr>
        <w:tc>
          <w:tcPr>
            <w:tcW w:type="dxa" w:w="198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Inimputabilidad</w:t>
            </w:r>
          </w:p>
        </w:tc>
        <w:tc>
          <w:tcPr>
            <w:tcW w:type="dxa" w:w="226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La capacidad de culpabilidad</w:t>
            </w:r>
          </w:p>
        </w:tc>
        <w:tc>
          <w:tcPr>
            <w:tcW w:type="dxa" w:w="238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Inc. 1</w:t>
            </w:r>
          </w:p>
        </w:tc>
        <w:tc>
          <w:tcPr>
            <w:tcW w:type="dxa" w:w="277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Idem; puede dar lugar a medidas de seguridad</w:t>
            </w:r>
          </w:p>
        </w:tc>
      </w:tr>
    </w:tbl>
    <w:p>
      <w:pPr>
        <w:spacing w:after="60"/>
      </w:pPr>
    </w:p>
    <w:p>
      <w:pPr>
        <w:pStyle w:val="Heading2"/>
      </w:pPr>
      <w:r>
        <w:t>1.3. Fundamento</w:t>
      </w:r>
    </w:p>
    <w:p>
      <w:pPr>
        <w:jc w:val="both"/>
      </w:pPr>
      <w:r>
        <w:t>¿Por qué el derecho autoriza a lesionar a otro? Las respuestas clásicas se agrupan en dos ideas que hoy suelen combinarse:</w:t>
      </w:r>
    </w:p>
    <w:p>
      <w:pPr>
        <w:spacing w:after="50"/>
        <w:ind w:left="595" w:hanging="255"/>
        <w:jc w:val="both"/>
      </w:pPr>
      <w:r>
        <w:t xml:space="preserve">•  </w:t>
      </w:r>
      <w:r>
        <w:rPr>
          <w:b/>
        </w:rPr>
        <w:t>Principio de protección individual.</w:t>
      </w:r>
      <w:r>
        <w:t xml:space="preserve"> Quien es atacado injustamente tiene derecho a conservar sus bienes y no está obligado a ceder ante lo ilícito. La lesión que sufre el agresor es consecuencia de su propio ataque.</w:t>
      </w:r>
    </w:p>
    <w:p>
      <w:pPr>
        <w:spacing w:after="50"/>
        <w:ind w:left="595" w:hanging="255"/>
        <w:jc w:val="both"/>
      </w:pPr>
      <w:r>
        <w:t xml:space="preserve">•  </w:t>
      </w:r>
      <w:r>
        <w:rPr>
          <w:b/>
        </w:rPr>
        <w:t>Principio de prevalencia del Derecho.</w:t>
      </w:r>
      <w:r>
        <w:t xml:space="preserve"> El orden jurídico se afirma frente al injusto: el agredido no solo defiende su bien, sino que ratifica la vigencia de la norma. Es el aporte clásico de Roxin (Derecho Penal, Parte General, t. I, § 15; </w:t>
      </w:r>
      <w:r>
        <w:rPr>
          <w:b/>
        </w:rPr>
        <w:t>DOCTRINA – verificar edición</w:t>
      </w:r>
      <w:r>
        <w:t>).</w:t>
      </w:r>
    </w:p>
    <w:p>
      <w:pPr>
        <w:spacing w:after="50"/>
        <w:ind w:left="595" w:hanging="255"/>
        <w:jc w:val="both"/>
      </w:pPr>
      <w:r>
        <w:t xml:space="preserve">•  </w:t>
      </w:r>
      <w:r>
        <w:rPr>
          <w:b/>
        </w:rPr>
        <w:t>Consecuencia del doble fundamento.</w:t>
      </w:r>
      <w:r>
        <w:t xml:space="preserve"> Explica por qué no se exige proporción estricta entre el bien defendido y el bien lesionado, y por qué, al mismo tiempo, existen límites: cuando la agresión es insignificante, proviene de un niño o de un inimputable, o fue provocada, el segundo fundamento pierde fuerza y la defensa se restringe.</w:t>
      </w:r>
    </w:p>
    <w:p>
      <w:pPr>
        <w:jc w:val="both"/>
      </w:pPr>
      <w:r>
        <w:t xml:space="preserve">En el derecho argentino, el límite lo ponen las propias exigencias del art. 34, inc. 6: la necesidad </w:t>
      </w:r>
      <w:r>
        <w:rPr>
          <w:b/>
        </w:rPr>
        <w:t>racional</w:t>
      </w:r>
      <w:r>
        <w:t xml:space="preserve"> del medio y la ausencia de provocación suficiente.</w:t>
      </w:r>
    </w:p>
    <w:p>
      <w:pPr>
        <w:pStyle w:val="Heading2"/>
      </w:pPr>
      <w:r>
        <w:t>1.4. Evolución y vigencia del texto</w:t>
      </w:r>
    </w:p>
    <w:p>
      <w:pPr>
        <w:jc w:val="both"/>
      </w:pPr>
      <w:r>
        <w:t>La legítima defensa figura en el Código Penal sancionado por la Ley 11.179 (1921). El texto de los incs. 6 y 7 del art. 34 y del art. 35 que publica InfoLEG coincide con la redacción original del Código; no tengo constancia de modificaciones posteriores a esas disposiciones (</w:t>
      </w:r>
      <w:r>
        <w:rPr>
          <w:b/>
        </w:rPr>
        <w:t>VERIFICADO – oficial</w:t>
      </w:r>
      <w:r>
        <w:t>, texto original conservado en InfoLEG; confirmar en el texto actualizado antes de citar). Existen, en cambio, múltiples proyectos de reforma (capítulo 12).</w:t>
      </w:r>
    </w:p>
    <w:p>
      <w:pPr>
        <w:pStyle w:val="Heading2"/>
      </w:pPr>
      <w:r>
        <w:t>1.5. Dimensión civil y constitucional</w:t>
      </w:r>
    </w:p>
    <w:p>
      <w:pPr>
        <w:jc w:val="both"/>
      </w:pPr>
      <w:r>
        <w:t xml:space="preserve">El </w:t>
      </w:r>
      <w:r>
        <w:rPr>
          <w:b/>
        </w:rPr>
        <w:t>Código Civil y Comercial</w:t>
      </w:r>
      <w:r>
        <w:t xml:space="preserve"> regula la legítima defensa como causa de justificación del daño en el art. 1718, inc. b: está justificado el hecho que causa un daño «en legítima defensa propia o de terceros, por un medio racionalmente proporcionado, frente a una agresión actual o inminente, ilícita y no provocada». Vale la pena advertir al auditorio que el texto civil habla de medio «racionalmente proporcionado» y el penal de «necesidad racional del medio empleado»; la doctrina suele tratar ambas fórmulas como equivalentes en lo sustancial, aunque la redacción civil acentúa la proporción (cotejar con el texto vigente en InfoLEG, </w:t>
      </w:r>
      <w:r>
        <w:rPr>
          <w:b/>
        </w:rPr>
        <w:t>DOCTRINA – verificar</w:t>
      </w:r>
      <w:r>
        <w:t>).</w:t>
      </w:r>
    </w:p>
    <w:p>
      <w:pPr>
        <w:jc w:val="both"/>
      </w:pPr>
      <w:r>
        <w:t>Desde el plano constitucional, la legítima defensa se vincula con el principio de reserva (art. 19 CN) y con el derecho a la vida y a la integridad (tratados con jerarquía constitucional, art. 75, inc. 22). Por la misma razón, su ejercicio no puede convertirse en una autorización para la violencia letal ni para la autotutela: la valoración judicial es estricta.</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AF3F4"/>
            <w:tcBorders>
              <w:top w:val="single" w:sz="4" w:color="007980" w:space="0"/>
              <w:left w:val="single" w:sz="24" w:color="007980" w:space="0"/>
              <w:bottom w:val="single" w:sz="4" w:color="007980" w:space="0"/>
              <w:right w:val="single" w:sz="4" w:color="007980" w:space="0"/>
            </w:tcBorders>
            <w:tcMar>
              <w:top w:w="80" w:type="dxa"/>
              <w:left w:w="160" w:type="dxa"/>
              <w:bottom w:w="80" w:type="dxa"/>
              <w:right w:w="140" w:type="dxa"/>
            </w:tcMar>
          </w:tcPr>
          <w:p>
            <w:pPr>
              <w:spacing w:after="60"/>
            </w:pPr>
            <w:r>
              <w:rPr>
                <w:b/>
                <w:color w:val="007980"/>
                <w:sz w:val="21"/>
              </w:rPr>
              <w:t>Resumen del capítulo 1</w:t>
            </w:r>
          </w:p>
          <w:p>
            <w:pPr>
              <w:spacing w:after="50"/>
              <w:ind w:left="255" w:hanging="255"/>
              <w:jc w:val="both"/>
            </w:pPr>
            <w:r>
              <w:rPr>
                <w:sz w:val="20"/>
              </w:rPr>
              <w:t xml:space="preserve">•  La legítima defensa es un </w:t>
            </w:r>
            <w:r>
              <w:rPr>
                <w:b/>
                <w:sz w:val="20"/>
              </w:rPr>
              <w:t>permiso</w:t>
            </w:r>
            <w:r>
              <w:rPr>
                <w:sz w:val="20"/>
              </w:rPr>
              <w:t xml:space="preserve"> (causa de justificación) para repeler una agresión ilegítima propia o ajena.</w:t>
            </w:r>
          </w:p>
          <w:p>
            <w:pPr>
              <w:spacing w:after="50"/>
              <w:ind w:left="255" w:hanging="255"/>
              <w:jc w:val="both"/>
            </w:pPr>
            <w:r>
              <w:rPr>
                <w:sz w:val="20"/>
              </w:rPr>
              <w:t>•  Su fundamento es doble: protección individual y prevalencia del Derecho. De él derivan tanto la ausencia de proporción estricta como los límites ético-sociales.</w:t>
            </w:r>
          </w:p>
          <w:p>
            <w:pPr>
              <w:spacing w:after="50"/>
              <w:ind w:left="255" w:hanging="255"/>
              <w:jc w:val="both"/>
            </w:pPr>
            <w:r>
              <w:rPr>
                <w:sz w:val="20"/>
              </w:rPr>
              <w:t>•  Lo justificado es lícito: alcanza a partícipes y no puede ser objeto de defensa. Tiene reflejo civil en el art. 1718, inc. b, CCyC.</w:t>
            </w:r>
          </w:p>
          <w:p>
            <w:pPr>
              <w:spacing w:after="50"/>
              <w:ind w:left="255" w:hanging="255"/>
              <w:jc w:val="both"/>
            </w:pPr>
            <w:r>
              <w:rPr>
                <w:sz w:val="20"/>
              </w:rPr>
              <w:t>•  El texto penal (art. 34, incs. 6 y 7; art. 35) proviene de 1921; la reforma está en debate, no sancionada.</w:t>
            </w:r>
          </w:p>
        </w:tc>
      </w:tr>
    </w:tbl>
    <w:p>
      <w:pPr>
        <w:spacing w:after="40" w:line="120" w:lineRule="auto"/>
      </w:pPr>
    </w:p>
    <w:p>
      <w:pPr>
        <w:sectPr>
          <w:footerReference w:type="default" r:id="rId9"/>
          <w:pgSz w:w="11906" w:h="16838"/>
          <w:pgMar w:top="1134" w:right="1247" w:bottom="1077" w:left="1247" w:header="454" w:footer="397" w:gutter="0"/>
          <w:cols w:space="720"/>
          <w:docGrid w:linePitch="360"/>
        </w:sectPr>
      </w:pP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1  ·  </w:t>
            </w:r>
            <w:r>
              <w:rPr>
                <w:b/>
                <w:color w:val="FFFFFF"/>
                <w:sz w:val="52"/>
              </w:rPr>
              <w:t>Legítima defensa: de qué hablamos</w:t>
            </w:r>
          </w:p>
          <w:p>
            <w:pPr>
              <w:spacing w:after="0"/>
            </w:pPr>
            <w:r>
              <w:rPr>
                <w:color w:val="D6E4EA"/>
                <w:sz w:val="26"/>
              </w:rPr>
              <w:t>Código Penal argentino · art. 34, incs. 6 y 7 · art. 35</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b/>
                <w:sz w:val="50"/>
              </w:rPr>
              <w:t>Permiso</w:t>
            </w:r>
            <w:r>
              <w:rPr>
                <w:sz w:val="50"/>
              </w:rPr>
              <w:t xml:space="preserve"> para repeler una agresión ilegítima propia o ajena</w:t>
            </w:r>
          </w:p>
          <w:p>
            <w:pPr>
              <w:spacing w:after="240"/>
              <w:ind w:left="397" w:hanging="397"/>
            </w:pPr>
            <w:r>
              <w:rPr>
                <w:color w:val="007980"/>
                <w:sz w:val="38"/>
              </w:rPr>
              <w:t xml:space="preserve">■  </w:t>
            </w:r>
            <w:r>
              <w:rPr>
                <w:sz w:val="50"/>
              </w:rPr>
              <w:t xml:space="preserve">Causa de justificación: el hecho es típico pero </w:t>
            </w:r>
            <w:r>
              <w:rPr>
                <w:b/>
                <w:sz w:val="50"/>
              </w:rPr>
              <w:t>lícito</w:t>
            </w:r>
          </w:p>
          <w:p>
            <w:pPr>
              <w:spacing w:after="240"/>
              <w:ind w:left="397" w:hanging="397"/>
            </w:pPr>
            <w:r>
              <w:rPr>
                <w:color w:val="007980"/>
                <w:sz w:val="38"/>
              </w:rPr>
              <w:t xml:space="preserve">■  </w:t>
            </w:r>
            <w:r>
              <w:rPr>
                <w:sz w:val="50"/>
              </w:rPr>
              <w:t xml:space="preserve">Fundamento doble: </w:t>
            </w:r>
            <w:r>
              <w:rPr>
                <w:b/>
                <w:sz w:val="50"/>
              </w:rPr>
              <w:t>protección individual</w:t>
            </w:r>
            <w:r>
              <w:rPr>
                <w:sz w:val="50"/>
              </w:rPr>
              <w:t xml:space="preserve"> + </w:t>
            </w:r>
            <w:r>
              <w:rPr>
                <w:b/>
                <w:sz w:val="50"/>
              </w:rPr>
              <w:t>prevalencia del Derecho</w:t>
            </w:r>
          </w:p>
          <w:p>
            <w:pPr>
              <w:spacing w:after="240"/>
              <w:ind w:left="397" w:hanging="397"/>
            </w:pPr>
            <w:r>
              <w:rPr>
                <w:color w:val="007980"/>
                <w:sz w:val="38"/>
              </w:rPr>
              <w:t xml:space="preserve">■  </w:t>
            </w:r>
            <w:r>
              <w:rPr>
                <w:sz w:val="50"/>
              </w:rPr>
              <w:t>Art. 34, inc. 6 (defensa propia) · inc. 7 (defensa de terceros) · art. 35 (exceso)</w:t>
            </w:r>
          </w:p>
          <w:p>
            <w:pPr>
              <w:spacing w:after="240"/>
              <w:ind w:left="397" w:hanging="397"/>
            </w:pPr>
            <w:r>
              <w:rPr>
                <w:color w:val="007980"/>
                <w:sz w:val="38"/>
              </w:rPr>
              <w:t xml:space="preserve">■  </w:t>
            </w:r>
            <w:r>
              <w:rPr>
                <w:sz w:val="50"/>
              </w:rPr>
              <w:t>Reflejo civil: art. 1718, inc. b, CCyC</w:t>
            </w:r>
          </w:p>
        </w:tc>
      </w:tr>
    </w:tbl>
    <w:p>
      <w:pPr>
        <w:spacing w:before="120"/>
      </w:pPr>
      <w:r>
        <w:rPr>
          <w:i/>
          <w:color w:val="5A626E"/>
          <w:sz w:val="22"/>
        </w:rPr>
        <w:t>Sugerencia de exposición: abrir con un caso (cap. 13, caso 1) y recién después mostrar esta filmina.</w:t>
      </w:r>
    </w:p>
    <w:p>
      <w:pPr>
        <w:spacing w:after="0"/>
      </w:pPr>
      <w:r>
        <w:br w:type="page"/>
      </w: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2  ·  </w:t>
            </w:r>
            <w:r>
              <w:rPr>
                <w:b/>
                <w:color w:val="FFFFFF"/>
                <w:sz w:val="52"/>
              </w:rPr>
              <w:t>Justificación, exculpación e inimputabilidad</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b/>
                <w:sz w:val="50"/>
              </w:rPr>
              <w:t>Justificación</w:t>
            </w:r>
            <w:r>
              <w:rPr>
                <w:sz w:val="50"/>
              </w:rPr>
              <w:t xml:space="preserve"> (incs. 3, 4, 6, 7): el hecho está </w:t>
            </w:r>
            <w:r>
              <w:rPr>
                <w:i/>
                <w:sz w:val="50"/>
              </w:rPr>
              <w:t>permitido</w:t>
            </w:r>
          </w:p>
          <w:p>
            <w:pPr>
              <w:spacing w:after="240"/>
              <w:ind w:left="397" w:hanging="397"/>
            </w:pPr>
            <w:r>
              <w:rPr>
                <w:color w:val="007980"/>
                <w:sz w:val="38"/>
              </w:rPr>
              <w:t xml:space="preserve">■  </w:t>
            </w:r>
            <w:r>
              <w:rPr>
                <w:b/>
                <w:sz w:val="50"/>
              </w:rPr>
              <w:t>Exculpación</w:t>
            </w:r>
            <w:r>
              <w:rPr>
                <w:sz w:val="50"/>
              </w:rPr>
              <w:t xml:space="preserve"> (incs. 2, 5, error no imputable): el hecho es ilícito, pero no reprochable</w:t>
            </w:r>
          </w:p>
          <w:p>
            <w:pPr>
              <w:spacing w:after="240"/>
              <w:ind w:left="397" w:hanging="397"/>
            </w:pPr>
            <w:r>
              <w:rPr>
                <w:color w:val="007980"/>
                <w:sz w:val="38"/>
              </w:rPr>
              <w:t xml:space="preserve">■  </w:t>
            </w:r>
            <w:r>
              <w:rPr>
                <w:b/>
                <w:sz w:val="50"/>
              </w:rPr>
              <w:t>Inimputabilidad</w:t>
            </w:r>
            <w:r>
              <w:rPr>
                <w:sz w:val="50"/>
              </w:rPr>
              <w:t xml:space="preserve"> (inc. 1): falta capacidad de culpabilidad</w:t>
            </w:r>
          </w:p>
          <w:p>
            <w:pPr>
              <w:spacing w:after="240"/>
              <w:ind w:left="397" w:hanging="397"/>
            </w:pPr>
            <w:r>
              <w:rPr>
                <w:color w:val="007980"/>
                <w:sz w:val="38"/>
              </w:rPr>
              <w:t xml:space="preserve">■  </w:t>
            </w:r>
            <w:r>
              <w:rPr>
                <w:sz w:val="50"/>
              </w:rPr>
              <w:t>Importa por tres razones: defensa contra el hecho, partícipes y consecuencias civiles</w:t>
            </w:r>
          </w:p>
        </w:tc>
      </w:tr>
    </w:tbl>
    <w:p>
      <w:pPr>
        <w:spacing w:before="120"/>
      </w:pPr>
      <w:r>
        <w:rPr>
          <w:i/>
          <w:color w:val="5A626E"/>
          <w:sz w:val="22"/>
        </w:rPr>
        <w:t>Fuente: art. 34 C.P. (InfoLEG). Clasificación doctrinaria mayoritaria.</w:t>
      </w:r>
    </w:p>
    <w:p>
      <w:pPr>
        <w:sectPr>
          <w:pgSz w:w="16838" w:h="11906" w:orient="landscape"/>
          <w:pgMar w:top="624" w:right="737" w:bottom="680" w:left="737" w:header="454" w:footer="397" w:gutter="0"/>
          <w:cols w:space="720"/>
          <w:docGrid w:linePitch="360"/>
        </w:sectPr>
      </w:pPr>
    </w:p>
    <w:p>
      <w:pPr>
        <w:pStyle w:val="Heading1"/>
      </w:pPr>
      <w:r>
        <w:t>Capítulo 2. El texto legal</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2F5F9"/>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Ficha del tema</w:t>
            </w:r>
          </w:p>
          <w:p>
            <w:pPr>
              <w:spacing w:after="50"/>
              <w:ind w:left="255" w:hanging="255"/>
              <w:jc w:val="both"/>
            </w:pPr>
            <w:r>
              <w:rPr>
                <w:sz w:val="20"/>
              </w:rPr>
              <w:t xml:space="preserve">•  </w:t>
            </w:r>
            <w:r>
              <w:rPr>
                <w:b/>
                <w:sz w:val="20"/>
              </w:rPr>
              <w:t>Sujetos:</w:t>
            </w:r>
            <w:r>
              <w:rPr>
                <w:sz w:val="20"/>
              </w:rPr>
              <w:t xml:space="preserve"> el que se defiende (inc. 6); el tercero defensor (inc. 7); el agresor.</w:t>
            </w:r>
          </w:p>
          <w:p>
            <w:pPr>
              <w:spacing w:after="50"/>
              <w:ind w:left="255" w:hanging="255"/>
              <w:jc w:val="both"/>
            </w:pPr>
            <w:r>
              <w:rPr>
                <w:sz w:val="20"/>
              </w:rPr>
              <w:t xml:space="preserve">•  </w:t>
            </w:r>
            <w:r>
              <w:rPr>
                <w:b/>
                <w:sz w:val="20"/>
              </w:rPr>
              <w:t>Normativa:</w:t>
            </w:r>
            <w:r>
              <w:rPr>
                <w:sz w:val="20"/>
              </w:rPr>
              <w:t xml:space="preserve"> art. 34, incs. 6 y 7, y art. 35 del Código Penal (Ley 11.179). Normas conexas: art. 34, incs. 1, 3 y 4.</w:t>
            </w:r>
          </w:p>
          <w:p>
            <w:pPr>
              <w:spacing w:after="50"/>
              <w:ind w:left="255" w:hanging="255"/>
              <w:jc w:val="both"/>
            </w:pPr>
            <w:r>
              <w:rPr>
                <w:sz w:val="20"/>
              </w:rPr>
              <w:t xml:space="preserve">•  </w:t>
            </w:r>
            <w:r>
              <w:rPr>
                <w:b/>
                <w:sz w:val="20"/>
              </w:rPr>
              <w:t>Elementos clave:</w:t>
            </w:r>
            <w:r>
              <w:rPr>
                <w:sz w:val="20"/>
              </w:rPr>
              <w:t xml:space="preserve"> tres circunstancias del inc. 6; dos presunciones (párrafos 2.º y 3.º); la regla especial del inc. 7; el exceso del art. 35.</w:t>
            </w:r>
          </w:p>
        </w:tc>
      </w:tr>
    </w:tbl>
    <w:p>
      <w:pPr>
        <w:spacing w:after="40" w:line="120" w:lineRule="auto"/>
      </w:pPr>
    </w:p>
    <w:p>
      <w:pPr>
        <w:pStyle w:val="Heading2"/>
      </w:pPr>
      <w:r>
        <w:t>2.1. Texto de las disposiciones (VERIFICADO – oficial)</w:t>
      </w:r>
    </w:p>
    <w:p>
      <w:pPr>
        <w:jc w:val="both"/>
      </w:pPr>
      <w:r>
        <w:t>Transcripción del texto conservado en InfoLEG (Ley 11.179, art. 34, incs. 6 y 7, y art. 35):</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EF1F6"/>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Art. 34, inc. 6.º</w:t>
            </w:r>
          </w:p>
          <w:p>
            <w:pPr>
              <w:spacing w:after="50"/>
              <w:ind w:left="255" w:hanging="255"/>
              <w:jc w:val="both"/>
            </w:pPr>
            <w:r>
              <w:rPr>
                <w:sz w:val="20"/>
              </w:rPr>
              <w:t>•  «El que obrare en defensa propia o de sus derechos, siempre que concurrieren las siguientes circunstancias: a) Agresión ilegítima; b) Necesidad racional del medio empleado para impedirla o repelerla; c) Falta de provocación suficiente por parte del que se defiende.</w:t>
            </w:r>
          </w:p>
          <w:p>
            <w:pPr>
              <w:spacing w:after="50"/>
              <w:ind w:left="255" w:hanging="255"/>
              <w:jc w:val="both"/>
            </w:pPr>
            <w:r>
              <w:rPr>
                <w:sz w:val="20"/>
              </w:rPr>
              <w:t>•  Se entenderá que concurren estas circunstancias respecto de aquel que durante la noche rechazare el escalamiento o fractura de los cercados, paredes o entradas de su casa, o departamento habitado o de sus dependencias, cualquiera que sea el daño ocasionado al agresor.</w:t>
            </w:r>
          </w:p>
          <w:p>
            <w:pPr>
              <w:spacing w:after="50"/>
              <w:ind w:left="255" w:hanging="255"/>
              <w:jc w:val="both"/>
            </w:pPr>
            <w:r>
              <w:rPr>
                <w:sz w:val="20"/>
              </w:rPr>
              <w:t>•  Igualmente respecto de aquel que encontrare a un extraño dentro de su hogar, siempre que haya resistencia;»</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EF1F6"/>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Art. 34, inc. 7.º</w:t>
            </w:r>
          </w:p>
          <w:p>
            <w:pPr>
              <w:spacing w:after="50"/>
              <w:ind w:left="255" w:hanging="255"/>
              <w:jc w:val="both"/>
            </w:pPr>
            <w:r>
              <w:rPr>
                <w:sz w:val="20"/>
              </w:rPr>
              <w:t>•  «El que obrare en defensa de la persona o derechos de otro, siempre que concurran las circunstancias a) y b) del inciso anterior y caso de haber precedido provocación suficiente por parte del agredido, la de que no haya participado en ella el tercero defensor.»</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EF1F6"/>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Art. 35</w:t>
            </w:r>
          </w:p>
          <w:p>
            <w:pPr>
              <w:spacing w:after="50"/>
              <w:ind w:left="255" w:hanging="255"/>
              <w:jc w:val="both"/>
            </w:pPr>
            <w:r>
              <w:rPr>
                <w:sz w:val="20"/>
              </w:rPr>
              <w:t>•  «El que hubiere excedido los límites impuestos por la ley, por la autoridad o por la necesidad, será castigado con la pena fijada para el delito por culpa o imprudencia.»</w:t>
            </w:r>
          </w:p>
        </w:tc>
      </w:tr>
    </w:tbl>
    <w:p>
      <w:pPr>
        <w:spacing w:after="40" w:line="120" w:lineRule="auto"/>
      </w:pPr>
    </w:p>
    <w:p>
      <w:pPr>
        <w:jc w:val="both"/>
      </w:pPr>
      <w:r>
        <w:rPr>
          <w:i/>
          <w:color w:val="5A626E"/>
          <w:sz w:val="18"/>
        </w:rPr>
        <w:t>Fuente: texto original de la Ley 11.179 en InfoLEG (servicios.infoleg.gob.ar). Se recomienda cotejar la numeración y los demás incisos con el texto actualizado, porque el inc. 1 del art. 34 ha sido objeto de reformas.</w:t>
      </w:r>
    </w:p>
    <w:p>
      <w:pPr>
        <w:pStyle w:val="Heading2"/>
      </w:pPr>
      <w:r>
        <w:t>2.2. Anatomía del inciso 6</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3061"/>
            <w:shd w:val="clear" w:color="auto" w:fill="172B4D"/>
            <w:tcMar>
              <w:top w:w="50" w:type="dxa"/>
              <w:left w:w="80" w:type="dxa"/>
              <w:bottom w:w="50" w:type="dxa"/>
              <w:right w:w="80" w:type="dxa"/>
            </w:tcMar>
          </w:tcPr>
          <w:p>
            <w:pPr>
              <w:spacing w:after="0"/>
            </w:pPr>
            <w:r>
              <w:rPr>
                <w:b/>
                <w:color w:val="FFFFFF"/>
                <w:sz w:val="18"/>
              </w:rPr>
              <w:t>Parte del texto</w:t>
            </w:r>
          </w:p>
        </w:tc>
        <w:tc>
          <w:tcPr>
            <w:tcW w:type="dxa" w:w="5216"/>
            <w:shd w:val="clear" w:color="auto" w:fill="172B4D"/>
            <w:tcMar>
              <w:top w:w="50" w:type="dxa"/>
              <w:left w:w="80" w:type="dxa"/>
              <w:bottom w:w="50" w:type="dxa"/>
              <w:right w:w="80" w:type="dxa"/>
            </w:tcMar>
          </w:tcPr>
          <w:p>
            <w:pPr>
              <w:spacing w:after="0"/>
            </w:pPr>
            <w:r>
              <w:rPr>
                <w:b/>
                <w:color w:val="FFFFFF"/>
                <w:sz w:val="18"/>
              </w:rPr>
              <w:t>Qué exige o produce</w:t>
            </w:r>
          </w:p>
        </w:tc>
        <w:tc>
          <w:tcPr>
            <w:tcW w:type="dxa" w:w="1134"/>
            <w:shd w:val="clear" w:color="auto" w:fill="172B4D"/>
            <w:tcMar>
              <w:top w:w="50" w:type="dxa"/>
              <w:left w:w="80" w:type="dxa"/>
              <w:bottom w:w="50" w:type="dxa"/>
              <w:right w:w="80" w:type="dxa"/>
            </w:tcMar>
          </w:tcPr>
          <w:p>
            <w:pPr>
              <w:spacing w:after="0"/>
            </w:pPr>
            <w:r>
              <w:rPr>
                <w:b/>
                <w:color w:val="FFFFFF"/>
                <w:sz w:val="18"/>
              </w:rPr>
              <w:t>Capítulo</w:t>
            </w:r>
          </w:p>
        </w:tc>
      </w:tr>
      <w:tr>
        <w:trPr>
          <w:cantSplit w:val="true"/>
        </w:trPr>
        <w:tc>
          <w:tcPr>
            <w:tcW w:type="dxa" w:w="306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«defensa propia o de sus derechos»</w:t>
            </w:r>
          </w:p>
        </w:tc>
        <w:tc>
          <w:tcPr>
            <w:tcW w:type="dxa" w:w="521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Qué se defiende: la persona y sus derechos (vida, integridad, libertad, propiedad, intimidad, etc.)</w:t>
            </w:r>
          </w:p>
        </w:tc>
        <w:tc>
          <w:tcPr>
            <w:tcW w:type="dxa" w:w="113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6</w:t>
            </w:r>
          </w:p>
        </w:tc>
      </w:tr>
      <w:tr>
        <w:trPr>
          <w:cantSplit w:val="true"/>
        </w:trPr>
        <w:tc>
          <w:tcPr>
            <w:tcW w:type="dxa" w:w="306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a) Agresión ilegítima</w:t>
            </w:r>
          </w:p>
        </w:tc>
        <w:tc>
          <w:tcPr>
            <w:tcW w:type="dxa" w:w="521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Ataque humano, actual o inminente, antijurídico, a un bien jurídico</w:t>
            </w:r>
          </w:p>
        </w:tc>
        <w:tc>
          <w:tcPr>
            <w:tcW w:type="dxa" w:w="113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3</w:t>
            </w:r>
          </w:p>
        </w:tc>
      </w:tr>
      <w:tr>
        <w:trPr>
          <w:cantSplit w:val="true"/>
        </w:trPr>
        <w:tc>
          <w:tcPr>
            <w:tcW w:type="dxa" w:w="306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b) Necesidad racional del medio</w:t>
            </w:r>
          </w:p>
        </w:tc>
        <w:tc>
          <w:tcPr>
            <w:tcW w:type="dxa" w:w="521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La defensa debe ser necesaria y su medio, racional</w:t>
            </w:r>
          </w:p>
        </w:tc>
        <w:tc>
          <w:tcPr>
            <w:tcW w:type="dxa" w:w="113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4</w:t>
            </w:r>
          </w:p>
        </w:tc>
      </w:tr>
      <w:tr>
        <w:trPr>
          <w:cantSplit w:val="true"/>
        </w:trPr>
        <w:tc>
          <w:tcPr>
            <w:tcW w:type="dxa" w:w="306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c) Falta de provocación suficiente</w:t>
            </w:r>
          </w:p>
        </w:tc>
        <w:tc>
          <w:tcPr>
            <w:tcW w:type="dxa" w:w="521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El defensor no debe haber provocado suficientemente la agresión</w:t>
            </w:r>
          </w:p>
        </w:tc>
        <w:tc>
          <w:tcPr>
            <w:tcW w:type="dxa" w:w="113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5</w:t>
            </w:r>
          </w:p>
        </w:tc>
      </w:tr>
      <w:tr>
        <w:trPr>
          <w:cantSplit w:val="true"/>
        </w:trPr>
        <w:tc>
          <w:tcPr>
            <w:tcW w:type="dxa" w:w="306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Párrafo 2.º (noche, escalamiento o fractura)</w:t>
            </w:r>
          </w:p>
        </w:tc>
        <w:tc>
          <w:tcPr>
            <w:tcW w:type="dxa" w:w="521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 xml:space="preserve">Se </w:t>
            </w:r>
            <w:r>
              <w:rPr>
                <w:i/>
                <w:sz w:val="18"/>
              </w:rPr>
              <w:t>entenderá</w:t>
            </w:r>
            <w:r>
              <w:rPr>
                <w:sz w:val="18"/>
              </w:rPr>
              <w:t xml:space="preserve"> que concurren a), b) y c): presunción</w:t>
            </w:r>
          </w:p>
        </w:tc>
        <w:tc>
          <w:tcPr>
            <w:tcW w:type="dxa" w:w="113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7</w:t>
            </w:r>
          </w:p>
        </w:tc>
      </w:tr>
      <w:tr>
        <w:trPr>
          <w:cantSplit w:val="true"/>
        </w:trPr>
        <w:tc>
          <w:tcPr>
            <w:tcW w:type="dxa" w:w="306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Párrafo 3.º (extraño en el hogar con resistencia)</w:t>
            </w:r>
          </w:p>
        </w:tc>
        <w:tc>
          <w:tcPr>
            <w:tcW w:type="dxa" w:w="521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Idem</w:t>
            </w:r>
          </w:p>
        </w:tc>
        <w:tc>
          <w:tcPr>
            <w:tcW w:type="dxa" w:w="113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7</w:t>
            </w:r>
          </w:p>
        </w:tc>
      </w:tr>
      <w:tr>
        <w:trPr>
          <w:cantSplit w:val="true"/>
        </w:trPr>
        <w:tc>
          <w:tcPr>
            <w:tcW w:type="dxa" w:w="306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Inc. 7 (defensa de terceros)</w:t>
            </w:r>
          </w:p>
        </w:tc>
        <w:tc>
          <w:tcPr>
            <w:tcW w:type="dxa" w:w="521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Rige a) y b); respecto de c), basta que el tercero no haya participado de la provocación</w:t>
            </w:r>
          </w:p>
        </w:tc>
        <w:tc>
          <w:tcPr>
            <w:tcW w:type="dxa" w:w="113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6</w:t>
            </w:r>
          </w:p>
        </w:tc>
      </w:tr>
      <w:tr>
        <w:trPr>
          <w:cantSplit w:val="true"/>
        </w:trPr>
        <w:tc>
          <w:tcPr>
            <w:tcW w:type="dxa" w:w="306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Art. 35 (exceso)</w:t>
            </w:r>
          </w:p>
        </w:tc>
        <w:tc>
          <w:tcPr>
            <w:tcW w:type="dxa" w:w="521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Pena del delito culposo cuando se exceden los límites</w:t>
            </w:r>
          </w:p>
        </w:tc>
        <w:tc>
          <w:tcPr>
            <w:tcW w:type="dxa" w:w="113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8</w:t>
            </w:r>
          </w:p>
        </w:tc>
      </w:tr>
    </w:tbl>
    <w:p>
      <w:pPr>
        <w:spacing w:after="60"/>
      </w:pPr>
    </w:p>
    <w:p>
      <w:pPr>
        <w:pStyle w:val="Heading2"/>
      </w:pPr>
      <w:r>
        <w:t>2.3. Observaciones de técnica legislativa</w:t>
      </w:r>
    </w:p>
    <w:p>
      <w:pPr>
        <w:spacing w:after="50"/>
        <w:ind w:left="595" w:hanging="255"/>
        <w:jc w:val="both"/>
      </w:pPr>
      <w:r>
        <w:t xml:space="preserve">•  </w:t>
      </w:r>
      <w:r>
        <w:rPr>
          <w:b/>
        </w:rPr>
        <w:t>«Se entenderá»</w:t>
      </w:r>
      <w:r>
        <w:t>: la fórmula de los párrafos 2.º y 3.º es una presunción. La discusión sobre su naturaleza (relativa o absoluta) se desarrolla en el capítulo 7.</w:t>
      </w:r>
    </w:p>
    <w:p>
      <w:pPr>
        <w:spacing w:after="50"/>
        <w:ind w:left="595" w:hanging="255"/>
        <w:jc w:val="both"/>
      </w:pPr>
      <w:r>
        <w:t xml:space="preserve">•  </w:t>
      </w:r>
      <w:r>
        <w:rPr>
          <w:b/>
        </w:rPr>
        <w:t>«Derechos»</w:t>
      </w:r>
      <w:r>
        <w:t>: el texto no se limita a la vida o a la integridad física. Alcanza los derechos en general, con el límite de la racionalidad.</w:t>
      </w:r>
    </w:p>
    <w:p>
      <w:pPr>
        <w:spacing w:after="50"/>
        <w:ind w:left="595" w:hanging="255"/>
        <w:jc w:val="both"/>
      </w:pPr>
      <w:r>
        <w:t xml:space="preserve">•  </w:t>
      </w:r>
      <w:r>
        <w:rPr>
          <w:b/>
        </w:rPr>
        <w:t>«Siempre que concurrieren»</w:t>
      </w:r>
      <w:r>
        <w:t>: los tres requisitos son acumulativos. Si falta uno, no hay legítima defensa completa; queda por analizar el exceso (art. 35).</w:t>
      </w:r>
    </w:p>
    <w:p>
      <w:pPr>
        <w:spacing w:after="50"/>
        <w:ind w:left="595" w:hanging="255"/>
        <w:jc w:val="both"/>
      </w:pPr>
      <w:r>
        <w:t xml:space="preserve">•  </w:t>
      </w:r>
      <w:r>
        <w:rPr>
          <w:b/>
        </w:rPr>
        <w:t>Inc. 7</w:t>
      </w:r>
      <w:r>
        <w:t xml:space="preserve">: es una remisión parcial. No se exige para el tercero la falta de provocación </w:t>
      </w:r>
      <w:r>
        <w:rPr>
          <w:i/>
        </w:rPr>
        <w:t>propia</w:t>
      </w:r>
      <w:r>
        <w:t>, sino que no haya participado de la provocación del agredido.</w:t>
      </w:r>
    </w:p>
    <w:p>
      <w:pPr>
        <w:spacing w:after="50"/>
        <w:ind w:left="595" w:hanging="255"/>
        <w:jc w:val="both"/>
      </w:pPr>
      <w:r>
        <w:t xml:space="preserve">•  </w:t>
      </w:r>
      <w:r>
        <w:rPr>
          <w:b/>
        </w:rPr>
        <w:t>Art. 35</w:t>
      </w:r>
      <w:r>
        <w:t>: es una cláusula general de exceso que cubre a todas las justificaciones («ley», «autoridad» y «necesidad»): cumplimiento del deber, estado de necesidad y legítima defensa.</w:t>
      </w:r>
    </w:p>
    <w:p>
      <w:pPr>
        <w:pStyle w:val="Heading2"/>
      </w:pPr>
      <w:r>
        <w:t>2.4. Normas conexas del art. 34</w:t>
      </w:r>
    </w:p>
    <w:p>
      <w:pPr>
        <w:spacing w:after="50"/>
        <w:ind w:left="595" w:hanging="255"/>
        <w:jc w:val="both"/>
      </w:pPr>
      <w:r>
        <w:t xml:space="preserve">•  </w:t>
      </w:r>
      <w:r>
        <w:rPr>
          <w:b/>
        </w:rPr>
        <w:t>Inc. 1</w:t>
      </w:r>
      <w:r>
        <w:t xml:space="preserve"> (error): «error o ignorancia de hecho no imputable». Fundamento normativo de la defensa putativa (capítulo 9).</w:t>
      </w:r>
    </w:p>
    <w:p>
      <w:pPr>
        <w:spacing w:after="50"/>
        <w:ind w:left="595" w:hanging="255"/>
        <w:jc w:val="both"/>
      </w:pPr>
      <w:r>
        <w:t xml:space="preserve">•  </w:t>
      </w:r>
      <w:r>
        <w:rPr>
          <w:b/>
        </w:rPr>
        <w:t>Inc. 3</w:t>
      </w:r>
      <w:r>
        <w:t xml:space="preserve"> (estado de necesidad): «El que causare un mal por evitar otro mayor inminente a que ha sido extraño».</w:t>
      </w:r>
    </w:p>
    <w:p>
      <w:pPr>
        <w:spacing w:after="50"/>
        <w:ind w:left="595" w:hanging="255"/>
        <w:jc w:val="both"/>
      </w:pPr>
      <w:r>
        <w:t xml:space="preserve">•  </w:t>
      </w:r>
      <w:r>
        <w:rPr>
          <w:b/>
        </w:rPr>
        <w:t>Inc. 4</w:t>
      </w:r>
      <w:r>
        <w:t xml:space="preserve"> (deber y derecho): «El que obrare en cumplimiento de un deber o en el legítimo ejercicio de su derecho, autoridad o cargo». Es el marco de la actuación policial (capítulo 10).</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AF3F4"/>
            <w:tcBorders>
              <w:top w:val="single" w:sz="4" w:color="007980" w:space="0"/>
              <w:left w:val="single" w:sz="24" w:color="007980" w:space="0"/>
              <w:bottom w:val="single" w:sz="4" w:color="007980" w:space="0"/>
              <w:right w:val="single" w:sz="4" w:color="007980" w:space="0"/>
            </w:tcBorders>
            <w:tcMar>
              <w:top w:w="80" w:type="dxa"/>
              <w:left w:w="160" w:type="dxa"/>
              <w:bottom w:w="80" w:type="dxa"/>
              <w:right w:w="140" w:type="dxa"/>
            </w:tcMar>
          </w:tcPr>
          <w:p>
            <w:pPr>
              <w:spacing w:after="60"/>
            </w:pPr>
            <w:r>
              <w:rPr>
                <w:b/>
                <w:color w:val="007980"/>
                <w:sz w:val="21"/>
              </w:rPr>
              <w:t>Resumen del capítulo 2</w:t>
            </w:r>
          </w:p>
          <w:p>
            <w:pPr>
              <w:spacing w:after="50"/>
              <w:ind w:left="255" w:hanging="255"/>
              <w:jc w:val="both"/>
            </w:pPr>
            <w:r>
              <w:rPr>
                <w:sz w:val="20"/>
              </w:rPr>
              <w:t>•  El inc. 6 exige tres circunstancias acumulativas; los párrafos 2.º y 3.º establecen supuestos en que «se entenderá» que concurren.</w:t>
            </w:r>
          </w:p>
          <w:p>
            <w:pPr>
              <w:spacing w:after="50"/>
              <w:ind w:left="255" w:hanging="255"/>
              <w:jc w:val="both"/>
            </w:pPr>
            <w:r>
              <w:rPr>
                <w:sz w:val="20"/>
              </w:rPr>
              <w:t>•  El inc. 7 extiende la defensa a terceros con una regla particular sobre la provocación.</w:t>
            </w:r>
          </w:p>
          <w:p>
            <w:pPr>
              <w:spacing w:after="50"/>
              <w:ind w:left="255" w:hanging="255"/>
              <w:jc w:val="both"/>
            </w:pPr>
            <w:r>
              <w:rPr>
                <w:sz w:val="20"/>
              </w:rPr>
              <w:t>•  El art. 35 sanciona el exceso con la pena del delito culposo.</w:t>
            </w:r>
          </w:p>
          <w:p>
            <w:pPr>
              <w:spacing w:after="50"/>
              <w:ind w:left="255" w:hanging="255"/>
              <w:jc w:val="both"/>
            </w:pPr>
            <w:r>
              <w:rPr>
                <w:sz w:val="20"/>
              </w:rPr>
              <w:t>•  Los textos citados provienen de la versión original de la Ley 11.179 conservada en InfoLEG.</w:t>
            </w:r>
          </w:p>
        </w:tc>
      </w:tr>
    </w:tbl>
    <w:p>
      <w:pPr>
        <w:spacing w:after="40" w:line="120" w:lineRule="auto"/>
      </w:pPr>
    </w:p>
    <w:p>
      <w:pPr>
        <w:sectPr>
          <w:pgSz w:w="11906" w:h="16838"/>
          <w:pgMar w:top="1134" w:right="1247" w:bottom="1077" w:left="1247" w:header="454" w:footer="397" w:gutter="0"/>
          <w:cols w:space="720"/>
          <w:docGrid w:linePitch="360"/>
        </w:sectPr>
      </w:pP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3  ·  </w:t>
            </w:r>
            <w:r>
              <w:rPr>
                <w:b/>
                <w:color w:val="FFFFFF"/>
                <w:sz w:val="52"/>
              </w:rPr>
              <w:t>El texto: art. 34, inc. 6 C.P.</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sz w:val="50"/>
              </w:rPr>
              <w:t>«El que obrare en defensa propia o de sus derechos, siempre que concurrieren las siguientes circunstancias:</w:t>
            </w:r>
          </w:p>
          <w:p>
            <w:pPr>
              <w:spacing w:after="240"/>
              <w:ind w:left="850" w:hanging="397"/>
            </w:pPr>
            <w:r>
              <w:rPr>
                <w:sz w:val="44"/>
              </w:rPr>
              <w:t>–  a) Agresión ilegítima</w:t>
            </w:r>
          </w:p>
          <w:p>
            <w:pPr>
              <w:spacing w:after="240"/>
              <w:ind w:left="850" w:hanging="397"/>
            </w:pPr>
            <w:r>
              <w:rPr>
                <w:sz w:val="44"/>
              </w:rPr>
              <w:t>–  b) Necesidad racional del medio empleado para impedirla o repelerla</w:t>
            </w:r>
          </w:p>
          <w:p>
            <w:pPr>
              <w:spacing w:after="240"/>
              <w:ind w:left="850" w:hanging="397"/>
            </w:pPr>
            <w:r>
              <w:rPr>
                <w:sz w:val="44"/>
              </w:rPr>
              <w:t>–  c) Falta de provocación suficiente por parte del que se defiende»</w:t>
            </w:r>
          </w:p>
          <w:p>
            <w:pPr>
              <w:spacing w:after="240"/>
              <w:ind w:left="397" w:hanging="397"/>
            </w:pPr>
            <w:r>
              <w:rPr>
                <w:color w:val="007980"/>
                <w:sz w:val="38"/>
              </w:rPr>
              <w:t xml:space="preserve">■  </w:t>
            </w:r>
            <w:r>
              <w:rPr>
                <w:sz w:val="50"/>
              </w:rPr>
              <w:t>Párrafos 2.º y 3.º: «se entenderá que concurren…» (hogar)</w:t>
            </w:r>
          </w:p>
          <w:p>
            <w:pPr>
              <w:spacing w:after="240"/>
              <w:ind w:left="397" w:hanging="397"/>
            </w:pPr>
            <w:r>
              <w:rPr>
                <w:color w:val="007980"/>
                <w:sz w:val="38"/>
              </w:rPr>
              <w:t xml:space="preserve">■  </w:t>
            </w:r>
            <w:r>
              <w:rPr>
                <w:sz w:val="50"/>
              </w:rPr>
              <w:t>Inc. 7: defensa de la persona o derechos de otro</w:t>
            </w:r>
          </w:p>
        </w:tc>
      </w:tr>
    </w:tbl>
    <w:p>
      <w:pPr>
        <w:spacing w:before="120"/>
      </w:pPr>
      <w:r>
        <w:rPr>
          <w:i/>
          <w:color w:val="5A626E"/>
          <w:sz w:val="22"/>
        </w:rPr>
        <w:t>Fuente: Ley 11.179, texto conservado en InfoLEG.</w:t>
      </w:r>
    </w:p>
    <w:p>
      <w:pPr>
        <w:spacing w:after="0"/>
      </w:pPr>
      <w:r>
        <w:br w:type="page"/>
      </w: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4  ·  </w:t>
            </w:r>
            <w:r>
              <w:rPr>
                <w:b/>
                <w:color w:val="FFFFFF"/>
                <w:sz w:val="52"/>
              </w:rPr>
              <w:t>Los tres requisitos de un vistazo</w:t>
            </w:r>
          </w:p>
        </w:tc>
      </w:tr>
    </w:tbl>
    <w:p>
      <w:pPr>
        <w:spacing w:after="80" w:line="144" w:lineRule="auto"/>
      </w:pPr>
    </w:p>
    <w:p>
      <w:pPr>
        <w:jc w:val="center"/>
      </w:pPr>
      <w:r>
        <w:drawing>
          <wp:inline xmlns:a="http://schemas.openxmlformats.org/drawingml/2006/main" xmlns:pic="http://schemas.openxmlformats.org/drawingml/2006/picture">
            <wp:extent cx="9180000" cy="4590000"/>
            <wp:docPr id="1" name="Picture 1"/>
            <wp:cNvGraphicFramePr>
              <a:graphicFrameLocks noChangeAspect="1"/>
            </wp:cNvGraphicFramePr>
            <a:graphic>
              <a:graphicData uri="http://schemas.openxmlformats.org/drawingml/2006/picture">
                <pic:pic>
                  <pic:nvPicPr>
                    <pic:cNvPr id="0" name="fig_requisitos.png"/>
                    <pic:cNvPicPr/>
                  </pic:nvPicPr>
                  <pic:blipFill>
                    <a:blip r:embed="rId10"/>
                    <a:stretch>
                      <a:fillRect/>
                    </a:stretch>
                  </pic:blipFill>
                  <pic:spPr>
                    <a:xfrm>
                      <a:off x="0" y="0"/>
                      <a:ext cx="9180000" cy="4590000"/>
                    </a:xfrm>
                    <a:prstGeom prst="rect"/>
                  </pic:spPr>
                </pic:pic>
              </a:graphicData>
            </a:graphic>
          </wp:inline>
        </w:drawing>
      </w:r>
    </w:p>
    <w:p>
      <w:pPr>
        <w:spacing w:before="120"/>
      </w:pPr>
      <w:r>
        <w:rPr>
          <w:i/>
          <w:color w:val="5A626E"/>
          <w:sz w:val="22"/>
        </w:rPr>
        <w:t>Esquema propio. Recordar el requisito subjetivo: conocimiento de la situación y voluntad de defensa.</w:t>
      </w:r>
    </w:p>
    <w:p>
      <w:pPr>
        <w:sectPr>
          <w:pgSz w:w="16838" w:h="11906" w:orient="landscape"/>
          <w:pgMar w:top="624" w:right="737" w:bottom="680" w:left="737" w:header="454" w:footer="397" w:gutter="0"/>
          <w:cols w:space="720"/>
          <w:docGrid w:linePitch="360"/>
        </w:sectPr>
      </w:pPr>
    </w:p>
    <w:p>
      <w:pPr>
        <w:pStyle w:val="Heading1"/>
      </w:pPr>
      <w:r>
        <w:t>Capítulo 3. Primer requisito: la agresión ilegítima</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2F5F9"/>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Ficha del tema</w:t>
            </w:r>
          </w:p>
          <w:p>
            <w:pPr>
              <w:spacing w:after="50"/>
              <w:ind w:left="255" w:hanging="255"/>
              <w:jc w:val="both"/>
            </w:pPr>
            <w:r>
              <w:rPr>
                <w:sz w:val="20"/>
              </w:rPr>
              <w:t xml:space="preserve">•  </w:t>
            </w:r>
            <w:r>
              <w:rPr>
                <w:b/>
                <w:sz w:val="20"/>
              </w:rPr>
              <w:t>Sujetos:</w:t>
            </w:r>
            <w:r>
              <w:rPr>
                <w:sz w:val="20"/>
              </w:rPr>
              <w:t xml:space="preserve"> el agresor (acción humana) y el agredido; en la defensa de terceros, además, el tercero.</w:t>
            </w:r>
          </w:p>
          <w:p>
            <w:pPr>
              <w:spacing w:after="50"/>
              <w:ind w:left="255" w:hanging="255"/>
              <w:jc w:val="both"/>
            </w:pPr>
            <w:r>
              <w:rPr>
                <w:sz w:val="20"/>
              </w:rPr>
              <w:t xml:space="preserve">•  </w:t>
            </w:r>
            <w:r>
              <w:rPr>
                <w:b/>
                <w:sz w:val="20"/>
              </w:rPr>
              <w:t>Normativa:</w:t>
            </w:r>
            <w:r>
              <w:rPr>
                <w:sz w:val="20"/>
              </w:rPr>
              <w:t xml:space="preserve"> art. 34, inc. 6, a) y inc. 7, C.P. Para el aspecto civil, art. 1718, inc. b, CCyC («agresión actual o inminente, ilícita y no provocada»).</w:t>
            </w:r>
          </w:p>
          <w:p>
            <w:pPr>
              <w:spacing w:after="50"/>
              <w:ind w:left="255" w:hanging="255"/>
              <w:jc w:val="both"/>
            </w:pPr>
            <w:r>
              <w:rPr>
                <w:sz w:val="20"/>
              </w:rPr>
              <w:t xml:space="preserve">•  </w:t>
            </w:r>
            <w:r>
              <w:rPr>
                <w:b/>
                <w:sz w:val="20"/>
              </w:rPr>
              <w:t>Elementos clave:</w:t>
            </w:r>
            <w:r>
              <w:rPr>
                <w:sz w:val="20"/>
              </w:rPr>
              <w:t xml:space="preserve"> conducta humana; ataque a un bien jurídico; antijuridicidad; actualidad o inminencia.</w:t>
            </w:r>
          </w:p>
        </w:tc>
      </w:tr>
    </w:tbl>
    <w:p>
      <w:pPr>
        <w:spacing w:after="40" w:line="120" w:lineRule="auto"/>
      </w:pPr>
    </w:p>
    <w:p>
      <w:pPr>
        <w:pStyle w:val="Heading2"/>
      </w:pPr>
      <w:r>
        <w:t>3.1. Concepto</w:t>
      </w:r>
    </w:p>
    <w:p>
      <w:pPr>
        <w:jc w:val="both"/>
      </w:pPr>
      <w:r>
        <w:t xml:space="preserve">La agresión es la </w:t>
      </w:r>
      <w:r>
        <w:rPr>
          <w:b/>
        </w:rPr>
        <w:t>conducta humana</w:t>
      </w:r>
      <w:r>
        <w:t xml:space="preserve"> que lesiona o pone en peligro un bien jurídico. Es ilegítima cuando es </w:t>
      </w:r>
      <w:r>
        <w:rPr>
          <w:b/>
        </w:rPr>
        <w:t>antijurídica</w:t>
      </w:r>
      <w:r>
        <w:t>: no está amparada por una causa de justificación. No exige que sea típica ni culpable: la agresión de un niño, de un enfermo mental o de quien actúa en error puede ser ilegítima (aunque en esos casos la defensa se restringe; ver 3.5).</w:t>
      </w:r>
    </w:p>
    <w:p>
      <w:pPr>
        <w:pStyle w:val="Heading2"/>
      </w:pPr>
      <w:r>
        <w:t>3.2. Elementos</w:t>
      </w:r>
    </w:p>
    <w:p>
      <w:pPr>
        <w:spacing w:after="50"/>
        <w:ind w:left="567" w:hanging="340"/>
        <w:jc w:val="both"/>
      </w:pPr>
      <w:r>
        <w:t xml:space="preserve">1.  </w:t>
      </w:r>
      <w:r>
        <w:rPr>
          <w:b/>
        </w:rPr>
        <w:t>Conducta humana.</w:t>
      </w:r>
      <w:r>
        <w:t xml:space="preserve"> El ataque de un animal o un fenómeno natural no es agresión en sentido estricto; se resuelve, según el caso, por el estado de necesidad (art. 34, inc. 3). Distinta es la situación del animal azuzado por una persona, que se considera instrumento del agresor.</w:t>
      </w:r>
    </w:p>
    <w:p>
      <w:pPr>
        <w:spacing w:after="50"/>
        <w:ind w:left="567" w:hanging="340"/>
        <w:jc w:val="both"/>
      </w:pPr>
      <w:r>
        <w:t xml:space="preserve">2.  </w:t>
      </w:r>
      <w:r>
        <w:rPr>
          <w:b/>
        </w:rPr>
        <w:t>Voluntariedad.</w:t>
      </w:r>
      <w:r>
        <w:t xml:space="preserve"> Los movimientos reflejos o la fuerza física irresistible no son conductas; quien los sufre no agrede. El reproche se dirige a quien lo empuja.</w:t>
      </w:r>
    </w:p>
    <w:p>
      <w:pPr>
        <w:spacing w:after="50"/>
        <w:ind w:left="567" w:hanging="340"/>
        <w:jc w:val="both"/>
      </w:pPr>
      <w:r>
        <w:t xml:space="preserve">3.  </w:t>
      </w:r>
      <w:r>
        <w:rPr>
          <w:b/>
        </w:rPr>
        <w:t>Dirigida a un bien jurídico.</w:t>
      </w:r>
      <w:r>
        <w:t xml:space="preserve"> Cualquier bien jurídico propio o ajeno: vida, integridad física, libertad (incluida la sexual), propiedad, intimidad (morada), honor, entre otros.</w:t>
      </w:r>
    </w:p>
    <w:p>
      <w:pPr>
        <w:spacing w:after="50"/>
        <w:ind w:left="567" w:hanging="340"/>
        <w:jc w:val="both"/>
      </w:pPr>
      <w:r>
        <w:t xml:space="preserve">4.  </w:t>
      </w:r>
      <w:r>
        <w:rPr>
          <w:b/>
        </w:rPr>
        <w:t>Ilegitimidad (antijuridicidad).</w:t>
      </w:r>
      <w:r>
        <w:t xml:space="preserve"> La agresión no debe estar autorizada. No hay defensa legítima contra un acto legítimo (por ejemplo, contra quien actúa en cumplimiento de un deber, en estado de necesidad justificante o en legítima defensa).</w:t>
      </w:r>
    </w:p>
    <w:p>
      <w:pPr>
        <w:spacing w:after="50"/>
        <w:ind w:left="567" w:hanging="340"/>
        <w:jc w:val="both"/>
      </w:pPr>
      <w:r>
        <w:t xml:space="preserve">5.  </w:t>
      </w:r>
      <w:r>
        <w:rPr>
          <w:b/>
        </w:rPr>
        <w:t>Actualidad o inminencia.</w:t>
      </w:r>
      <w:r>
        <w:t xml:space="preserve"> Ver 3.3.</w:t>
      </w:r>
    </w:p>
    <w:p>
      <w:pPr>
        <w:pStyle w:val="Heading2"/>
      </w:pPr>
      <w:r>
        <w:t>3.3. Actualidad: el factor tiempo</w:t>
      </w:r>
    </w:p>
    <w:p>
      <w:pPr>
        <w:jc w:val="both"/>
      </w:pPr>
      <w:r>
        <w:t xml:space="preserve">La agresión debe estar </w:t>
      </w:r>
      <w:r>
        <w:rPr>
          <w:b/>
        </w:rPr>
        <w:t>en curso o ser inminente</w:t>
      </w:r>
      <w:r>
        <w:t>. No hay agresión actual si es solo posible o hipotética (amenazas futuras), ni cuando ya cesó (represalia). La actualidad se aprecia desde la perspectiva del defensor al momento de reaccionar, y la agresión perdura mientras subsiste el peligro para el bien jurídico. Esa idea es decisiva en el delito permanente (por ejemplo, una privación de la libertad en curso) y en las agresiones reiteradas, donde la discusión se concentra en cuándo la agresión puede considerarse inminente (capítulo 10).</w:t>
      </w:r>
    </w:p>
    <w:p>
      <w:pPr>
        <w:keepNext/>
        <w:spacing w:after="40"/>
        <w:jc w:val="center"/>
      </w:pPr>
      <w:r>
        <w:drawing>
          <wp:inline xmlns:a="http://schemas.openxmlformats.org/drawingml/2006/main" xmlns:pic="http://schemas.openxmlformats.org/drawingml/2006/picture">
            <wp:extent cx="4860000" cy="2430000"/>
            <wp:docPr id="2" name="Picture 2"/>
            <wp:cNvGraphicFramePr>
              <a:graphicFrameLocks noChangeAspect="1"/>
            </wp:cNvGraphicFramePr>
            <a:graphic>
              <a:graphicData uri="http://schemas.openxmlformats.org/drawingml/2006/picture">
                <pic:pic>
                  <pic:nvPicPr>
                    <pic:cNvPr id="0" name="fig_tiempo.png"/>
                    <pic:cNvPicPr/>
                  </pic:nvPicPr>
                  <pic:blipFill>
                    <a:blip r:embed="rId11"/>
                    <a:stretch>
                      <a:fillRect/>
                    </a:stretch>
                  </pic:blipFill>
                  <pic:spPr>
                    <a:xfrm>
                      <a:off x="0" y="0"/>
                      <a:ext cx="4860000" cy="2430000"/>
                    </a:xfrm>
                    <a:prstGeom prst="rect"/>
                  </pic:spPr>
                </pic:pic>
              </a:graphicData>
            </a:graphic>
          </wp:inline>
        </w:drawing>
      </w:r>
    </w:p>
    <w:p>
      <w:pPr>
        <w:jc w:val="center"/>
      </w:pPr>
      <w:r>
        <w:rPr>
          <w:i/>
          <w:color w:val="5A626E"/>
          <w:sz w:val="17"/>
        </w:rPr>
        <w:t>Figura 3.1. Tres momentos de la agresión y su consecuencia (esquema propio).</w:t>
      </w:r>
    </w:p>
    <w:p>
      <w:pPr>
        <w:pStyle w:val="Heading2"/>
      </w:pPr>
      <w:r>
        <w:t>3.4. Supuestos problemáticos</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381"/>
            <w:shd w:val="clear" w:color="auto" w:fill="172B4D"/>
            <w:tcMar>
              <w:top w:w="50" w:type="dxa"/>
              <w:left w:w="80" w:type="dxa"/>
              <w:bottom w:w="50" w:type="dxa"/>
              <w:right w:w="80" w:type="dxa"/>
            </w:tcMar>
          </w:tcPr>
          <w:p>
            <w:pPr>
              <w:spacing w:after="0"/>
            </w:pPr>
            <w:r>
              <w:rPr>
                <w:b/>
                <w:color w:val="FFFFFF"/>
                <w:sz w:val="18"/>
              </w:rPr>
              <w:t>Supuesto</w:t>
            </w:r>
          </w:p>
        </w:tc>
        <w:tc>
          <w:tcPr>
            <w:tcW w:type="dxa" w:w="3175"/>
            <w:shd w:val="clear" w:color="auto" w:fill="172B4D"/>
            <w:tcMar>
              <w:top w:w="50" w:type="dxa"/>
              <w:left w:w="80" w:type="dxa"/>
              <w:bottom w:w="50" w:type="dxa"/>
              <w:right w:w="80" w:type="dxa"/>
            </w:tcMar>
          </w:tcPr>
          <w:p>
            <w:pPr>
              <w:spacing w:after="0"/>
            </w:pPr>
            <w:r>
              <w:rPr>
                <w:b/>
                <w:color w:val="FFFFFF"/>
                <w:sz w:val="18"/>
              </w:rPr>
              <w:t>Tratamiento mayoritario</w:t>
            </w:r>
          </w:p>
        </w:tc>
        <w:tc>
          <w:tcPr>
            <w:tcW w:type="dxa" w:w="3855"/>
            <w:shd w:val="clear" w:color="auto" w:fill="172B4D"/>
            <w:tcMar>
              <w:top w:w="50" w:type="dxa"/>
              <w:left w:w="80" w:type="dxa"/>
              <w:bottom w:w="50" w:type="dxa"/>
              <w:right w:w="80" w:type="dxa"/>
            </w:tcMar>
          </w:tcPr>
          <w:p>
            <w:pPr>
              <w:spacing w:after="0"/>
            </w:pPr>
            <w:r>
              <w:rPr>
                <w:b/>
                <w:color w:val="FFFFFF"/>
                <w:sz w:val="18"/>
              </w:rPr>
              <w:t>Observaciones</w:t>
            </w:r>
          </w:p>
        </w:tc>
      </w:tr>
      <w:tr>
        <w:trPr>
          <w:cantSplit w:val="true"/>
        </w:trPr>
        <w:tc>
          <w:tcPr>
            <w:tcW w:type="dxa" w:w="238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Agresión por omisión</w:t>
            </w:r>
          </w:p>
        </w:tc>
        <w:tc>
          <w:tcPr>
            <w:tcW w:type="dxa" w:w="317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Admitida cuando existe deber jurídico de actuar (omisión impropia)</w:t>
            </w:r>
          </w:p>
        </w:tc>
        <w:tc>
          <w:tcPr>
            <w:tcW w:type="dxa" w:w="385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Ej.: el obligado a liberar a quien detiene ilegítimamente y no lo hace.</w:t>
            </w:r>
          </w:p>
        </w:tc>
      </w:tr>
      <w:tr>
        <w:trPr>
          <w:cantSplit w:val="true"/>
        </w:trPr>
        <w:tc>
          <w:tcPr>
            <w:tcW w:type="dxa" w:w="238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Agresión imprudente</w:t>
            </w:r>
          </w:p>
        </w:tc>
        <w:tc>
          <w:tcPr>
            <w:tcW w:type="dxa" w:w="317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Discutida</w:t>
            </w:r>
          </w:p>
        </w:tc>
        <w:tc>
          <w:tcPr>
            <w:tcW w:type="dxa" w:w="385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Parte de la doctrina exige agresión dolosa; otra admite la imprudente por la necesidad de proteger el bien.</w:t>
            </w:r>
          </w:p>
        </w:tc>
      </w:tr>
      <w:tr>
        <w:trPr>
          <w:cantSplit w:val="true"/>
        </w:trPr>
        <w:tc>
          <w:tcPr>
            <w:tcW w:type="dxa" w:w="238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Agresión del inimputable (niño, enfermo mental, ebrio)</w:t>
            </w:r>
          </w:p>
        </w:tc>
        <w:tc>
          <w:tcPr>
            <w:tcW w:type="dxa" w:w="317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Es ilegítima, pero la defensa se restringe</w:t>
            </w:r>
          </w:p>
        </w:tc>
        <w:tc>
          <w:tcPr>
            <w:tcW w:type="dxa" w:w="385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Se exige esquivar o contener antes de lesionar (límites ético-sociales; Roxin, § 15).</w:t>
            </w:r>
          </w:p>
        </w:tc>
      </w:tr>
      <w:tr>
        <w:trPr>
          <w:cantSplit w:val="true"/>
        </w:trPr>
        <w:tc>
          <w:tcPr>
            <w:tcW w:type="dxa" w:w="238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Agresión de un funcionario</w:t>
            </w:r>
          </w:p>
        </w:tc>
        <w:tc>
          <w:tcPr>
            <w:tcW w:type="dxa" w:w="317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Es legítima si actúa dentro de sus atribuciones; ilegítima si abusa de ellas</w:t>
            </w:r>
          </w:p>
        </w:tc>
        <w:tc>
          <w:tcPr>
            <w:tcW w:type="dxa" w:w="385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Aquí se debate la resistencia al arresto ilegal; extrema cautela.</w:t>
            </w:r>
          </w:p>
        </w:tc>
      </w:tr>
      <w:tr>
        <w:trPr>
          <w:cantSplit w:val="true"/>
        </w:trPr>
        <w:tc>
          <w:tcPr>
            <w:tcW w:type="dxa" w:w="238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Agresión mutua (riña)</w:t>
            </w:r>
          </w:p>
        </w:tc>
        <w:tc>
          <w:tcPr>
            <w:tcW w:type="dxa" w:w="317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No hay legítima defensa para quienes se enfrentan voluntariamente</w:t>
            </w:r>
          </w:p>
        </w:tc>
        <w:tc>
          <w:tcPr>
            <w:tcW w:type="dxa" w:w="385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Excepción: cuando uno escala de modo imprevisible la intensidad (capítulo 10.3).</w:t>
            </w:r>
          </w:p>
        </w:tc>
      </w:tr>
      <w:tr>
        <w:trPr>
          <w:cantSplit w:val="true"/>
        </w:trPr>
        <w:tc>
          <w:tcPr>
            <w:tcW w:type="dxa" w:w="238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Delito ya consumado</w:t>
            </w:r>
          </w:p>
        </w:tc>
        <w:tc>
          <w:tcPr>
            <w:tcW w:type="dxa" w:w="317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Cesada la agresión, no hay defensa; sí puede haber detención en flagrancia</w:t>
            </w:r>
          </w:p>
        </w:tc>
        <w:tc>
          <w:tcPr>
            <w:tcW w:type="dxa" w:w="385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No confundir defensa con persecución o recuperación de la cosa.</w:t>
            </w:r>
          </w:p>
        </w:tc>
      </w:tr>
    </w:tbl>
    <w:p>
      <w:pPr>
        <w:spacing w:after="60"/>
      </w:pPr>
    </w:p>
    <w:p>
      <w:pPr>
        <w:pStyle w:val="Heading2"/>
      </w:pPr>
      <w:r>
        <w:t>3.5. Límites ético-sociales</w:t>
      </w:r>
    </w:p>
    <w:p>
      <w:pPr>
        <w:jc w:val="both"/>
      </w:pPr>
      <w:r>
        <w:t xml:space="preserve">Aun ante una agresión actual e ilegítima, la doctrina comparada y parte de la nacional admiten que la defensa se </w:t>
      </w:r>
      <w:r>
        <w:rPr>
          <w:b/>
        </w:rPr>
        <w:t>restringe</w:t>
      </w:r>
      <w:r>
        <w:t xml:space="preserve"> cuando el agresor es un niño o un inimputable, cuando existe una relación personal estrecha, cuando hay una desproporción enorme entre bienes o cuando el defensor provocó el conflicto. En esos casos se espera que el defensor eluda o contenga antes de lesionar (Roxin, Derecho Penal, Parte General, t. I, § 15; </w:t>
      </w:r>
      <w:r>
        <w:rPr>
          <w:b/>
        </w:rPr>
        <w:t>DOCTRINA – verificar edición</w:t>
      </w:r>
      <w:r>
        <w:t>). El Código argentino no recoge expresamente esos límites; la doctrina los canaliza por la «necesidad racional del medio» y por la exigencia de una defensa «necesaria».</w:t>
      </w:r>
    </w:p>
    <w:p>
      <w:pPr>
        <w:pStyle w:val="Heading2"/>
      </w:pPr>
      <w:r>
        <w:t>3.6. Ejemplos</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Ejemplo 3.1 (hipotético): sí hay agresión</w:t>
            </w:r>
          </w:p>
          <w:p>
            <w:pPr>
              <w:spacing w:after="50"/>
              <w:jc w:val="both"/>
            </w:pPr>
            <w:r>
              <w:rPr>
                <w:sz w:val="20"/>
              </w:rPr>
              <w:t>Una persona es abordada en la calle por otra que le apunta con un cuchillo y exige el teléfono. Hay agresión ilegítima, actual y dirigida a bienes jurídicos (libertad, integridad, propiedad). El análisis posterior pasará a la racionalidad del medio.</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Ejemplo 3.2 (hipotético): agresión futura</w:t>
            </w:r>
          </w:p>
          <w:p>
            <w:pPr>
              <w:spacing w:after="50"/>
              <w:jc w:val="both"/>
            </w:pPr>
            <w:r>
              <w:rPr>
                <w:sz w:val="20"/>
              </w:rPr>
              <w:t>Un vecino amenaza por mensaje con «romperle la cara mañana». El destinatario espera al amenazante en la esquina y lo golpea primero. No hay agresión actual: no hay legítima defensa. La vía es la denuncia (amenazas, art. 149 bis) y, si corresponde, las medidas de protección.</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Ejemplo 3.3 (hipotético): agresión cesada</w:t>
            </w:r>
          </w:p>
          <w:p>
            <w:pPr>
              <w:spacing w:after="50"/>
              <w:jc w:val="both"/>
            </w:pPr>
            <w:r>
              <w:rPr>
                <w:sz w:val="20"/>
              </w:rPr>
              <w:t>Durante un forcejeo, el agredido logra desarmar al atacante, que queda en el suelo y desarmado. Luego lo golpea reiteradamente. A partir de que cesó el peligro no hay agresión: la conducta posterior es un hecho nuevo (lesiones u homicidio) o, para parte de la doctrina, exceso (ver capítulo 8).</w:t>
            </w:r>
          </w:p>
        </w:tc>
      </w:tr>
    </w:tbl>
    <w:p>
      <w:pPr>
        <w:spacing w:after="40" w:line="120" w:lineRule="auto"/>
      </w:pPr>
    </w:p>
    <w:p>
      <w:pPr>
        <w:pStyle w:val="Heading2"/>
      </w:pPr>
      <w:r>
        <w:t>3.7. Jurisprudencia</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EF1F6"/>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Dos momentos del hecho (sumario SAIJ SUG0034562, 20/09/2023) – VERIFICADO – sumario SAIJ</w:t>
            </w:r>
          </w:p>
          <w:p>
            <w:pPr>
              <w:spacing w:after="50"/>
              <w:jc w:val="both"/>
            </w:pPr>
            <w:r>
              <w:rPr>
                <w:sz w:val="20"/>
              </w:rPr>
              <w:t xml:space="preserve">«Homicidio simple. Procesamiento. […] Suceso que se compone de dos momentos diferentes y es en el segundo donde el imputado se convierte en agresor atacando al damnificado cuando su accionar había dejado de ser un acto de defensa porque ya no había qué acción repeler.» El sumario recuperado no identifica el tribunal. Lección: la agresión ilegítima se analiza </w:t>
            </w:r>
            <w:r>
              <w:rPr>
                <w:b/>
                <w:sz w:val="20"/>
              </w:rPr>
              <w:t>momento por momento</w:t>
            </w:r>
            <w:r>
              <w:rPr>
                <w:sz w:val="20"/>
              </w:rPr>
              <w:t>.</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EF1F6"/>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Defensa frente a una violación grupal (sumario SAIJ SUB0962927, 25/03/2022) – VERIFICADO – sumario SAIJ</w:t>
            </w:r>
          </w:p>
          <w:p>
            <w:pPr>
              <w:spacing w:after="50"/>
              <w:jc w:val="both"/>
            </w:pPr>
            <w:r>
              <w:rPr>
                <w:sz w:val="20"/>
              </w:rPr>
              <w:t>Se absolvió a una mujer acusada de homicidio por matar a un hombre al defenderse de una violación grupal: la imputada «obró en respuesta de una agresión ilegítima, que no provocó, valiéndose en la emergencia de un medio racional para repelerla, dada la marcada desigualdad de fuerzas, natural y numérica». El sumario no consigna el tribunal.</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AF3F4"/>
            <w:tcBorders>
              <w:top w:val="single" w:sz="4" w:color="007980" w:space="0"/>
              <w:left w:val="single" w:sz="24" w:color="007980" w:space="0"/>
              <w:bottom w:val="single" w:sz="4" w:color="007980" w:space="0"/>
              <w:right w:val="single" w:sz="4" w:color="007980" w:space="0"/>
            </w:tcBorders>
            <w:tcMar>
              <w:top w:w="80" w:type="dxa"/>
              <w:left w:w="160" w:type="dxa"/>
              <w:bottom w:w="80" w:type="dxa"/>
              <w:right w:w="140" w:type="dxa"/>
            </w:tcMar>
          </w:tcPr>
          <w:p>
            <w:pPr>
              <w:spacing w:after="60"/>
            </w:pPr>
            <w:r>
              <w:rPr>
                <w:b/>
                <w:color w:val="007980"/>
                <w:sz w:val="21"/>
              </w:rPr>
              <w:t>Resumen del capítulo 3</w:t>
            </w:r>
          </w:p>
          <w:p>
            <w:pPr>
              <w:spacing w:after="50"/>
              <w:ind w:left="255" w:hanging="255"/>
              <w:jc w:val="both"/>
            </w:pPr>
            <w:r>
              <w:rPr>
                <w:sz w:val="20"/>
              </w:rPr>
              <w:t>•  Agresión: conducta humana que lesiona o pone en peligro un bien jurídico; ilegítima = antijurídica (no exige culpabilidad).</w:t>
            </w:r>
          </w:p>
          <w:p>
            <w:pPr>
              <w:spacing w:after="50"/>
              <w:ind w:left="255" w:hanging="255"/>
              <w:jc w:val="both"/>
            </w:pPr>
            <w:r>
              <w:rPr>
                <w:sz w:val="20"/>
              </w:rPr>
              <w:t xml:space="preserve">•  Debe ser </w:t>
            </w:r>
            <w:r>
              <w:rPr>
                <w:b/>
                <w:sz w:val="20"/>
              </w:rPr>
              <w:t>actual o inminente</w:t>
            </w:r>
            <w:r>
              <w:rPr>
                <w:sz w:val="20"/>
              </w:rPr>
              <w:t>: ni futura ni cesada.</w:t>
            </w:r>
          </w:p>
          <w:p>
            <w:pPr>
              <w:spacing w:after="50"/>
              <w:ind w:left="255" w:hanging="255"/>
              <w:jc w:val="both"/>
            </w:pPr>
            <w:r>
              <w:rPr>
                <w:sz w:val="20"/>
              </w:rPr>
              <w:t>•  Cuando el agresor es un inimputable o un niño, existe un deber de esquivar o contener antes de lesionar.</w:t>
            </w:r>
          </w:p>
          <w:p>
            <w:pPr>
              <w:spacing w:after="50"/>
              <w:ind w:left="255" w:hanging="255"/>
              <w:jc w:val="both"/>
            </w:pPr>
            <w:r>
              <w:rPr>
                <w:sz w:val="20"/>
              </w:rPr>
              <w:t>•  Se analiza momento por momento: la defensa legítima puede transformarse en agresión.</w:t>
            </w:r>
          </w:p>
        </w:tc>
      </w:tr>
    </w:tbl>
    <w:p>
      <w:pPr>
        <w:spacing w:after="40" w:line="120" w:lineRule="auto"/>
      </w:pPr>
    </w:p>
    <w:p>
      <w:pPr>
        <w:sectPr>
          <w:pgSz w:w="11906" w:h="16838"/>
          <w:pgMar w:top="1134" w:right="1247" w:bottom="1077" w:left="1247" w:header="454" w:footer="397" w:gutter="0"/>
          <w:cols w:space="720"/>
          <w:docGrid w:linePitch="360"/>
        </w:sectPr>
      </w:pP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5  ·  </w:t>
            </w:r>
            <w:r>
              <w:rPr>
                <w:b/>
                <w:color w:val="FFFFFF"/>
                <w:sz w:val="52"/>
              </w:rPr>
              <w:t>Agresión ilegítima: qué es</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b/>
                <w:sz w:val="50"/>
              </w:rPr>
              <w:t>Conducta humana</w:t>
            </w:r>
            <w:r>
              <w:rPr>
                <w:sz w:val="50"/>
              </w:rPr>
              <w:t xml:space="preserve"> que lesiona o pone en peligro un bien jurídico</w:t>
            </w:r>
          </w:p>
          <w:p>
            <w:pPr>
              <w:spacing w:after="240"/>
              <w:ind w:left="397" w:hanging="397"/>
            </w:pPr>
            <w:r>
              <w:rPr>
                <w:color w:val="007980"/>
                <w:sz w:val="38"/>
              </w:rPr>
              <w:t xml:space="preserve">■  </w:t>
            </w:r>
            <w:r>
              <w:rPr>
                <w:b/>
                <w:sz w:val="50"/>
              </w:rPr>
              <w:t>Ilegítima</w:t>
            </w:r>
            <w:r>
              <w:rPr>
                <w:sz w:val="50"/>
              </w:rPr>
              <w:t xml:space="preserve"> = antijurídica (no exige tipicidad ni culpabilidad)</w:t>
            </w:r>
          </w:p>
          <w:p>
            <w:pPr>
              <w:spacing w:after="240"/>
              <w:ind w:left="397" w:hanging="397"/>
            </w:pPr>
            <w:r>
              <w:rPr>
                <w:color w:val="007980"/>
                <w:sz w:val="38"/>
              </w:rPr>
              <w:t xml:space="preserve">■  </w:t>
            </w:r>
            <w:r>
              <w:rPr>
                <w:b/>
                <w:sz w:val="50"/>
              </w:rPr>
              <w:t>Actual o inminente</w:t>
            </w:r>
            <w:r>
              <w:rPr>
                <w:sz w:val="50"/>
              </w:rPr>
              <w:t>: ni futura ni cesada</w:t>
            </w:r>
          </w:p>
          <w:p>
            <w:pPr>
              <w:spacing w:after="240"/>
              <w:ind w:left="397" w:hanging="397"/>
            </w:pPr>
            <w:r>
              <w:rPr>
                <w:color w:val="007980"/>
                <w:sz w:val="38"/>
              </w:rPr>
              <w:t xml:space="preserve">■  </w:t>
            </w:r>
            <w:r>
              <w:rPr>
                <w:sz w:val="50"/>
              </w:rPr>
              <w:t>Puede ser omisiva (si hay deber de actuar)</w:t>
            </w:r>
          </w:p>
          <w:p>
            <w:pPr>
              <w:spacing w:after="240"/>
              <w:ind w:left="397" w:hanging="397"/>
            </w:pPr>
            <w:r>
              <w:rPr>
                <w:color w:val="007980"/>
                <w:sz w:val="38"/>
              </w:rPr>
              <w:t xml:space="preserve">■  </w:t>
            </w:r>
            <w:r>
              <w:rPr>
                <w:sz w:val="50"/>
              </w:rPr>
              <w:t xml:space="preserve">Contra inimputables: defensa </w:t>
            </w:r>
            <w:r>
              <w:rPr>
                <w:b/>
                <w:sz w:val="50"/>
              </w:rPr>
              <w:t>restringida</w:t>
            </w:r>
          </w:p>
        </w:tc>
      </w:tr>
    </w:tbl>
    <w:p>
      <w:pPr>
        <w:spacing w:before="120"/>
      </w:pPr>
      <w:r>
        <w:rPr>
          <w:i/>
          <w:color w:val="5A626E"/>
          <w:sz w:val="22"/>
        </w:rPr>
        <w:t>Art. 34, inc. 6, a) C.P.</w:t>
      </w:r>
    </w:p>
    <w:p>
      <w:pPr>
        <w:spacing w:after="0"/>
      </w:pPr>
      <w:r>
        <w:br w:type="page"/>
      </w: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6  ·  </w:t>
            </w:r>
            <w:r>
              <w:rPr>
                <w:b/>
                <w:color w:val="FFFFFF"/>
                <w:sz w:val="52"/>
              </w:rPr>
              <w:t>El factor tiempo</w:t>
            </w:r>
          </w:p>
        </w:tc>
      </w:tr>
    </w:tbl>
    <w:p>
      <w:pPr>
        <w:spacing w:after="80" w:line="144" w:lineRule="auto"/>
      </w:pPr>
    </w:p>
    <w:p>
      <w:pPr>
        <w:jc w:val="center"/>
      </w:pPr>
      <w:r>
        <w:drawing>
          <wp:inline xmlns:a="http://schemas.openxmlformats.org/drawingml/2006/main" xmlns:pic="http://schemas.openxmlformats.org/drawingml/2006/picture">
            <wp:extent cx="9180000" cy="4590000"/>
            <wp:docPr id="3" name="Picture 3"/>
            <wp:cNvGraphicFramePr>
              <a:graphicFrameLocks noChangeAspect="1"/>
            </wp:cNvGraphicFramePr>
            <a:graphic>
              <a:graphicData uri="http://schemas.openxmlformats.org/drawingml/2006/picture">
                <pic:pic>
                  <pic:nvPicPr>
                    <pic:cNvPr id="0" name="fig_tiempo.png"/>
                    <pic:cNvPicPr/>
                  </pic:nvPicPr>
                  <pic:blipFill>
                    <a:blip r:embed="rId11"/>
                    <a:stretch>
                      <a:fillRect/>
                    </a:stretch>
                  </pic:blipFill>
                  <pic:spPr>
                    <a:xfrm>
                      <a:off x="0" y="0"/>
                      <a:ext cx="9180000" cy="4590000"/>
                    </a:xfrm>
                    <a:prstGeom prst="rect"/>
                  </pic:spPr>
                </pic:pic>
              </a:graphicData>
            </a:graphic>
          </wp:inline>
        </w:drawing>
      </w:r>
    </w:p>
    <w:p>
      <w:pPr>
        <w:spacing w:before="120"/>
      </w:pPr>
      <w:r>
        <w:rPr>
          <w:i/>
          <w:color w:val="5A626E"/>
          <w:sz w:val="22"/>
        </w:rPr>
        <w:t>La actualidad se aprecia al momento de reaccionar y se mide con criterio ex ante.</w:t>
      </w:r>
    </w:p>
    <w:p>
      <w:pPr>
        <w:sectPr>
          <w:pgSz w:w="16838" w:h="11906" w:orient="landscape"/>
          <w:pgMar w:top="624" w:right="737" w:bottom="680" w:left="737" w:header="454" w:footer="397" w:gutter="0"/>
          <w:cols w:space="720"/>
          <w:docGrid w:linePitch="360"/>
        </w:sectPr>
      </w:pPr>
    </w:p>
    <w:p>
      <w:pPr>
        <w:pStyle w:val="Heading1"/>
      </w:pPr>
      <w:r>
        <w:t>Capítulo 4. Segundo requisito: la necesidad racional del medio empleado</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2F5F9"/>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Ficha del tema</w:t>
            </w:r>
          </w:p>
          <w:p>
            <w:pPr>
              <w:spacing w:after="50"/>
              <w:ind w:left="255" w:hanging="255"/>
              <w:jc w:val="both"/>
            </w:pPr>
            <w:r>
              <w:rPr>
                <w:sz w:val="20"/>
              </w:rPr>
              <w:t xml:space="preserve">•  </w:t>
            </w:r>
            <w:r>
              <w:rPr>
                <w:b/>
                <w:sz w:val="20"/>
              </w:rPr>
              <w:t>Sujetos:</w:t>
            </w:r>
            <w:r>
              <w:rPr>
                <w:sz w:val="20"/>
              </w:rPr>
              <w:t xml:space="preserve"> el defensor, cuya conducta se valora; el juez, que la juzga </w:t>
            </w:r>
            <w:r>
              <w:rPr>
                <w:i/>
                <w:sz w:val="20"/>
              </w:rPr>
              <w:t>ex post</w:t>
            </w:r>
            <w:r>
              <w:rPr>
                <w:sz w:val="20"/>
              </w:rPr>
              <w:t xml:space="preserve"> con criterio </w:t>
            </w:r>
            <w:r>
              <w:rPr>
                <w:i/>
                <w:sz w:val="20"/>
              </w:rPr>
              <w:t>ex ante</w:t>
            </w:r>
            <w:r>
              <w:rPr>
                <w:sz w:val="20"/>
              </w:rPr>
              <w:t>.</w:t>
            </w:r>
          </w:p>
          <w:p>
            <w:pPr>
              <w:spacing w:after="50"/>
              <w:ind w:left="255" w:hanging="255"/>
              <w:jc w:val="both"/>
            </w:pPr>
            <w:r>
              <w:rPr>
                <w:sz w:val="20"/>
              </w:rPr>
              <w:t xml:space="preserve">•  </w:t>
            </w:r>
            <w:r>
              <w:rPr>
                <w:b/>
                <w:sz w:val="20"/>
              </w:rPr>
              <w:t>Normativa:</w:t>
            </w:r>
            <w:r>
              <w:rPr>
                <w:sz w:val="20"/>
              </w:rPr>
              <w:t xml:space="preserve"> art. 34, inc. 6, b), C.P.; art. 35 (exceso). Civil: art. 1718, inc. b, CCyC («medio racionalmente proporcionado»).</w:t>
            </w:r>
          </w:p>
          <w:p>
            <w:pPr>
              <w:spacing w:after="50"/>
              <w:ind w:left="255" w:hanging="255"/>
              <w:jc w:val="both"/>
            </w:pPr>
            <w:r>
              <w:rPr>
                <w:sz w:val="20"/>
              </w:rPr>
              <w:t xml:space="preserve">•  </w:t>
            </w:r>
            <w:r>
              <w:rPr>
                <w:b/>
                <w:sz w:val="20"/>
              </w:rPr>
              <w:t>Elementos clave:</w:t>
            </w:r>
            <w:r>
              <w:rPr>
                <w:sz w:val="20"/>
              </w:rPr>
              <w:t xml:space="preserve"> necesidad de la defensa; elección del medio; racionalidad; ausencia de equivalencia estricta.</w:t>
            </w:r>
          </w:p>
        </w:tc>
      </w:tr>
    </w:tbl>
    <w:p>
      <w:pPr>
        <w:spacing w:after="40" w:line="120" w:lineRule="auto"/>
      </w:pPr>
    </w:p>
    <w:p>
      <w:pPr>
        <w:pStyle w:val="Heading2"/>
      </w:pPr>
      <w:r>
        <w:t>4.1. Dos planos: necesidad y racionalidad</w:t>
      </w:r>
    </w:p>
    <w:p>
      <w:pPr>
        <w:jc w:val="both"/>
      </w:pPr>
      <w:r>
        <w:t>La fórmula legal («necesidad racional del medio empleado para impedirla o repelerla») contiene dos exigencias que conviene separar al exponer:</w:t>
      </w:r>
    </w:p>
    <w:p>
      <w:pPr>
        <w:spacing w:after="50"/>
        <w:ind w:left="595" w:hanging="255"/>
        <w:jc w:val="both"/>
      </w:pPr>
      <w:r>
        <w:t xml:space="preserve">•  </w:t>
      </w:r>
      <w:r>
        <w:rPr>
          <w:b/>
        </w:rPr>
        <w:t>Necesidad:</w:t>
      </w:r>
      <w:r>
        <w:t xml:space="preserve"> la conducta defensiva debía ser </w:t>
      </w:r>
      <w:r>
        <w:rPr>
          <w:i/>
        </w:rPr>
        <w:t>idónea y necesaria</w:t>
      </w:r>
      <w:r>
        <w:t xml:space="preserve"> para neutralizar la agresión; si existía una alternativa igualmente eficaz y menos lesiva, la defensa excedió lo necesario.</w:t>
      </w:r>
    </w:p>
    <w:p>
      <w:pPr>
        <w:spacing w:after="50"/>
        <w:ind w:left="595" w:hanging="255"/>
        <w:jc w:val="both"/>
      </w:pPr>
      <w:r>
        <w:t xml:space="preserve">•  </w:t>
      </w:r>
      <w:r>
        <w:rPr>
          <w:b/>
        </w:rPr>
        <w:t>Racionalidad:</w:t>
      </w:r>
      <w:r>
        <w:t xml:space="preserve"> entre las defensas necesarias, la elegida debe ser </w:t>
      </w:r>
      <w:r>
        <w:rPr>
          <w:i/>
        </w:rPr>
        <w:t>razonable</w:t>
      </w:r>
      <w:r>
        <w:t xml:space="preserve"> en la situación concreta; no puede haber una desproporción manifiesta entre la agresión y la reacción.</w:t>
      </w:r>
    </w:p>
    <w:p>
      <w:pPr>
        <w:jc w:val="both"/>
      </w:pPr>
      <w:r>
        <w:t xml:space="preserve">El «medio» no se identifica con el instrumento (el arma, el palo, el cuchillo), sino con la </w:t>
      </w:r>
      <w:r>
        <w:rPr>
          <w:b/>
        </w:rPr>
        <w:t>conducta defensiva en su conjunto</w:t>
      </w:r>
      <w:r>
        <w:t>: la forma, la intensidad, la zona del cuerpo alcanzada y la duración.</w:t>
      </w:r>
    </w:p>
    <w:p>
      <w:pPr>
        <w:pStyle w:val="Heading2"/>
      </w:pPr>
      <w:r>
        <w:t>4.2. Cómo se mide: criterio ex ante y situación concreta</w:t>
      </w:r>
    </w:p>
    <w:p>
      <w:pPr>
        <w:jc w:val="both"/>
      </w:pPr>
      <w:r>
        <w:t xml:space="preserve">La racionalidad se juzga </w:t>
      </w:r>
      <w:r>
        <w:rPr>
          <w:b/>
        </w:rPr>
        <w:t>colocándose en la posición del defensor</w:t>
      </w:r>
      <w:r>
        <w:t xml:space="preserve"> en el momento del hecho, con los datos que tenía o podía tener, y no con el conocimiento posterior del resultado. Es lo que enseña la práctica judicial al descartar la «matemática de la defensa»: no se puede exigir una medición milimétrica a quien actúa bajo amenaza y en segundos. Al mismo tiempo, la reacción no puede apartarse de lo razonable.</w:t>
      </w:r>
    </w:p>
    <w:p>
      <w:pPr>
        <w:jc w:val="both"/>
      </w:pPr>
      <w:r>
        <w:t>Factores que habitualmente pondera la jurisprudencia:</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948"/>
            <w:shd w:val="clear" w:color="auto" w:fill="172B4D"/>
            <w:tcMar>
              <w:top w:w="50" w:type="dxa"/>
              <w:left w:w="80" w:type="dxa"/>
              <w:bottom w:w="50" w:type="dxa"/>
              <w:right w:w="80" w:type="dxa"/>
            </w:tcMar>
          </w:tcPr>
          <w:p>
            <w:pPr>
              <w:spacing w:after="0"/>
            </w:pPr>
            <w:r>
              <w:rPr>
                <w:b/>
                <w:color w:val="FFFFFF"/>
                <w:sz w:val="18"/>
              </w:rPr>
              <w:t>Factor</w:t>
            </w:r>
          </w:p>
        </w:tc>
        <w:tc>
          <w:tcPr>
            <w:tcW w:type="dxa" w:w="6463"/>
            <w:shd w:val="clear" w:color="auto" w:fill="172B4D"/>
            <w:tcMar>
              <w:top w:w="50" w:type="dxa"/>
              <w:left w:w="80" w:type="dxa"/>
              <w:bottom w:w="50" w:type="dxa"/>
              <w:right w:w="80" w:type="dxa"/>
            </w:tcMar>
          </w:tcPr>
          <w:p>
            <w:pPr>
              <w:spacing w:after="0"/>
            </w:pPr>
            <w:r>
              <w:rPr>
                <w:b/>
                <w:color w:val="FFFFFF"/>
                <w:sz w:val="18"/>
              </w:rPr>
              <w:t>Preguntas de análisis</w:t>
            </w:r>
          </w:p>
        </w:tc>
      </w:tr>
      <w:tr>
        <w:trPr>
          <w:cantSplit w:val="true"/>
        </w:trPr>
        <w:tc>
          <w:tcPr>
            <w:tcW w:type="dxa" w:w="294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Bien en peligro</w:t>
            </w:r>
          </w:p>
        </w:tc>
        <w:tc>
          <w:tcPr>
            <w:tcW w:type="dxa" w:w="6463"/>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¿Vida, integridad, libertad sexual, propiedad? A mayor jerarquía, mayor margen defensivo.</w:t>
            </w:r>
          </w:p>
        </w:tc>
      </w:tr>
      <w:tr>
        <w:trPr>
          <w:cantSplit w:val="true"/>
        </w:trPr>
        <w:tc>
          <w:tcPr>
            <w:tcW w:type="dxa" w:w="294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Intensidad y peligrosidad del ataque</w:t>
            </w:r>
          </w:p>
        </w:tc>
        <w:tc>
          <w:tcPr>
            <w:tcW w:type="dxa" w:w="6463"/>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¿Armas, fuerza, golpes, número de agresores, persistencia?</w:t>
            </w:r>
          </w:p>
        </w:tc>
      </w:tr>
      <w:tr>
        <w:trPr>
          <w:cantSplit w:val="true"/>
        </w:trPr>
        <w:tc>
          <w:tcPr>
            <w:tcW w:type="dxa" w:w="294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Medios disponibles</w:t>
            </w:r>
          </w:p>
        </w:tc>
        <w:tc>
          <w:tcPr>
            <w:tcW w:type="dxa" w:w="6463"/>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¿Qué tenía el agresor y qué tenía el defensor al alcance? ¿Pudo recurrir a otro medio menos lesivo?</w:t>
            </w:r>
          </w:p>
        </w:tc>
      </w:tr>
      <w:tr>
        <w:trPr>
          <w:cantSplit w:val="true"/>
        </w:trPr>
        <w:tc>
          <w:tcPr>
            <w:tcW w:type="dxa" w:w="294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Desigualdad de fuerzas</w:t>
            </w:r>
          </w:p>
        </w:tc>
        <w:tc>
          <w:tcPr>
            <w:tcW w:type="dxa" w:w="6463"/>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Número, edad, sexo, contextura, entrenamiento, estado de salud.</w:t>
            </w:r>
          </w:p>
        </w:tc>
      </w:tr>
      <w:tr>
        <w:trPr>
          <w:cantSplit w:val="true"/>
        </w:trPr>
        <w:tc>
          <w:tcPr>
            <w:tcW w:type="dxa" w:w="294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Circunstancias del lugar y del momento</w:t>
            </w:r>
          </w:p>
        </w:tc>
        <w:tc>
          <w:tcPr>
            <w:tcW w:type="dxa" w:w="6463"/>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Aislamiento, oscuridad, posibilidad de pedir auxilio, de huir o de refugiarse.</w:t>
            </w:r>
          </w:p>
        </w:tc>
      </w:tr>
      <w:tr>
        <w:trPr>
          <w:cantSplit w:val="true"/>
        </w:trPr>
        <w:tc>
          <w:tcPr>
            <w:tcW w:type="dxa" w:w="294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Estado emocional</w:t>
            </w:r>
          </w:p>
        </w:tc>
        <w:tc>
          <w:tcPr>
            <w:tcW w:type="dxa" w:w="6463"/>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Miedo, sorpresa, estrés: se valoran para apreciar la racionalidad y, eventualmente, el exceso.</w:t>
            </w:r>
          </w:p>
        </w:tc>
      </w:tr>
      <w:tr>
        <w:trPr>
          <w:cantSplit w:val="true"/>
        </w:trPr>
        <w:tc>
          <w:tcPr>
            <w:tcW w:type="dxa" w:w="294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Conducta del defensor</w:t>
            </w:r>
          </w:p>
        </w:tc>
        <w:tc>
          <w:tcPr>
            <w:tcW w:type="dxa" w:w="6463"/>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¿Advirtió? ¿Intentó disuadir? ¿Disparó a zona vital? ¿Continuó tras cesar el peligro?</w:t>
            </w:r>
          </w:p>
        </w:tc>
      </w:tr>
    </w:tbl>
    <w:p>
      <w:pPr>
        <w:spacing w:after="60"/>
      </w:pPr>
    </w:p>
    <w:p>
      <w:pPr>
        <w:pStyle w:val="Heading2"/>
      </w:pPr>
      <w:r>
        <w:t>4.3. Las discusiones centrales</w:t>
      </w:r>
    </w:p>
    <w:p>
      <w:pPr>
        <w:pStyle w:val="Heading3"/>
      </w:pPr>
      <w:r>
        <w:t>a) ¿Se exige proporción entre los bienes?</w:t>
      </w:r>
    </w:p>
    <w:p>
      <w:pPr>
        <w:jc w:val="both"/>
      </w:pPr>
      <w:r>
        <w:t xml:space="preserve">La posición más difundida sostiene que </w:t>
      </w:r>
      <w:r>
        <w:rPr>
          <w:b/>
        </w:rPr>
        <w:t>no</w:t>
      </w:r>
      <w:r>
        <w:t xml:space="preserve"> se requiere equivalencia estricta entre el bien defendido y el lesionado: de lo contrario, el agredido quedaría obligado a soportar el ataque. Pero sí rechaza reacciones groseramente desproporcionadas (por ejemplo, matar para impedir un hurto insignificante). La racionalidad opera como filtro. Otras posiciones, más restrictivas, ponen el acento en la jerarquía de los bienes. Cuando se trate de la defensa de la propiedad con medios letales, la decisión es especialmente exigente (capítulo 10.3).</w:t>
      </w:r>
    </w:p>
    <w:p>
      <w:pPr>
        <w:pStyle w:val="Heading3"/>
      </w:pPr>
      <w:r>
        <w:t>b) ¿Hay deber de huir?</w:t>
      </w:r>
    </w:p>
    <w:p>
      <w:pPr>
        <w:jc w:val="both"/>
      </w:pPr>
      <w:r>
        <w:t xml:space="preserve">No existe un deber general de huir: el derecho no manda ceder al injusto. Pero la posibilidad cierta, sencilla y segura de eludir el ataque o de neutralizarlo de modo menos lesivo incide en la </w:t>
      </w:r>
      <w:r>
        <w:rPr>
          <w:b/>
        </w:rPr>
        <w:t>necesidad</w:t>
      </w:r>
      <w:r>
        <w:t>. La fuga incierta, humillante o riesgosa no es exigible.</w:t>
      </w:r>
    </w:p>
    <w:p>
      <w:pPr>
        <w:pStyle w:val="Heading3"/>
      </w:pPr>
      <w:r>
        <w:t>c) El uso de armas de fuego</w:t>
      </w:r>
    </w:p>
    <w:p>
      <w:pPr>
        <w:jc w:val="both"/>
      </w:pPr>
      <w:r>
        <w:t>El empleo de un arma de fuego contra una persona es el supuesto de mayor litigiosidad: se examina si hubo advertencia, disparo a zonas no vitales, número de disparos, distancia y si el agresor ya estaba neutralizado. Un disparo a una zona letal puede ser racional frente a un ataque con arma de fuego y no serlo frente a un empujón. El TSJ de Córdoba habría sostenido, en un caso de homicidio con arma de fuego, que la reacción fue irracional por haberse disparado a una zona letal (</w:t>
      </w:r>
      <w:r>
        <w:rPr>
          <w:b/>
        </w:rPr>
        <w:t>A CONFIRMAR</w:t>
      </w:r>
      <w:r>
        <w:t>: Sala Penal, sentencia n.º 313, 17/11/2008, «Molina, Omar Eduardo», según un resumen de prensa jurídica; verificar en la base del Poder Judicial de Córdoba).</w:t>
      </w:r>
    </w:p>
    <w:p>
      <w:pPr>
        <w:pStyle w:val="Heading3"/>
      </w:pPr>
      <w:r>
        <w:t>d) Estado de emoción y miedo</w:t>
      </w:r>
    </w:p>
    <w:p>
      <w:pPr>
        <w:jc w:val="both"/>
      </w:pPr>
      <w:r>
        <w:t>El estado emocional del defensor no sustituye la racionalidad, pero se pondera. Si el exceso nace de miedo o confusión, la doctrina discute su tratamiento (exceso del art. 35; en el derecho alemán existe una cláusula expresa: StGB § 33, exceso por confusión, miedo o terror). En el derecho argentino no hay cláusula equivalente (capítulo 8).</w:t>
      </w:r>
    </w:p>
    <w:p>
      <w:pPr>
        <w:pStyle w:val="Heading2"/>
      </w:pPr>
      <w:r>
        <w:t>4.4. Ejemplos</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Ejemplo 4.1 (hipotético): medio racional</w:t>
            </w:r>
          </w:p>
          <w:p>
            <w:pPr>
              <w:spacing w:after="50"/>
              <w:jc w:val="both"/>
            </w:pPr>
            <w:r>
              <w:rPr>
                <w:sz w:val="20"/>
              </w:rPr>
              <w:t>Una mujer es golpeada con los puños por su pareja, mucho más fuerte que ella. Toma un cuchillo de la cocina, que estaba a su alcance, y lo hiere en el costado. Dada la desigualdad de fuerzas y la ausencia de otro medio, la doctrina y la jurisprudencia valoran favorablemente la racionalidad, sin perjuicio de la prueba concreta del contexto (capítulo 10.1).</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Ejemplo 4.2 (hipotético): medio irracional</w:t>
            </w:r>
          </w:p>
          <w:p>
            <w:pPr>
              <w:spacing w:after="50"/>
              <w:jc w:val="both"/>
            </w:pPr>
            <w:r>
              <w:rPr>
                <w:sz w:val="20"/>
              </w:rPr>
              <w:t>Un comerciante advierte que un joven intenta llevarse una caja de bebidas. El joven no lo agrede ni lo amenaza y trata de huir. El comerciante toma una escopeta y dispara. Hay un bien de escaso valor frente a la vida; no hay agresión actual contra la persona y el medio es groseramente desproporcionado. No hay legítima defensa y, según las circunstancias, tampoco exceso, sino un hecho doloso.</w:t>
            </w:r>
          </w:p>
        </w:tc>
      </w:tr>
    </w:tbl>
    <w:p>
      <w:pPr>
        <w:spacing w:after="40" w:line="120" w:lineRule="auto"/>
      </w:pPr>
    </w:p>
    <w:p>
      <w:pPr>
        <w:pStyle w:val="Heading2"/>
      </w:pPr>
      <w:r>
        <w:t>4.5. Jurisprudencia</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EF1F6"/>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El medio al alcance de la mano en un contexto de violencia (sumario SAIJ SUW0003151, 06/06/2023) – VERIFICADO – sumario SAIJ</w:t>
            </w:r>
          </w:p>
          <w:p>
            <w:pPr>
              <w:spacing w:after="50"/>
              <w:jc w:val="both"/>
            </w:pPr>
            <w:r>
              <w:rPr>
                <w:sz w:val="20"/>
              </w:rPr>
              <w:t>Se absolvió a una mujer acusada de homicidio agravado por el vínculo: la reiteración de los hechos violentos y la reiniciación de la pareja «revelan el ciclo de violencia en el que se encontraba atrapada la encausada». «Es por ello que la proporcionalidad conectada con la necesidad racional del medio empleado por la mujer que resultó víctima de violencia, se traduce en el uso del medio que tenía al alcance de la mano y con el que debía repeler eficazmente la agresión para evitar seguir siendo golpeada y hasta ultimada por su atacante.» El sumario no identifica el tribunal.</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AF3F4"/>
            <w:tcBorders>
              <w:top w:val="single" w:sz="4" w:color="007980" w:space="0"/>
              <w:left w:val="single" w:sz="24" w:color="007980" w:space="0"/>
              <w:bottom w:val="single" w:sz="4" w:color="007980" w:space="0"/>
              <w:right w:val="single" w:sz="4" w:color="007980" w:space="0"/>
            </w:tcBorders>
            <w:tcMar>
              <w:top w:w="80" w:type="dxa"/>
              <w:left w:w="160" w:type="dxa"/>
              <w:bottom w:w="80" w:type="dxa"/>
              <w:right w:w="140" w:type="dxa"/>
            </w:tcMar>
          </w:tcPr>
          <w:p>
            <w:pPr>
              <w:spacing w:after="60"/>
            </w:pPr>
            <w:r>
              <w:rPr>
                <w:b/>
                <w:color w:val="007980"/>
                <w:sz w:val="21"/>
              </w:rPr>
              <w:t>Resumen del capítulo 4</w:t>
            </w:r>
          </w:p>
          <w:p>
            <w:pPr>
              <w:spacing w:after="50"/>
              <w:ind w:left="255" w:hanging="255"/>
              <w:jc w:val="both"/>
            </w:pPr>
            <w:r>
              <w:rPr>
                <w:sz w:val="20"/>
              </w:rPr>
              <w:t>•  Dos planos: necesidad (idoneidad y no existencia de alternativa menos lesiva) y racionalidad (no desproporción manifiesta).</w:t>
            </w:r>
          </w:p>
          <w:p>
            <w:pPr>
              <w:spacing w:after="50"/>
              <w:ind w:left="255" w:hanging="255"/>
              <w:jc w:val="both"/>
            </w:pPr>
            <w:r>
              <w:rPr>
                <w:sz w:val="20"/>
              </w:rPr>
              <w:t xml:space="preserve">•  El medio es la </w:t>
            </w:r>
            <w:r>
              <w:rPr>
                <w:b/>
                <w:sz w:val="20"/>
              </w:rPr>
              <w:t>conducta defensiva completa</w:t>
            </w:r>
            <w:r>
              <w:rPr>
                <w:sz w:val="20"/>
              </w:rPr>
              <w:t>, no el instrumento.</w:t>
            </w:r>
          </w:p>
          <w:p>
            <w:pPr>
              <w:spacing w:after="50"/>
              <w:ind w:left="255" w:hanging="255"/>
              <w:jc w:val="both"/>
            </w:pPr>
            <w:r>
              <w:rPr>
                <w:sz w:val="20"/>
              </w:rPr>
              <w:t xml:space="preserve">•  Se valora con criterio </w:t>
            </w:r>
            <w:r>
              <w:rPr>
                <w:i/>
                <w:sz w:val="20"/>
              </w:rPr>
              <w:t>ex ante</w:t>
            </w:r>
            <w:r>
              <w:rPr>
                <w:sz w:val="20"/>
              </w:rPr>
              <w:t>, según la situación concreta del defensor.</w:t>
            </w:r>
          </w:p>
          <w:p>
            <w:pPr>
              <w:spacing w:after="50"/>
              <w:ind w:left="255" w:hanging="255"/>
              <w:jc w:val="both"/>
            </w:pPr>
            <w:r>
              <w:rPr>
                <w:sz w:val="20"/>
              </w:rPr>
              <w:t>•  No hay proporción estricta de bienes; sí un filtro de racionalidad. No hay deber general de huir.</w:t>
            </w:r>
          </w:p>
          <w:p>
            <w:pPr>
              <w:spacing w:after="50"/>
              <w:ind w:left="255" w:hanging="255"/>
              <w:jc w:val="both"/>
            </w:pPr>
            <w:r>
              <w:rPr>
                <w:sz w:val="20"/>
              </w:rPr>
              <w:t>•  El arma de fuego exige el análisis más estricto.</w:t>
            </w:r>
          </w:p>
        </w:tc>
      </w:tr>
    </w:tbl>
    <w:p>
      <w:pPr>
        <w:spacing w:after="40" w:line="120" w:lineRule="auto"/>
      </w:pPr>
    </w:p>
    <w:p>
      <w:pPr>
        <w:sectPr>
          <w:pgSz w:w="11906" w:h="16838"/>
          <w:pgMar w:top="1134" w:right="1247" w:bottom="1077" w:left="1247" w:header="454" w:footer="397" w:gutter="0"/>
          <w:cols w:space="720"/>
          <w:docGrid w:linePitch="360"/>
        </w:sectPr>
      </w:pP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7  ·  </w:t>
            </w:r>
            <w:r>
              <w:rPr>
                <w:b/>
                <w:color w:val="FFFFFF"/>
                <w:sz w:val="52"/>
              </w:rPr>
              <w:t>Necesidad racional del medio</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b/>
                <w:sz w:val="50"/>
              </w:rPr>
              <w:t>Necesidad:</w:t>
            </w:r>
            <w:r>
              <w:rPr>
                <w:sz w:val="50"/>
              </w:rPr>
              <w:t xml:space="preserve"> ¿había una alternativa igualmente eficaz y menos lesiva?</w:t>
            </w:r>
          </w:p>
          <w:p>
            <w:pPr>
              <w:spacing w:after="240"/>
              <w:ind w:left="397" w:hanging="397"/>
            </w:pPr>
            <w:r>
              <w:rPr>
                <w:color w:val="007980"/>
                <w:sz w:val="38"/>
              </w:rPr>
              <w:t xml:space="preserve">■  </w:t>
            </w:r>
            <w:r>
              <w:rPr>
                <w:b/>
                <w:sz w:val="50"/>
              </w:rPr>
              <w:t>Racionalidad:</w:t>
            </w:r>
            <w:r>
              <w:rPr>
                <w:sz w:val="50"/>
              </w:rPr>
              <w:t xml:space="preserve"> ¿hay desproporción manifiesta?</w:t>
            </w:r>
          </w:p>
          <w:p>
            <w:pPr>
              <w:spacing w:after="240"/>
              <w:ind w:left="397" w:hanging="397"/>
            </w:pPr>
            <w:r>
              <w:rPr>
                <w:color w:val="007980"/>
                <w:sz w:val="38"/>
              </w:rPr>
              <w:t xml:space="preserve">■  </w:t>
            </w:r>
            <w:r>
              <w:rPr>
                <w:sz w:val="50"/>
              </w:rPr>
              <w:t xml:space="preserve">El </w:t>
            </w:r>
            <w:r>
              <w:rPr>
                <w:i/>
                <w:sz w:val="50"/>
              </w:rPr>
              <w:t>medio</w:t>
            </w:r>
            <w:r>
              <w:rPr>
                <w:sz w:val="50"/>
              </w:rPr>
              <w:t xml:space="preserve"> es la </w:t>
            </w:r>
            <w:r>
              <w:rPr>
                <w:b/>
                <w:sz w:val="50"/>
              </w:rPr>
              <w:t>conducta defensiva completa</w:t>
            </w:r>
          </w:p>
          <w:p>
            <w:pPr>
              <w:spacing w:after="240"/>
              <w:ind w:left="397" w:hanging="397"/>
            </w:pPr>
            <w:r>
              <w:rPr>
                <w:color w:val="007980"/>
                <w:sz w:val="38"/>
              </w:rPr>
              <w:t xml:space="preserve">■  </w:t>
            </w:r>
            <w:r>
              <w:rPr>
                <w:sz w:val="50"/>
              </w:rPr>
              <w:t xml:space="preserve">Juicio </w:t>
            </w:r>
            <w:r>
              <w:rPr>
                <w:b/>
                <w:sz w:val="50"/>
              </w:rPr>
              <w:t>ex ante</w:t>
            </w:r>
            <w:r>
              <w:rPr>
                <w:sz w:val="50"/>
              </w:rPr>
              <w:t>, desde la situación del defensor</w:t>
            </w:r>
          </w:p>
          <w:p>
            <w:pPr>
              <w:spacing w:after="240"/>
              <w:ind w:left="397" w:hanging="397"/>
            </w:pPr>
            <w:r>
              <w:rPr>
                <w:color w:val="007980"/>
                <w:sz w:val="38"/>
              </w:rPr>
              <w:t xml:space="preserve">■  </w:t>
            </w:r>
            <w:r>
              <w:rPr>
                <w:sz w:val="50"/>
              </w:rPr>
              <w:t>No se exige equivalencia estricta; sí un filtro de racionalidad</w:t>
            </w:r>
          </w:p>
          <w:p>
            <w:pPr>
              <w:spacing w:after="240"/>
              <w:ind w:left="397" w:hanging="397"/>
            </w:pPr>
            <w:r>
              <w:rPr>
                <w:color w:val="007980"/>
                <w:sz w:val="38"/>
              </w:rPr>
              <w:t xml:space="preserve">■  </w:t>
            </w:r>
            <w:r>
              <w:rPr>
                <w:sz w:val="50"/>
              </w:rPr>
              <w:t>No hay deber de huir, salvo salida cierta y segura</w:t>
            </w:r>
          </w:p>
        </w:tc>
      </w:tr>
    </w:tbl>
    <w:p>
      <w:pPr>
        <w:spacing w:before="120"/>
      </w:pPr>
      <w:r>
        <w:rPr>
          <w:i/>
          <w:color w:val="5A626E"/>
          <w:sz w:val="22"/>
        </w:rPr>
        <w:t>Art. 34, inc. 6, b) C.P.</w:t>
      </w:r>
    </w:p>
    <w:p>
      <w:pPr>
        <w:spacing w:after="0"/>
      </w:pPr>
      <w:r>
        <w:br w:type="page"/>
      </w: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8  ·  </w:t>
            </w:r>
            <w:r>
              <w:rPr>
                <w:b/>
                <w:color w:val="FFFFFF"/>
                <w:sz w:val="52"/>
              </w:rPr>
              <w:t>¿Hay legítima defensa? Árbol de decisión</w:t>
            </w:r>
          </w:p>
        </w:tc>
      </w:tr>
    </w:tbl>
    <w:p>
      <w:pPr>
        <w:spacing w:after="80" w:line="144" w:lineRule="auto"/>
      </w:pPr>
    </w:p>
    <w:p>
      <w:pPr>
        <w:jc w:val="center"/>
      </w:pPr>
      <w:r>
        <w:drawing>
          <wp:inline xmlns:a="http://schemas.openxmlformats.org/drawingml/2006/main" xmlns:pic="http://schemas.openxmlformats.org/drawingml/2006/picture">
            <wp:extent cx="6120000" cy="3400000"/>
            <wp:docPr id="4" name="Picture 4"/>
            <wp:cNvGraphicFramePr>
              <a:graphicFrameLocks noChangeAspect="1"/>
            </wp:cNvGraphicFramePr>
            <a:graphic>
              <a:graphicData uri="http://schemas.openxmlformats.org/drawingml/2006/picture">
                <pic:pic>
                  <pic:nvPicPr>
                    <pic:cNvPr id="0" name="fig_arbol.png"/>
                    <pic:cNvPicPr/>
                  </pic:nvPicPr>
                  <pic:blipFill>
                    <a:blip r:embed="rId12"/>
                    <a:stretch>
                      <a:fillRect/>
                    </a:stretch>
                  </pic:blipFill>
                  <pic:spPr>
                    <a:xfrm>
                      <a:off x="0" y="0"/>
                      <a:ext cx="6120000" cy="3400000"/>
                    </a:xfrm>
                    <a:prstGeom prst="rect"/>
                  </pic:spPr>
                </pic:pic>
              </a:graphicData>
            </a:graphic>
          </wp:inline>
        </w:drawing>
      </w:r>
    </w:p>
    <w:p>
      <w:pPr>
        <w:spacing w:before="120"/>
      </w:pPr>
      <w:r>
        <w:rPr>
          <w:i/>
          <w:color w:val="5A626E"/>
          <w:sz w:val="22"/>
        </w:rPr>
        <w:t>Esquema didáctico propio; completar con la voluntad de defensa y el análisis del error.</w:t>
      </w:r>
    </w:p>
    <w:p>
      <w:pPr>
        <w:sectPr>
          <w:pgSz w:w="16838" w:h="11906" w:orient="landscape"/>
          <w:pgMar w:top="624" w:right="737" w:bottom="680" w:left="737" w:header="454" w:footer="397" w:gutter="0"/>
          <w:cols w:space="720"/>
          <w:docGrid w:linePitch="360"/>
        </w:sectPr>
      </w:pPr>
    </w:p>
    <w:p>
      <w:pPr>
        <w:pStyle w:val="Heading1"/>
      </w:pPr>
      <w:r>
        <w:t>Capítulo 5. Tercer requisito: falta de provocación suficiente. El elemento subjetivo</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2F5F9"/>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Ficha del tema</w:t>
            </w:r>
          </w:p>
          <w:p>
            <w:pPr>
              <w:spacing w:after="50"/>
              <w:ind w:left="255" w:hanging="255"/>
              <w:jc w:val="both"/>
            </w:pPr>
            <w:r>
              <w:rPr>
                <w:sz w:val="20"/>
              </w:rPr>
              <w:t xml:space="preserve">•  </w:t>
            </w:r>
            <w:r>
              <w:rPr>
                <w:b/>
                <w:sz w:val="20"/>
              </w:rPr>
              <w:t>Sujetos:</w:t>
            </w:r>
            <w:r>
              <w:rPr>
                <w:sz w:val="20"/>
              </w:rPr>
              <w:t xml:space="preserve"> el defensor (que no debe haber provocado) y, en el inc. 7, el tercero defensor (que no debe haber participado de la provocación).</w:t>
            </w:r>
          </w:p>
          <w:p>
            <w:pPr>
              <w:spacing w:after="50"/>
              <w:ind w:left="255" w:hanging="255"/>
              <w:jc w:val="both"/>
            </w:pPr>
            <w:r>
              <w:rPr>
                <w:sz w:val="20"/>
              </w:rPr>
              <w:t xml:space="preserve">•  </w:t>
            </w:r>
            <w:r>
              <w:rPr>
                <w:b/>
                <w:sz w:val="20"/>
              </w:rPr>
              <w:t>Normativa:</w:t>
            </w:r>
            <w:r>
              <w:rPr>
                <w:sz w:val="20"/>
              </w:rPr>
              <w:t xml:space="preserve"> art. 34, inc. 6, c), e inc. 7 C.P.; art. 1718, inc. b, CCyC («no provocada»).</w:t>
            </w:r>
          </w:p>
          <w:p>
            <w:pPr>
              <w:spacing w:after="50"/>
              <w:ind w:left="255" w:hanging="255"/>
              <w:jc w:val="both"/>
            </w:pPr>
            <w:r>
              <w:rPr>
                <w:sz w:val="20"/>
              </w:rPr>
              <w:t xml:space="preserve">•  </w:t>
            </w:r>
            <w:r>
              <w:rPr>
                <w:b/>
                <w:sz w:val="20"/>
              </w:rPr>
              <w:t>Elementos clave:</w:t>
            </w:r>
            <w:r>
              <w:rPr>
                <w:sz w:val="20"/>
              </w:rPr>
              <w:t xml:space="preserve"> provocación; carácter suficiente; relación causal; voluntad de defensa.</w:t>
            </w:r>
          </w:p>
        </w:tc>
      </w:tr>
    </w:tbl>
    <w:p>
      <w:pPr>
        <w:spacing w:after="40" w:line="120" w:lineRule="auto"/>
      </w:pPr>
    </w:p>
    <w:p>
      <w:pPr>
        <w:pStyle w:val="Heading2"/>
      </w:pPr>
      <w:r>
        <w:t>5.1. Qué es la provocación suficiente</w:t>
      </w:r>
    </w:p>
    <w:p>
      <w:pPr>
        <w:jc w:val="both"/>
      </w:pPr>
      <w:r>
        <w:t xml:space="preserve">El tercer requisito apunta a la conducta </w:t>
      </w:r>
      <w:r>
        <w:rPr>
          <w:b/>
        </w:rPr>
        <w:t>previa</w:t>
      </w:r>
      <w:r>
        <w:t xml:space="preserve"> del defensor. Quien provoca la agresión de manera suficiente no puede luego invocar plenamente el permiso: el conflicto fue obra suya. «Suficiente» significa que la provocación fue adecuada para motivar la reacción del agresor, de modo que ésta resulta previsible. No toda provocación excluye la defensa: los insultos leves, la mera presencia o el ejercicio de un derecho no son, por sí, provocación suficiente.</w:t>
      </w:r>
    </w:p>
    <w:p>
      <w:pPr>
        <w:jc w:val="both"/>
      </w:pPr>
      <w:r>
        <w:t>Posiciones doctrinarias sobre qué conducta provoca:</w:t>
      </w:r>
    </w:p>
    <w:p>
      <w:pPr>
        <w:spacing w:after="50"/>
        <w:ind w:left="595" w:hanging="255"/>
        <w:jc w:val="both"/>
      </w:pPr>
      <w:r>
        <w:t xml:space="preserve">•  </w:t>
      </w:r>
      <w:r>
        <w:rPr>
          <w:b/>
        </w:rPr>
        <w:t>Tesis amplia:</w:t>
      </w:r>
      <w:r>
        <w:t xml:space="preserve"> cualquier conducta que, previsiblemente, motive la agresión.</w:t>
      </w:r>
    </w:p>
    <w:p>
      <w:pPr>
        <w:spacing w:after="50"/>
        <w:ind w:left="595" w:hanging="255"/>
        <w:jc w:val="both"/>
      </w:pPr>
      <w:r>
        <w:t xml:space="preserve">•  </w:t>
      </w:r>
      <w:r>
        <w:rPr>
          <w:b/>
        </w:rPr>
        <w:t>Tesis intermedia:</w:t>
      </w:r>
      <w:r>
        <w:t xml:space="preserve"> conducta antijurídica o, al menos, ético-socialmente reprochable.</w:t>
      </w:r>
    </w:p>
    <w:p>
      <w:pPr>
        <w:spacing w:after="50"/>
        <w:ind w:left="595" w:hanging="255"/>
        <w:jc w:val="both"/>
      </w:pPr>
      <w:r>
        <w:t xml:space="preserve">•  </w:t>
      </w:r>
      <w:r>
        <w:rPr>
          <w:b/>
        </w:rPr>
        <w:t>Tesis restringida:</w:t>
      </w:r>
      <w:r>
        <w:t xml:space="preserve"> conducta dolosa o intencionalmente orientada a provocar la agresión para luego lesionar al agresor (</w:t>
      </w:r>
      <w:r>
        <w:rPr>
          <w:i/>
        </w:rPr>
        <w:t>actio illicita in causa</w:t>
      </w:r>
      <w:r>
        <w:t>).</w:t>
      </w:r>
    </w:p>
    <w:p>
      <w:pPr>
        <w:spacing w:after="50"/>
        <w:ind w:left="595" w:hanging="255"/>
        <w:jc w:val="both"/>
      </w:pPr>
      <w:r>
        <w:t xml:space="preserve">•  </w:t>
      </w:r>
      <w:r>
        <w:rPr>
          <w:b/>
        </w:rPr>
        <w:t>Consecuencia común:</w:t>
      </w:r>
      <w:r>
        <w:t xml:space="preserve"> si la provocación es suficiente, no hay legítima defensa completa; la situación puede analizarse, según el caso, como exceso o, cuando la agresión supera lo previsible, como una nueva agresión que habilita nuevamente la defensa.</w:t>
      </w:r>
    </w:p>
    <w:p>
      <w:pPr>
        <w:pStyle w:val="Heading2"/>
      </w:pPr>
      <w:r>
        <w:t>5.2. Defensa de terceros</w:t>
      </w:r>
    </w:p>
    <w:p>
      <w:pPr>
        <w:jc w:val="both"/>
      </w:pPr>
      <w:r>
        <w:t xml:space="preserve">Según el inc. 7, si precedió provocación suficiente del agredido, el tercero defensor sólo debe </w:t>
      </w:r>
      <w:r>
        <w:rPr>
          <w:b/>
        </w:rPr>
        <w:t>no haber participado en ella</w:t>
      </w:r>
      <w:r>
        <w:t>. El tercero no hereda la provocación ajena: puede defender incluso a quien provocó, siempre que él mismo no participó en la provocación.</w:t>
      </w:r>
    </w:p>
    <w:p>
      <w:pPr>
        <w:pStyle w:val="Heading2"/>
      </w:pPr>
      <w:r>
        <w:t>5.3. El elemento subjetivo de la justificación</w:t>
      </w:r>
    </w:p>
    <w:p>
      <w:pPr>
        <w:jc w:val="both"/>
      </w:pPr>
      <w:r>
        <w:t xml:space="preserve">Las causas de justificación requieren, según la doctrina dominante, un elemento subjetivo: el </w:t>
      </w:r>
      <w:r>
        <w:rPr>
          <w:b/>
        </w:rPr>
        <w:t>conocimiento de la situación de defensa</w:t>
      </w:r>
      <w:r>
        <w:t xml:space="preserve"> y la voluntad de defenderse (</w:t>
      </w:r>
      <w:r>
        <w:rPr>
          <w:i/>
        </w:rPr>
        <w:t>animus defendendi</w:t>
      </w:r>
      <w:r>
        <w:t xml:space="preserve">). Esa voluntad es compatible con el dolo de matar o de lesionar (se mata </w:t>
      </w:r>
      <w:r>
        <w:rPr>
          <w:i/>
        </w:rPr>
        <w:t>para</w:t>
      </w:r>
      <w:r>
        <w:t xml:space="preserve"> defenderse). Lo que la excluye es la finalidad de venganza, de aprovechar la ocasión o de actuar por mera hostilidad.</w:t>
      </w:r>
    </w:p>
    <w:p>
      <w:pPr>
        <w:spacing w:after="50"/>
        <w:ind w:left="595" w:hanging="255"/>
        <w:jc w:val="both"/>
      </w:pPr>
      <w:r>
        <w:t>•  Quien dispara a otro por odio, sin advertir que lo estaba por atacar, no actúa en legítima defensa, aunque objetivamente existiera agresión: para la doctrina dominante falta el elemento subjetivo y el hecho no queda plenamente justificado (se discute su encuadre: delito consumado o tentativa).</w:t>
      </w:r>
    </w:p>
    <w:p>
      <w:pPr>
        <w:spacing w:after="50"/>
        <w:ind w:left="595" w:hanging="255"/>
        <w:jc w:val="both"/>
      </w:pPr>
      <w:r>
        <w:t>•  La finalidad defensiva debe existir, al menos, en el momento inicial. La jurisprudencia vincula esa exigencia al exceso: no hay exceso si desde el inicio no hubo ánimo defensivo.</w:t>
      </w:r>
    </w:p>
    <w:p>
      <w:pPr>
        <w:pStyle w:val="Heading2"/>
      </w:pPr>
      <w:r>
        <w:t>5.4. Ejemplos</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Ejemplo 5.1 (hipotético): provocación suficiente</w:t>
            </w:r>
          </w:p>
          <w:p>
            <w:pPr>
              <w:spacing w:after="50"/>
              <w:jc w:val="both"/>
            </w:pPr>
            <w:r>
              <w:rPr>
                <w:sz w:val="20"/>
              </w:rPr>
              <w:t>A insulta gravemente a B, lo escupe y lo empuja para que reaccione; B le da un golpe y A, que lo esperaba, saca un cuchillo y hiere a B. A buscó la agresión: la provocación es suficiente y excluye, en principio, su defensa.</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Ejemplo 5.2 (hipotético): provocación no suficiente</w:t>
            </w:r>
          </w:p>
          <w:p>
            <w:pPr>
              <w:spacing w:after="50"/>
              <w:jc w:val="both"/>
            </w:pPr>
            <w:r>
              <w:rPr>
                <w:sz w:val="20"/>
              </w:rPr>
              <w:t>A, en una fila de supermercado, le reprocha a B que lo ha pasado y B responde agrediéndolo con un objeto contundente. El reproche verbal leve no es provocación suficiente: A puede defenderse con medios racionales.</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Ejemplo 5.3 (hipotético): inc. 7</w:t>
            </w:r>
          </w:p>
          <w:p>
            <w:pPr>
              <w:spacing w:after="50"/>
              <w:jc w:val="both"/>
            </w:pPr>
            <w:r>
              <w:rPr>
                <w:sz w:val="20"/>
              </w:rPr>
              <w:t>A, que provocó a B, es golpeado y C, amigo de A pero ajeno a la provocación, lo defiende. C puede invocar el inc. 7. Si C hubiera participado en la provocación, no.</w:t>
            </w:r>
          </w:p>
        </w:tc>
      </w:tr>
    </w:tbl>
    <w:p>
      <w:pPr>
        <w:spacing w:after="40" w:line="120" w:lineRule="auto"/>
      </w:pPr>
    </w:p>
    <w:p>
      <w:pPr>
        <w:pStyle w:val="Heading2"/>
      </w:pPr>
      <w:r>
        <w:t>5.5. Jurisprudencia</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EF1F6"/>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La conducta violenta previa como provocación suficiente (sumario SAIJ SUF0085447, 06/02/2023) – VERIFICADO – sumario SAIJ (texto parcial)</w:t>
            </w:r>
          </w:p>
          <w:p>
            <w:pPr>
              <w:spacing w:after="50"/>
              <w:jc w:val="both"/>
            </w:pPr>
            <w:r>
              <w:rPr>
                <w:sz w:val="20"/>
              </w:rPr>
              <w:t>«La conducta violenta desplegada por el acusado importa, a los efectos de la norma contenida en el art. 34 inc. 6° del Código Penal, una provocación suficiente que, por lógica, impedía que luego pudiera defenderse pretendiendo juridicidad en su conducta, de aquello que su accionar había provocado.» El sumario no identifica el tribunal; la versión recuperada está truncada.</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EF1F6"/>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Abuso y exceso temporal (sumario SAIJ SUF0085448, 06/02/2023) – VERIFICADO – sumario SAIJ (texto parcial)</w:t>
            </w:r>
          </w:p>
          <w:p>
            <w:pPr>
              <w:spacing w:after="50"/>
              <w:jc w:val="both"/>
            </w:pPr>
            <w:r>
              <w:rPr>
                <w:sz w:val="20"/>
              </w:rPr>
              <w:t>«Existe abuso, y no exceso temporal, cuando el acto tiene su exclusivo origen en el puro espíritu de hostilidad, siempre que tales estados de ánimo no adquieran suficiente entidad como para limitar seriamente el ámbito de determinación del autor.» Relevante para distinguir la defensa del exceso y de la agresión autónoma.</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EF1F6"/>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Exceso y finalidad defensiva (sumario SAIJ SUJ0050383, 20/09/2022) – VERIFICADO – sumario SAIJ</w:t>
            </w:r>
          </w:p>
          <w:p>
            <w:pPr>
              <w:spacing w:after="50"/>
              <w:jc w:val="both"/>
            </w:pPr>
            <w:r>
              <w:rPr>
                <w:sz w:val="20"/>
              </w:rPr>
              <w:t>Se recordó «que para que se configure el exceso es necesario que, al menos en un instante inicial, el autor obre movido por un fin defensivo, lo que no se constató en autos». Referencia normativa: art. 35 C.P. Sumario sin identificación del tribunal.</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AF3F4"/>
            <w:tcBorders>
              <w:top w:val="single" w:sz="4" w:color="007980" w:space="0"/>
              <w:left w:val="single" w:sz="24" w:color="007980" w:space="0"/>
              <w:bottom w:val="single" w:sz="4" w:color="007980" w:space="0"/>
              <w:right w:val="single" w:sz="4" w:color="007980" w:space="0"/>
            </w:tcBorders>
            <w:tcMar>
              <w:top w:w="80" w:type="dxa"/>
              <w:left w:w="160" w:type="dxa"/>
              <w:bottom w:w="80" w:type="dxa"/>
              <w:right w:w="140" w:type="dxa"/>
            </w:tcMar>
          </w:tcPr>
          <w:p>
            <w:pPr>
              <w:spacing w:after="60"/>
            </w:pPr>
            <w:r>
              <w:rPr>
                <w:b/>
                <w:color w:val="007980"/>
                <w:sz w:val="21"/>
              </w:rPr>
              <w:t>Resumen del capítulo 5</w:t>
            </w:r>
          </w:p>
          <w:p>
            <w:pPr>
              <w:spacing w:after="50"/>
              <w:ind w:left="255" w:hanging="255"/>
              <w:jc w:val="both"/>
            </w:pPr>
            <w:r>
              <w:rPr>
                <w:sz w:val="20"/>
              </w:rPr>
              <w:t>•  La provocación suficiente es la conducta previa del defensor que motiva adecuada y previsiblemente la agresión; no toda provocación excluye la defensa.</w:t>
            </w:r>
          </w:p>
          <w:p>
            <w:pPr>
              <w:spacing w:after="50"/>
              <w:ind w:left="255" w:hanging="255"/>
              <w:jc w:val="both"/>
            </w:pPr>
            <w:r>
              <w:rPr>
                <w:sz w:val="20"/>
              </w:rPr>
              <w:t>•  En el inc. 7 el tercero solo debe no haber participado de la provocación.</w:t>
            </w:r>
          </w:p>
          <w:p>
            <w:pPr>
              <w:spacing w:after="50"/>
              <w:ind w:left="255" w:hanging="255"/>
              <w:jc w:val="both"/>
            </w:pPr>
            <w:r>
              <w:rPr>
                <w:sz w:val="20"/>
              </w:rPr>
              <w:t>•  Se exige además el conocimiento de la situación y la voluntad de defenderse: la venganza o el aprovechamiento de la ocasión la excluyen.</w:t>
            </w:r>
          </w:p>
          <w:p>
            <w:pPr>
              <w:spacing w:after="50"/>
              <w:ind w:left="255" w:hanging="255"/>
              <w:jc w:val="both"/>
            </w:pPr>
            <w:r>
              <w:rPr>
                <w:sz w:val="20"/>
              </w:rPr>
              <w:t>•  La finalidad defensiva inicial se vincula con la existencia misma del exceso.</w:t>
            </w:r>
          </w:p>
        </w:tc>
      </w:tr>
    </w:tbl>
    <w:p>
      <w:pPr>
        <w:spacing w:after="40" w:line="120" w:lineRule="auto"/>
      </w:pPr>
    </w:p>
    <w:p>
      <w:pPr>
        <w:sectPr>
          <w:pgSz w:w="11906" w:h="16838"/>
          <w:pgMar w:top="1134" w:right="1247" w:bottom="1077" w:left="1247" w:header="454" w:footer="397" w:gutter="0"/>
          <w:cols w:space="720"/>
          <w:docGrid w:linePitch="360"/>
        </w:sectPr>
      </w:pP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9  ·  </w:t>
            </w:r>
            <w:r>
              <w:rPr>
                <w:b/>
                <w:color w:val="FFFFFF"/>
                <w:sz w:val="52"/>
              </w:rPr>
              <w:t>Provocación suficiente y voluntad de defensa</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b/>
                <w:sz w:val="50"/>
              </w:rPr>
              <w:t>Provocación suficiente</w:t>
            </w:r>
            <w:r>
              <w:rPr>
                <w:sz w:val="50"/>
              </w:rPr>
              <w:t>: conducta previa que motiva de modo adecuado y previsible la agresión</w:t>
            </w:r>
          </w:p>
          <w:p>
            <w:pPr>
              <w:spacing w:after="240"/>
              <w:ind w:left="397" w:hanging="397"/>
            </w:pPr>
            <w:r>
              <w:rPr>
                <w:color w:val="007980"/>
                <w:sz w:val="38"/>
              </w:rPr>
              <w:t xml:space="preserve">■  </w:t>
            </w:r>
            <w:r>
              <w:rPr>
                <w:sz w:val="50"/>
              </w:rPr>
              <w:t>No toda provocación alcanza: insultos leves ≠ provocación suficiente</w:t>
            </w:r>
          </w:p>
          <w:p>
            <w:pPr>
              <w:spacing w:after="240"/>
              <w:ind w:left="397" w:hanging="397"/>
            </w:pPr>
            <w:r>
              <w:rPr>
                <w:color w:val="007980"/>
                <w:sz w:val="38"/>
              </w:rPr>
              <w:t xml:space="preserve">■  </w:t>
            </w:r>
            <w:r>
              <w:rPr>
                <w:b/>
                <w:sz w:val="50"/>
              </w:rPr>
              <w:t>Inc. 7</w:t>
            </w:r>
            <w:r>
              <w:rPr>
                <w:sz w:val="50"/>
              </w:rPr>
              <w:t>: el tercero solo debe no haber participado en ella</w:t>
            </w:r>
          </w:p>
          <w:p>
            <w:pPr>
              <w:spacing w:after="240"/>
              <w:ind w:left="397" w:hanging="397"/>
            </w:pPr>
            <w:r>
              <w:rPr>
                <w:color w:val="007980"/>
                <w:sz w:val="38"/>
              </w:rPr>
              <w:t xml:space="preserve">■  </w:t>
            </w:r>
            <w:r>
              <w:rPr>
                <w:b/>
                <w:sz w:val="50"/>
              </w:rPr>
              <w:t>Elemento subjetivo</w:t>
            </w:r>
            <w:r>
              <w:rPr>
                <w:sz w:val="50"/>
              </w:rPr>
              <w:t>: conocer la situación + querer defenderse</w:t>
            </w:r>
          </w:p>
          <w:p>
            <w:pPr>
              <w:spacing w:after="240"/>
              <w:ind w:left="397" w:hanging="397"/>
            </w:pPr>
            <w:r>
              <w:rPr>
                <w:color w:val="007980"/>
                <w:sz w:val="38"/>
              </w:rPr>
              <w:t xml:space="preserve">■  </w:t>
            </w:r>
            <w:r>
              <w:rPr>
                <w:sz w:val="50"/>
              </w:rPr>
              <w:t>Venganza o aprovechamiento ≠ defensa</w:t>
            </w:r>
          </w:p>
        </w:tc>
      </w:tr>
    </w:tbl>
    <w:p>
      <w:pPr>
        <w:spacing w:before="120"/>
      </w:pPr>
      <w:r>
        <w:rPr>
          <w:i/>
          <w:color w:val="5A626E"/>
          <w:sz w:val="22"/>
        </w:rPr>
        <w:t>Art. 34, inc. 6, c) e inc. 7 C.P.</w:t>
      </w:r>
    </w:p>
    <w:p>
      <w:pPr>
        <w:sectPr>
          <w:pgSz w:w="16838" w:h="11906" w:orient="landscape"/>
          <w:pgMar w:top="624" w:right="737" w:bottom="680" w:left="737" w:header="454" w:footer="397" w:gutter="0"/>
          <w:cols w:space="720"/>
          <w:docGrid w:linePitch="360"/>
        </w:sectPr>
      </w:pPr>
    </w:p>
    <w:p>
      <w:pPr>
        <w:pStyle w:val="Heading1"/>
      </w:pPr>
      <w:r>
        <w:t>Capítulo 6. Sujetos y bienes defendibles. La defensa de terceros</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2F5F9"/>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Ficha del tema</w:t>
            </w:r>
          </w:p>
          <w:p>
            <w:pPr>
              <w:spacing w:after="50"/>
              <w:ind w:left="255" w:hanging="255"/>
              <w:jc w:val="both"/>
            </w:pPr>
            <w:r>
              <w:rPr>
                <w:sz w:val="20"/>
              </w:rPr>
              <w:t xml:space="preserve">•  </w:t>
            </w:r>
            <w:r>
              <w:rPr>
                <w:b/>
                <w:sz w:val="20"/>
              </w:rPr>
              <w:t>Sujetos:</w:t>
            </w:r>
            <w:r>
              <w:rPr>
                <w:sz w:val="20"/>
              </w:rPr>
              <w:t xml:space="preserve"> agresor; agredido; defensor (propio o tercero); personas físicas y, en cuanto a derechos, también personas jurídicas a través de quienes las defienden.</w:t>
            </w:r>
          </w:p>
          <w:p>
            <w:pPr>
              <w:spacing w:after="50"/>
              <w:ind w:left="255" w:hanging="255"/>
              <w:jc w:val="both"/>
            </w:pPr>
            <w:r>
              <w:rPr>
                <w:sz w:val="20"/>
              </w:rPr>
              <w:t xml:space="preserve">•  </w:t>
            </w:r>
            <w:r>
              <w:rPr>
                <w:b/>
                <w:sz w:val="20"/>
              </w:rPr>
              <w:t>Normativa:</w:t>
            </w:r>
            <w:r>
              <w:rPr>
                <w:sz w:val="20"/>
              </w:rPr>
              <w:t xml:space="preserve"> art. 34, inc. 6 («defensa propia o de sus derechos») e inc. 7 («defensa de la persona o derechos de otro») C.P.</w:t>
            </w:r>
          </w:p>
          <w:p>
            <w:pPr>
              <w:spacing w:after="50"/>
              <w:ind w:left="255" w:hanging="255"/>
              <w:jc w:val="both"/>
            </w:pPr>
            <w:r>
              <w:rPr>
                <w:sz w:val="20"/>
              </w:rPr>
              <w:t xml:space="preserve">•  </w:t>
            </w:r>
            <w:r>
              <w:rPr>
                <w:b/>
                <w:sz w:val="20"/>
              </w:rPr>
              <w:t>Elementos clave:</w:t>
            </w:r>
            <w:r>
              <w:rPr>
                <w:sz w:val="20"/>
              </w:rPr>
              <w:t xml:space="preserve"> quién defiende; qué se defiende; requisitos a) y b) en el inc. 7; participación en la provocación.</w:t>
            </w:r>
          </w:p>
        </w:tc>
      </w:tr>
    </w:tbl>
    <w:p>
      <w:pPr>
        <w:spacing w:after="40" w:line="120" w:lineRule="auto"/>
      </w:pPr>
    </w:p>
    <w:p>
      <w:pPr>
        <w:pStyle w:val="Heading2"/>
      </w:pPr>
      <w:r>
        <w:t>6.1. Los sujetos</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154"/>
            <w:shd w:val="clear" w:color="auto" w:fill="172B4D"/>
            <w:tcMar>
              <w:top w:w="50" w:type="dxa"/>
              <w:left w:w="80" w:type="dxa"/>
              <w:bottom w:w="50" w:type="dxa"/>
              <w:right w:w="80" w:type="dxa"/>
            </w:tcMar>
          </w:tcPr>
          <w:p>
            <w:pPr>
              <w:spacing w:after="0"/>
            </w:pPr>
            <w:r>
              <w:rPr>
                <w:b/>
                <w:color w:val="FFFFFF"/>
                <w:sz w:val="18"/>
              </w:rPr>
              <w:t>Sujeto</w:t>
            </w:r>
          </w:p>
        </w:tc>
        <w:tc>
          <w:tcPr>
            <w:tcW w:type="dxa" w:w="2948"/>
            <w:shd w:val="clear" w:color="auto" w:fill="172B4D"/>
            <w:tcMar>
              <w:top w:w="50" w:type="dxa"/>
              <w:left w:w="80" w:type="dxa"/>
              <w:bottom w:w="50" w:type="dxa"/>
              <w:right w:w="80" w:type="dxa"/>
            </w:tcMar>
          </w:tcPr>
          <w:p>
            <w:pPr>
              <w:spacing w:after="0"/>
            </w:pPr>
            <w:r>
              <w:rPr>
                <w:b/>
                <w:color w:val="FFFFFF"/>
                <w:sz w:val="18"/>
              </w:rPr>
              <w:t>Rol</w:t>
            </w:r>
          </w:p>
        </w:tc>
        <w:tc>
          <w:tcPr>
            <w:tcW w:type="dxa" w:w="4309"/>
            <w:shd w:val="clear" w:color="auto" w:fill="172B4D"/>
            <w:tcMar>
              <w:top w:w="50" w:type="dxa"/>
              <w:left w:w="80" w:type="dxa"/>
              <w:bottom w:w="50" w:type="dxa"/>
              <w:right w:w="80" w:type="dxa"/>
            </w:tcMar>
          </w:tcPr>
          <w:p>
            <w:pPr>
              <w:spacing w:after="0"/>
            </w:pPr>
            <w:r>
              <w:rPr>
                <w:b/>
                <w:color w:val="FFFFFF"/>
                <w:sz w:val="18"/>
              </w:rPr>
              <w:t>Observaciones</w:t>
            </w:r>
          </w:p>
        </w:tc>
      </w:tr>
      <w:tr>
        <w:trPr>
          <w:cantSplit w:val="true"/>
        </w:trPr>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Agresor</w:t>
            </w:r>
          </w:p>
        </w:tc>
        <w:tc>
          <w:tcPr>
            <w:tcW w:type="dxa" w:w="294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Realiza la conducta ilegítima</w:t>
            </w:r>
          </w:p>
        </w:tc>
        <w:tc>
          <w:tcPr>
            <w:tcW w:type="dxa" w:w="4309"/>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Debe ser una persona humana. Puede ser inimputable (defensa restringida).</w:t>
            </w:r>
          </w:p>
        </w:tc>
      </w:tr>
      <w:tr>
        <w:trPr>
          <w:cantSplit w:val="true"/>
        </w:trPr>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Agredido / defensor propio</w:t>
            </w:r>
          </w:p>
        </w:tc>
        <w:tc>
          <w:tcPr>
            <w:tcW w:type="dxa" w:w="294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Se defiende a sí mismo o a sus derechos</w:t>
            </w:r>
          </w:p>
        </w:tc>
        <w:tc>
          <w:tcPr>
            <w:tcW w:type="dxa" w:w="4309"/>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Inc. 6.</w:t>
            </w:r>
          </w:p>
        </w:tc>
      </w:tr>
      <w:tr>
        <w:trPr>
          <w:cantSplit w:val="true"/>
        </w:trPr>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Tercero defensor</w:t>
            </w:r>
          </w:p>
        </w:tc>
        <w:tc>
          <w:tcPr>
            <w:tcW w:type="dxa" w:w="294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Defiende a otro o sus derechos</w:t>
            </w:r>
          </w:p>
        </w:tc>
        <w:tc>
          <w:tcPr>
            <w:tcW w:type="dxa" w:w="4309"/>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Inc. 7. No requiere vínculo con el agredido.</w:t>
            </w:r>
          </w:p>
        </w:tc>
      </w:tr>
      <w:tr>
        <w:trPr>
          <w:cantSplit w:val="true"/>
        </w:trPr>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Agredido ausente o tercero indirecto</w:t>
            </w:r>
          </w:p>
        </w:tc>
        <w:tc>
          <w:tcPr>
            <w:tcW w:type="dxa" w:w="294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Titular del bien amenazado</w:t>
            </w:r>
          </w:p>
        </w:tc>
        <w:tc>
          <w:tcPr>
            <w:tcW w:type="dxa" w:w="4309"/>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Su voluntad es relevante si el bien es disponible.</w:t>
            </w:r>
          </w:p>
        </w:tc>
      </w:tr>
      <w:tr>
        <w:trPr>
          <w:cantSplit w:val="true"/>
        </w:trPr>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Funcionarios de seguridad</w:t>
            </w:r>
          </w:p>
        </w:tc>
        <w:tc>
          <w:tcPr>
            <w:tcW w:type="dxa" w:w="294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Pueden actuar por defensa propia o de terceros y por cumplimiento del deber (inc. 4)</w:t>
            </w:r>
          </w:p>
        </w:tc>
        <w:tc>
          <w:tcPr>
            <w:tcW w:type="dxa" w:w="4309"/>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Régimen más estricto (capítulo 10.2).</w:t>
            </w:r>
          </w:p>
        </w:tc>
      </w:tr>
    </w:tbl>
    <w:p>
      <w:pPr>
        <w:spacing w:after="60"/>
      </w:pPr>
    </w:p>
    <w:p>
      <w:pPr>
        <w:pStyle w:val="Heading2"/>
      </w:pPr>
      <w:r>
        <w:t>6.2. Los bienes defendibles</w:t>
      </w:r>
    </w:p>
    <w:p>
      <w:pPr>
        <w:jc w:val="both"/>
      </w:pPr>
      <w:r>
        <w:t xml:space="preserve">El texto no enumera los bienes: habla de «defensa propia o de sus derechos». La doctrina admite la defensa de la vida, la integridad física, la libertad (incluida la libertad sexual), la propiedad y la posesión, la intimidad y el domicilio, y, con mayores reparos, el honor. La </w:t>
      </w:r>
      <w:r>
        <w:rPr>
          <w:b/>
        </w:rPr>
        <w:t>jerarquía</w:t>
      </w:r>
      <w:r>
        <w:t xml:space="preserve"> de cada bien incide en la racionalidad del medio (capítulo 4): se defiende con medios letales la vida o la integridad; no un bien de escaso valor.</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154"/>
            <w:shd w:val="clear" w:color="auto" w:fill="172B4D"/>
            <w:tcMar>
              <w:top w:w="50" w:type="dxa"/>
              <w:left w:w="80" w:type="dxa"/>
              <w:bottom w:w="50" w:type="dxa"/>
              <w:right w:w="80" w:type="dxa"/>
            </w:tcMar>
          </w:tcPr>
          <w:p>
            <w:pPr>
              <w:spacing w:after="0"/>
            </w:pPr>
            <w:r>
              <w:rPr>
                <w:b/>
                <w:color w:val="FFFFFF"/>
                <w:sz w:val="18"/>
              </w:rPr>
              <w:t>Bien</w:t>
            </w:r>
          </w:p>
        </w:tc>
        <w:tc>
          <w:tcPr>
            <w:tcW w:type="dxa" w:w="3515"/>
            <w:shd w:val="clear" w:color="auto" w:fill="172B4D"/>
            <w:tcMar>
              <w:top w:w="50" w:type="dxa"/>
              <w:left w:w="80" w:type="dxa"/>
              <w:bottom w:w="50" w:type="dxa"/>
              <w:right w:w="80" w:type="dxa"/>
            </w:tcMar>
          </w:tcPr>
          <w:p>
            <w:pPr>
              <w:spacing w:after="0"/>
            </w:pPr>
            <w:r>
              <w:rPr>
                <w:b/>
                <w:color w:val="FFFFFF"/>
                <w:sz w:val="18"/>
              </w:rPr>
              <w:t>Ejemplo</w:t>
            </w:r>
          </w:p>
        </w:tc>
        <w:tc>
          <w:tcPr>
            <w:tcW w:type="dxa" w:w="3742"/>
            <w:shd w:val="clear" w:color="auto" w:fill="172B4D"/>
            <w:tcMar>
              <w:top w:w="50" w:type="dxa"/>
              <w:left w:w="80" w:type="dxa"/>
              <w:bottom w:w="50" w:type="dxa"/>
              <w:right w:w="80" w:type="dxa"/>
            </w:tcMar>
          </w:tcPr>
          <w:p>
            <w:pPr>
              <w:spacing w:after="0"/>
            </w:pPr>
            <w:r>
              <w:rPr>
                <w:b/>
                <w:color w:val="FFFFFF"/>
                <w:sz w:val="18"/>
              </w:rPr>
              <w:t>Comentario</w:t>
            </w:r>
          </w:p>
        </w:tc>
      </w:tr>
      <w:tr>
        <w:trPr>
          <w:cantSplit w:val="true"/>
        </w:trPr>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Vida e integridad</w:t>
            </w:r>
          </w:p>
        </w:tc>
        <w:tc>
          <w:tcPr>
            <w:tcW w:type="dxa" w:w="351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Ataque con arma blanca</w:t>
            </w:r>
          </w:p>
        </w:tc>
        <w:tc>
          <w:tcPr>
            <w:tcW w:type="dxa" w:w="374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Admite los medios más intensos, si son necesarios.</w:t>
            </w:r>
          </w:p>
        </w:tc>
      </w:tr>
      <w:tr>
        <w:trPr>
          <w:cantSplit w:val="true"/>
        </w:trPr>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Libertad (física y sexual)</w:t>
            </w:r>
          </w:p>
        </w:tc>
        <w:tc>
          <w:tcPr>
            <w:tcW w:type="dxa" w:w="351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Intento de abuso sexual; privación de la libertad en curso</w:t>
            </w:r>
          </w:p>
        </w:tc>
        <w:tc>
          <w:tcPr>
            <w:tcW w:type="dxa" w:w="374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La agresión perdura mientras subsiste la privación.</w:t>
            </w:r>
          </w:p>
        </w:tc>
      </w:tr>
      <w:tr>
        <w:trPr>
          <w:cantSplit w:val="true"/>
        </w:trPr>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Propiedad y posesión</w:t>
            </w:r>
          </w:p>
        </w:tc>
        <w:tc>
          <w:tcPr>
            <w:tcW w:type="dxa" w:w="351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Despojo con violencia, robo en curso</w:t>
            </w:r>
          </w:p>
        </w:tc>
        <w:tc>
          <w:tcPr>
            <w:tcW w:type="dxa" w:w="374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Racionalidad estricta: cuanto menor el valor, menor margen.</w:t>
            </w:r>
          </w:p>
        </w:tc>
      </w:tr>
      <w:tr>
        <w:trPr>
          <w:cantSplit w:val="true"/>
        </w:trPr>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Domicilio / intimidad</w:t>
            </w:r>
          </w:p>
        </w:tc>
        <w:tc>
          <w:tcPr>
            <w:tcW w:type="dxa" w:w="351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Intrusión en la vivienda</w:t>
            </w:r>
          </w:p>
        </w:tc>
        <w:tc>
          <w:tcPr>
            <w:tcW w:type="dxa" w:w="374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Regla especial del inc. 6, párrafos 2.º y 3.º (capítulo 7).</w:t>
            </w:r>
          </w:p>
        </w:tc>
      </w:tr>
      <w:tr>
        <w:trPr>
          <w:cantSplit w:val="true"/>
        </w:trPr>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Honor</w:t>
            </w:r>
          </w:p>
        </w:tc>
        <w:tc>
          <w:tcPr>
            <w:tcW w:type="dxa" w:w="351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Injurias</w:t>
            </w:r>
          </w:p>
        </w:tc>
        <w:tc>
          <w:tcPr>
            <w:tcW w:type="dxa" w:w="374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Debate. Matar o herir gravemente por una injuria es manifiestamente irracional.</w:t>
            </w:r>
          </w:p>
        </w:tc>
      </w:tr>
    </w:tbl>
    <w:p>
      <w:pPr>
        <w:spacing w:after="60"/>
      </w:pPr>
    </w:p>
    <w:p>
      <w:pPr>
        <w:pStyle w:val="Heading2"/>
      </w:pPr>
      <w:r>
        <w:t>6.3. Defensa de terceros (inciso 7)</w:t>
      </w:r>
    </w:p>
    <w:p>
      <w:pPr>
        <w:jc w:val="both"/>
      </w:pPr>
      <w:r>
        <w:t>El inc. 7 permite defender «la persona o derechos de otro». Exige la concurrencia de los requisitos a) agresión ilegítima y b) necesidad racional del medio. Respecto de la provocación, rige una regla especial: si hubo provocación suficiente del agredido, el tercero no debe haber participado en ella.</w:t>
      </w:r>
    </w:p>
    <w:p>
      <w:pPr>
        <w:spacing w:after="50"/>
        <w:ind w:left="595" w:hanging="255"/>
        <w:jc w:val="both"/>
      </w:pPr>
      <w:r>
        <w:t xml:space="preserve">•  </w:t>
      </w:r>
      <w:r>
        <w:rPr>
          <w:b/>
        </w:rPr>
        <w:t>No exige vínculo</w:t>
      </w:r>
      <w:r>
        <w:t xml:space="preserve"> (parentesco, amistad) con el agredido.</w:t>
      </w:r>
    </w:p>
    <w:p>
      <w:pPr>
        <w:spacing w:after="50"/>
        <w:ind w:left="595" w:hanging="255"/>
        <w:jc w:val="both"/>
      </w:pPr>
      <w:r>
        <w:t xml:space="preserve">•  </w:t>
      </w:r>
      <w:r>
        <w:rPr>
          <w:b/>
        </w:rPr>
        <w:t>Consentimiento del agredido:</w:t>
      </w:r>
      <w:r>
        <w:t xml:space="preserve"> si el bien es disponible y el titular acepta o provoca la agresión, falta la ilegitimidad; el tercero no podría invocar defensa contra la voluntad del titular.</w:t>
      </w:r>
    </w:p>
    <w:p>
      <w:pPr>
        <w:spacing w:after="50"/>
        <w:ind w:left="595" w:hanging="255"/>
        <w:jc w:val="both"/>
      </w:pPr>
      <w:r>
        <w:t xml:space="preserve">•  </w:t>
      </w:r>
      <w:r>
        <w:rPr>
          <w:b/>
        </w:rPr>
        <w:t>Delegación en agentes del Estado:</w:t>
      </w:r>
      <w:r>
        <w:t xml:space="preserve"> el policía que defiende a un tercero actúa, a la vez, en cumplimiento del deber (inc. 4); ambos fundamentos suelen concurrir.</w:t>
      </w:r>
    </w:p>
    <w:p>
      <w:pPr>
        <w:spacing w:after="50"/>
        <w:ind w:left="595" w:hanging="255"/>
        <w:jc w:val="both"/>
      </w:pPr>
      <w:r>
        <w:t xml:space="preserve">•  </w:t>
      </w:r>
      <w:r>
        <w:rPr>
          <w:b/>
        </w:rPr>
        <w:t>Error sobre quién agrede:</w:t>
      </w:r>
      <w:r>
        <w:t xml:space="preserve"> el tercero que por error defiende a quien en realidad agredía incurre en un error sobre los presupuestos (defensa putativa, capítulo 9).</w:t>
      </w:r>
    </w:p>
    <w:p>
      <w:pPr>
        <w:spacing w:after="50"/>
        <w:ind w:left="595" w:hanging="255"/>
        <w:jc w:val="both"/>
      </w:pPr>
      <w:r>
        <w:t xml:space="preserve">•  </w:t>
      </w:r>
      <w:r>
        <w:rPr>
          <w:b/>
        </w:rPr>
        <w:t>Defensa de familiares:</w:t>
      </w:r>
      <w:r>
        <w:t xml:space="preserve"> es la hipótesis más frecuente: hijo que defiende a su madre, hermano que defiende a su hermana.</w:t>
      </w:r>
    </w:p>
    <w:p>
      <w:pPr>
        <w:pStyle w:val="Heading2"/>
      </w:pPr>
      <w:r>
        <w:t>6.4. Ejemplos</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Ejemplo 6.1 (hipotético): defensa de un tercero</w:t>
            </w:r>
          </w:p>
          <w:p>
            <w:pPr>
              <w:spacing w:after="50"/>
              <w:jc w:val="both"/>
            </w:pPr>
            <w:r>
              <w:rPr>
                <w:sz w:val="20"/>
              </w:rPr>
              <w:t>En una calle, un hombre golpea a una mujer con un objeto. Un transeúnte, que no los conoce, lo empuja y lo reduce hasta que llega la policía. Actúa en defensa de un tercero (inc. 7): hay agresión ilegítima, el medio es necesario y racional y no participó de ninguna provocación.</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Ejemplo 6.2 (hipotético): participación en la provocación</w:t>
            </w:r>
          </w:p>
          <w:p>
            <w:pPr>
              <w:spacing w:after="50"/>
              <w:jc w:val="both"/>
            </w:pPr>
            <w:r>
              <w:rPr>
                <w:sz w:val="20"/>
              </w:rPr>
              <w:t>Dos amigos, A y C, hostigan a B para que reaccione. B golpea a A y C reduce a B con un golpe de manopla. C no puede invocar el inc. 7: participó en la provocación.</w:t>
            </w:r>
          </w:p>
        </w:tc>
      </w:tr>
    </w:tbl>
    <w:p>
      <w:pPr>
        <w:spacing w:after="40" w:line="120" w:lineRule="auto"/>
      </w:pPr>
    </w:p>
    <w:p>
      <w:pPr>
        <w:pStyle w:val="Heading2"/>
      </w:pPr>
      <w:r>
        <w:t>6.5. Jurisprudencia</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EF1F6"/>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Legítima defensa propia y de terceros con arma de fuego (sumario SAIJ SUL0006724, 21/03/2023) – VERIFICADO – sumario SAIJ (fragmento)</w:t>
            </w:r>
          </w:p>
          <w:p>
            <w:pPr>
              <w:spacing w:after="50"/>
              <w:jc w:val="both"/>
            </w:pPr>
            <w:r>
              <w:rPr>
                <w:sz w:val="20"/>
              </w:rPr>
              <w:t xml:space="preserve">La Sala Penal revisó si la absolución, dictada por una Cámara del Crimen (Sala Unipersonal), por homicidio agravado por el uso de arma de fuego «por haber actuado en legítima defensa propia y de terceros» «resultó un acto jurisdiccional válido; o sí, por el contrario, importó una solución arbitraria por haberse sustentado en elementos de convicción valorados en forma parcial y contradictoria». El fragmento recuperado no consigna la decisión ni la provincia: </w:t>
            </w:r>
            <w:r>
              <w:rPr>
                <w:b/>
                <w:sz w:val="20"/>
              </w:rPr>
              <w:t>confirmar en saij.gob.ar</w:t>
            </w:r>
            <w:r>
              <w:rPr>
                <w:sz w:val="20"/>
              </w:rPr>
              <w:t xml:space="preserve"> antes de citar.</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ECEC"/>
            <w:tcBorders>
              <w:top w:val="single" w:sz="4" w:color="A83232" w:space="0"/>
              <w:left w:val="single" w:sz="24" w:color="A83232" w:space="0"/>
              <w:bottom w:val="single" w:sz="4" w:color="A83232" w:space="0"/>
              <w:right w:val="single" w:sz="4" w:color="A83232" w:space="0"/>
            </w:tcBorders>
            <w:tcMar>
              <w:top w:w="80" w:type="dxa"/>
              <w:left w:w="160" w:type="dxa"/>
              <w:bottom w:w="80" w:type="dxa"/>
              <w:right w:w="140" w:type="dxa"/>
            </w:tcMar>
          </w:tcPr>
          <w:p>
            <w:pPr>
              <w:spacing w:after="60"/>
            </w:pPr>
            <w:r>
              <w:rPr>
                <w:b/>
                <w:color w:val="A83232"/>
                <w:sz w:val="21"/>
              </w:rPr>
              <w:t>Hijo que defiende a su madre: TSJ Córdoba, Sala Penal, sent. n.º 507, 12/11/2020, «L., A. Q. y otro» – A CONFIRMAR</w:t>
            </w:r>
          </w:p>
          <w:p>
            <w:pPr>
              <w:spacing w:after="50"/>
              <w:jc w:val="both"/>
            </w:pPr>
            <w:r>
              <w:rPr>
                <w:sz w:val="20"/>
              </w:rPr>
              <w:t xml:space="preserve">Según notas a fallo de repositorios académicos y prensa jurídica, el TSJ anuló la sentencia que condenaba a la madre como autora mediata de homicidio calificado por el vínculo; el hijo, declarado inimputable, habría actuado en defensa de su madre, y se aplicó el </w:t>
            </w:r>
            <w:r>
              <w:rPr>
                <w:i/>
                <w:sz w:val="20"/>
              </w:rPr>
              <w:t>in dubio pro reo</w:t>
            </w:r>
            <w:r>
              <w:rPr>
                <w:sz w:val="20"/>
              </w:rPr>
              <w:t xml:space="preserve"> con perspectiva de género. Las fuentes difieren en detalles de los hechos (instigación o acto impulsivo). </w:t>
            </w:r>
            <w:r>
              <w:rPr>
                <w:b/>
                <w:sz w:val="20"/>
              </w:rPr>
              <w:t>No citar sin leer la sentencia completa.</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AF3F4"/>
            <w:tcBorders>
              <w:top w:val="single" w:sz="4" w:color="007980" w:space="0"/>
              <w:left w:val="single" w:sz="24" w:color="007980" w:space="0"/>
              <w:bottom w:val="single" w:sz="4" w:color="007980" w:space="0"/>
              <w:right w:val="single" w:sz="4" w:color="007980" w:space="0"/>
            </w:tcBorders>
            <w:tcMar>
              <w:top w:w="80" w:type="dxa"/>
              <w:left w:w="160" w:type="dxa"/>
              <w:bottom w:w="80" w:type="dxa"/>
              <w:right w:w="140" w:type="dxa"/>
            </w:tcMar>
          </w:tcPr>
          <w:p>
            <w:pPr>
              <w:spacing w:after="60"/>
            </w:pPr>
            <w:r>
              <w:rPr>
                <w:b/>
                <w:color w:val="007980"/>
                <w:sz w:val="21"/>
              </w:rPr>
              <w:t>Resumen del capítulo 6</w:t>
            </w:r>
          </w:p>
          <w:p>
            <w:pPr>
              <w:spacing w:after="50"/>
              <w:ind w:left="255" w:hanging="255"/>
              <w:jc w:val="both"/>
            </w:pPr>
            <w:r>
              <w:rPr>
                <w:sz w:val="20"/>
              </w:rPr>
              <w:t>•  El inc. 6 protege a la persona y sus derechos; el inc. 7, a la persona o derechos de otro, sin exigir vínculo.</w:t>
            </w:r>
          </w:p>
          <w:p>
            <w:pPr>
              <w:spacing w:after="50"/>
              <w:ind w:left="255" w:hanging="255"/>
              <w:jc w:val="both"/>
            </w:pPr>
            <w:r>
              <w:rPr>
                <w:sz w:val="20"/>
              </w:rPr>
              <w:t>•  En la defensa de terceros rigen los requisitos a) y b) y una regla particular: no haber participado de la provocación.</w:t>
            </w:r>
          </w:p>
          <w:p>
            <w:pPr>
              <w:spacing w:after="50"/>
              <w:ind w:left="255" w:hanging="255"/>
              <w:jc w:val="both"/>
            </w:pPr>
            <w:r>
              <w:rPr>
                <w:sz w:val="20"/>
              </w:rPr>
              <w:t>•  La jerarquía del bien incide en la racionalidad del medio.</w:t>
            </w:r>
          </w:p>
          <w:p>
            <w:pPr>
              <w:spacing w:after="50"/>
              <w:ind w:left="255" w:hanging="255"/>
              <w:jc w:val="both"/>
            </w:pPr>
            <w:r>
              <w:rPr>
                <w:sz w:val="20"/>
              </w:rPr>
              <w:t>•  El policía que defiende a un tercero suele invocar a la vez el cumplimiento del deber.</w:t>
            </w:r>
          </w:p>
        </w:tc>
      </w:tr>
    </w:tbl>
    <w:p>
      <w:pPr>
        <w:spacing w:after="40" w:line="120" w:lineRule="auto"/>
      </w:pPr>
    </w:p>
    <w:p>
      <w:pPr>
        <w:sectPr>
          <w:pgSz w:w="11906" w:h="16838"/>
          <w:pgMar w:top="1134" w:right="1247" w:bottom="1077" w:left="1247" w:header="454" w:footer="397" w:gutter="0"/>
          <w:cols w:space="720"/>
          <w:docGrid w:linePitch="360"/>
        </w:sectPr>
      </w:pP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10  ·  </w:t>
            </w:r>
            <w:r>
              <w:rPr>
                <w:b/>
                <w:color w:val="FFFFFF"/>
                <w:sz w:val="52"/>
              </w:rPr>
              <w:t>Sujetos y bienes</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b/>
                <w:sz w:val="50"/>
              </w:rPr>
              <w:t>Agresor</w:t>
            </w:r>
            <w:r>
              <w:rPr>
                <w:sz w:val="50"/>
              </w:rPr>
              <w:t xml:space="preserve"> → conducta humana ilegítima</w:t>
            </w:r>
          </w:p>
          <w:p>
            <w:pPr>
              <w:spacing w:after="240"/>
              <w:ind w:left="397" w:hanging="397"/>
            </w:pPr>
            <w:r>
              <w:rPr>
                <w:color w:val="007980"/>
                <w:sz w:val="38"/>
              </w:rPr>
              <w:t xml:space="preserve">■  </w:t>
            </w:r>
            <w:r>
              <w:rPr>
                <w:b/>
                <w:sz w:val="50"/>
              </w:rPr>
              <w:t>Defensor propio</w:t>
            </w:r>
            <w:r>
              <w:rPr>
                <w:sz w:val="50"/>
              </w:rPr>
              <w:t xml:space="preserve"> (inc. 6) · </w:t>
            </w:r>
            <w:r>
              <w:rPr>
                <w:b/>
                <w:sz w:val="50"/>
              </w:rPr>
              <w:t>Tercero defensor</w:t>
            </w:r>
            <w:r>
              <w:rPr>
                <w:sz w:val="50"/>
              </w:rPr>
              <w:t xml:space="preserve"> (inc. 7)</w:t>
            </w:r>
          </w:p>
          <w:p>
            <w:pPr>
              <w:spacing w:after="240"/>
              <w:ind w:left="397" w:hanging="397"/>
            </w:pPr>
            <w:r>
              <w:rPr>
                <w:color w:val="007980"/>
                <w:sz w:val="38"/>
              </w:rPr>
              <w:t xml:space="preserve">■  </w:t>
            </w:r>
            <w:r>
              <w:rPr>
                <w:sz w:val="50"/>
              </w:rPr>
              <w:t>Bienes: vida, integridad, libertad, propiedad, intimidad, honor (con reparos)</w:t>
            </w:r>
          </w:p>
          <w:p>
            <w:pPr>
              <w:spacing w:after="240"/>
              <w:ind w:left="397" w:hanging="397"/>
            </w:pPr>
            <w:r>
              <w:rPr>
                <w:color w:val="007980"/>
                <w:sz w:val="38"/>
              </w:rPr>
              <w:t xml:space="preserve">■  </w:t>
            </w:r>
            <w:r>
              <w:rPr>
                <w:sz w:val="50"/>
              </w:rPr>
              <w:t xml:space="preserve">La </w:t>
            </w:r>
            <w:r>
              <w:rPr>
                <w:b/>
                <w:sz w:val="50"/>
              </w:rPr>
              <w:t>jerarquía del bien</w:t>
            </w:r>
            <w:r>
              <w:rPr>
                <w:sz w:val="50"/>
              </w:rPr>
              <w:t xml:space="preserve"> pesa en la racionalidad del medio</w:t>
            </w:r>
          </w:p>
          <w:p>
            <w:pPr>
              <w:spacing w:after="240"/>
              <w:ind w:left="397" w:hanging="397"/>
            </w:pPr>
            <w:r>
              <w:rPr>
                <w:color w:val="007980"/>
                <w:sz w:val="38"/>
              </w:rPr>
              <w:t xml:space="preserve">■  </w:t>
            </w:r>
            <w:r>
              <w:rPr>
                <w:sz w:val="50"/>
              </w:rPr>
              <w:t>Inc. 7: sin vínculo; basta no haber participado en la provocación</w:t>
            </w:r>
          </w:p>
        </w:tc>
      </w:tr>
    </w:tbl>
    <w:p>
      <w:pPr>
        <w:spacing w:before="120"/>
      </w:pPr>
      <w:r>
        <w:rPr>
          <w:i/>
          <w:color w:val="5A626E"/>
          <w:sz w:val="22"/>
        </w:rPr>
        <w:t>Art. 34, incs. 6 y 7 C.P.</w:t>
      </w:r>
    </w:p>
    <w:p>
      <w:pPr>
        <w:sectPr>
          <w:pgSz w:w="16838" w:h="11906" w:orient="landscape"/>
          <w:pgMar w:top="624" w:right="737" w:bottom="680" w:left="737" w:header="454" w:footer="397" w:gutter="0"/>
          <w:cols w:space="720"/>
          <w:docGrid w:linePitch="360"/>
        </w:sectPr>
      </w:pPr>
    </w:p>
    <w:p>
      <w:pPr>
        <w:pStyle w:val="Heading1"/>
      </w:pPr>
      <w:r>
        <w:t>Capítulo 7. La legítima defensa «privilegiada»: presunciones del hogar</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2F5F9"/>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Ficha del tema</w:t>
            </w:r>
          </w:p>
          <w:p>
            <w:pPr>
              <w:spacing w:after="50"/>
              <w:ind w:left="255" w:hanging="255"/>
              <w:jc w:val="both"/>
            </w:pPr>
            <w:r>
              <w:rPr>
                <w:sz w:val="20"/>
              </w:rPr>
              <w:t xml:space="preserve">•  </w:t>
            </w:r>
            <w:r>
              <w:rPr>
                <w:b/>
                <w:sz w:val="20"/>
              </w:rPr>
              <w:t>Sujetos:</w:t>
            </w:r>
            <w:r>
              <w:rPr>
                <w:sz w:val="20"/>
              </w:rPr>
              <w:t xml:space="preserve"> el morador (o quien habita); el intruso o escalador; los demás habitantes de la vivienda.</w:t>
            </w:r>
          </w:p>
          <w:p>
            <w:pPr>
              <w:spacing w:after="50"/>
              <w:ind w:left="255" w:hanging="255"/>
              <w:jc w:val="both"/>
            </w:pPr>
            <w:r>
              <w:rPr>
                <w:sz w:val="20"/>
              </w:rPr>
              <w:t xml:space="preserve">•  </w:t>
            </w:r>
            <w:r>
              <w:rPr>
                <w:b/>
                <w:sz w:val="20"/>
              </w:rPr>
              <w:t>Normativa:</w:t>
            </w:r>
            <w:r>
              <w:rPr>
                <w:sz w:val="20"/>
              </w:rPr>
              <w:t xml:space="preserve"> art. 34, inc. 6, párrafos 2.º y 3.º C.P.</w:t>
            </w:r>
          </w:p>
          <w:p>
            <w:pPr>
              <w:spacing w:after="50"/>
              <w:ind w:left="255" w:hanging="255"/>
              <w:jc w:val="both"/>
            </w:pPr>
            <w:r>
              <w:rPr>
                <w:sz w:val="20"/>
              </w:rPr>
              <w:t xml:space="preserve">•  </w:t>
            </w:r>
            <w:r>
              <w:rPr>
                <w:b/>
                <w:sz w:val="20"/>
              </w:rPr>
              <w:t>Elementos clave:</w:t>
            </w:r>
            <w:r>
              <w:rPr>
                <w:sz w:val="20"/>
              </w:rPr>
              <w:t xml:space="preserve"> noche; escalamiento o fractura; casa o departamento habitado o dependencias; extraño en el hogar; resistencia; presunción.</w:t>
            </w:r>
          </w:p>
        </w:tc>
      </w:tr>
    </w:tbl>
    <w:p>
      <w:pPr>
        <w:spacing w:after="40" w:line="120" w:lineRule="auto"/>
      </w:pPr>
    </w:p>
    <w:p>
      <w:pPr>
        <w:pStyle w:val="Heading2"/>
      </w:pPr>
      <w:r>
        <w:t>7.1. Los dos supuestos</w:t>
      </w:r>
    </w:p>
    <w:p>
      <w:pPr>
        <w:keepNext/>
        <w:spacing w:after="40"/>
        <w:jc w:val="center"/>
      </w:pPr>
      <w:r>
        <w:drawing>
          <wp:inline xmlns:a="http://schemas.openxmlformats.org/drawingml/2006/main" xmlns:pic="http://schemas.openxmlformats.org/drawingml/2006/picture">
            <wp:extent cx="5220000" cy="2610000"/>
            <wp:docPr id="5" name="Picture 5"/>
            <wp:cNvGraphicFramePr>
              <a:graphicFrameLocks noChangeAspect="1"/>
            </wp:cNvGraphicFramePr>
            <a:graphic>
              <a:graphicData uri="http://schemas.openxmlformats.org/drawingml/2006/picture">
                <pic:pic>
                  <pic:nvPicPr>
                    <pic:cNvPr id="0" name="fig_privilegiada.png"/>
                    <pic:cNvPicPr/>
                  </pic:nvPicPr>
                  <pic:blipFill>
                    <a:blip r:embed="rId13"/>
                    <a:stretch>
                      <a:fillRect/>
                    </a:stretch>
                  </pic:blipFill>
                  <pic:spPr>
                    <a:xfrm>
                      <a:off x="0" y="0"/>
                      <a:ext cx="5220000" cy="2610000"/>
                    </a:xfrm>
                    <a:prstGeom prst="rect"/>
                  </pic:spPr>
                </pic:pic>
              </a:graphicData>
            </a:graphic>
          </wp:inline>
        </w:drawing>
      </w:r>
    </w:p>
    <w:p>
      <w:pPr>
        <w:jc w:val="center"/>
      </w:pPr>
      <w:r>
        <w:rPr>
          <w:i/>
          <w:color w:val="5A626E"/>
          <w:sz w:val="17"/>
        </w:rPr>
        <w:t>Figura 7.1. Los dos supuestos del art. 34, inc. 6, párrafos 2.º y 3.º (esquema propio).</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814"/>
            <w:shd w:val="clear" w:color="auto" w:fill="172B4D"/>
            <w:tcMar>
              <w:top w:w="50" w:type="dxa"/>
              <w:left w:w="80" w:type="dxa"/>
              <w:bottom w:w="50" w:type="dxa"/>
              <w:right w:w="80" w:type="dxa"/>
            </w:tcMar>
          </w:tcPr>
          <w:p>
            <w:pPr>
              <w:spacing w:after="0"/>
            </w:pPr>
            <w:r>
              <w:rPr>
                <w:b/>
                <w:color w:val="FFFFFF"/>
                <w:sz w:val="18"/>
              </w:rPr>
              <w:t>Elemento</w:t>
            </w:r>
          </w:p>
        </w:tc>
        <w:tc>
          <w:tcPr>
            <w:tcW w:type="dxa" w:w="3912"/>
            <w:shd w:val="clear" w:color="auto" w:fill="172B4D"/>
            <w:tcMar>
              <w:top w:w="50" w:type="dxa"/>
              <w:left w:w="80" w:type="dxa"/>
              <w:bottom w:w="50" w:type="dxa"/>
              <w:right w:w="80" w:type="dxa"/>
            </w:tcMar>
          </w:tcPr>
          <w:p>
            <w:pPr>
              <w:spacing w:after="0"/>
            </w:pPr>
            <w:r>
              <w:rPr>
                <w:b/>
                <w:color w:val="FFFFFF"/>
                <w:sz w:val="18"/>
              </w:rPr>
              <w:t>Primer supuesto (párr. 2.º)</w:t>
            </w:r>
          </w:p>
        </w:tc>
        <w:tc>
          <w:tcPr>
            <w:tcW w:type="dxa" w:w="3685"/>
            <w:shd w:val="clear" w:color="auto" w:fill="172B4D"/>
            <w:tcMar>
              <w:top w:w="50" w:type="dxa"/>
              <w:left w:w="80" w:type="dxa"/>
              <w:bottom w:w="50" w:type="dxa"/>
              <w:right w:w="80" w:type="dxa"/>
            </w:tcMar>
          </w:tcPr>
          <w:p>
            <w:pPr>
              <w:spacing w:after="0"/>
            </w:pPr>
            <w:r>
              <w:rPr>
                <w:b/>
                <w:color w:val="FFFFFF"/>
                <w:sz w:val="18"/>
              </w:rPr>
              <w:t>Segundo supuesto (párr. 3.º)</w:t>
            </w:r>
          </w:p>
        </w:tc>
      </w:tr>
      <w:tr>
        <w:trPr>
          <w:cantSplit w:val="true"/>
        </w:trPr>
        <w:tc>
          <w:tcPr>
            <w:tcW w:type="dxa" w:w="181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Hecho base</w:t>
            </w:r>
          </w:p>
        </w:tc>
        <w:tc>
          <w:tcPr>
            <w:tcW w:type="dxa" w:w="391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 xml:space="preserve">Durante la </w:t>
            </w:r>
            <w:r>
              <w:rPr>
                <w:b/>
                <w:sz w:val="18"/>
              </w:rPr>
              <w:t>noche</w:t>
            </w:r>
            <w:r>
              <w:rPr>
                <w:sz w:val="18"/>
              </w:rPr>
              <w:t xml:space="preserve">, rechazar el </w:t>
            </w:r>
            <w:r>
              <w:rPr>
                <w:b/>
                <w:sz w:val="18"/>
              </w:rPr>
              <w:t>escalamiento o fractura</w:t>
            </w:r>
            <w:r>
              <w:rPr>
                <w:sz w:val="18"/>
              </w:rPr>
              <w:t xml:space="preserve"> de cercados, paredes o entradas</w:t>
            </w:r>
          </w:p>
        </w:tc>
        <w:tc>
          <w:tcPr>
            <w:tcW w:type="dxa" w:w="368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 xml:space="preserve">Encontrar a un </w:t>
            </w:r>
            <w:r>
              <w:rPr>
                <w:b/>
                <w:sz w:val="18"/>
              </w:rPr>
              <w:t>extraño dentro del hogar</w:t>
            </w:r>
          </w:p>
        </w:tc>
      </w:tr>
      <w:tr>
        <w:trPr>
          <w:cantSplit w:val="true"/>
        </w:trPr>
        <w:tc>
          <w:tcPr>
            <w:tcW w:type="dxa" w:w="181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Lugar</w:t>
            </w:r>
          </w:p>
        </w:tc>
        <w:tc>
          <w:tcPr>
            <w:tcW w:type="dxa" w:w="391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 xml:space="preserve">Casa o departamento </w:t>
            </w:r>
            <w:r>
              <w:rPr>
                <w:b/>
                <w:sz w:val="18"/>
              </w:rPr>
              <w:t>habitado</w:t>
            </w:r>
            <w:r>
              <w:rPr>
                <w:sz w:val="18"/>
              </w:rPr>
              <w:t xml:space="preserve"> o dependencias</w:t>
            </w:r>
          </w:p>
        </w:tc>
        <w:tc>
          <w:tcPr>
            <w:tcW w:type="dxa" w:w="368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Hogar</w:t>
            </w:r>
          </w:p>
        </w:tc>
      </w:tr>
      <w:tr>
        <w:trPr>
          <w:cantSplit w:val="true"/>
        </w:trPr>
        <w:tc>
          <w:tcPr>
            <w:tcW w:type="dxa" w:w="181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Requisito adicional</w:t>
            </w:r>
          </w:p>
        </w:tc>
        <w:tc>
          <w:tcPr>
            <w:tcW w:type="dxa" w:w="391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w:t>
            </w:r>
          </w:p>
        </w:tc>
        <w:tc>
          <w:tcPr>
            <w:tcW w:type="dxa" w:w="368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b/>
                <w:sz w:val="18"/>
              </w:rPr>
              <w:t>Resistencia</w:t>
            </w:r>
            <w:r>
              <w:rPr>
                <w:sz w:val="18"/>
              </w:rPr>
              <w:t xml:space="preserve"> («siempre que haya resistencia»)</w:t>
            </w:r>
          </w:p>
        </w:tc>
      </w:tr>
      <w:tr>
        <w:trPr>
          <w:cantSplit w:val="true"/>
        </w:trPr>
        <w:tc>
          <w:tcPr>
            <w:tcW w:type="dxa" w:w="181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Nocturnidad</w:t>
            </w:r>
          </w:p>
        </w:tc>
        <w:tc>
          <w:tcPr>
            <w:tcW w:type="dxa" w:w="391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Exigida</w:t>
            </w:r>
          </w:p>
        </w:tc>
        <w:tc>
          <w:tcPr>
            <w:tcW w:type="dxa" w:w="368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No exigida</w:t>
            </w:r>
          </w:p>
        </w:tc>
      </w:tr>
      <w:tr>
        <w:trPr>
          <w:cantSplit w:val="true"/>
        </w:trPr>
        <w:tc>
          <w:tcPr>
            <w:tcW w:type="dxa" w:w="181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Efecto</w:t>
            </w:r>
          </w:p>
        </w:tc>
        <w:tc>
          <w:tcPr>
            <w:tcW w:type="dxa" w:w="391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«Se entenderá que concurren estas circunstancias»</w:t>
            </w:r>
          </w:p>
        </w:tc>
        <w:tc>
          <w:tcPr>
            <w:tcW w:type="dxa" w:w="368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Idem</w:t>
            </w:r>
          </w:p>
        </w:tc>
      </w:tr>
    </w:tbl>
    <w:p>
      <w:pPr>
        <w:spacing w:after="60"/>
      </w:pPr>
    </w:p>
    <w:p>
      <w:pPr>
        <w:pStyle w:val="Heading2"/>
      </w:pPr>
      <w:r>
        <w:t>7.2. Naturaleza de la presunción</w:t>
      </w:r>
    </w:p>
    <w:p>
      <w:pPr>
        <w:jc w:val="both"/>
      </w:pPr>
      <w:r>
        <w:t>El texto dice «se entenderá que concurren». La discusión es si la presunción admite prueba en contrario (</w:t>
      </w:r>
      <w:r>
        <w:rPr>
          <w:b/>
        </w:rPr>
        <w:t>iuris tantum</w:t>
      </w:r>
      <w:r>
        <w:t>) o no (</w:t>
      </w:r>
      <w:r>
        <w:rPr>
          <w:b/>
        </w:rPr>
        <w:t>iure et de iure</w:t>
      </w:r>
      <w:r>
        <w:t xml:space="preserve">). La posición dominante, en consonancia con la presunción de inocencia y con la exigencia de racionalidad, la tiene como </w:t>
      </w:r>
      <w:r>
        <w:rPr>
          <w:b/>
        </w:rPr>
        <w:t>relativa</w:t>
      </w:r>
      <w:r>
        <w:t xml:space="preserve">: probados los hechos base, se presume la legítima defensa, pero cede si la prueba revela que la agresión no existía, había cesado o que el medio fue manifiestamente abusivo. Un sumario del SAIJ lo expresa así: «probados los extremos que la ley menciona, se presume iuris tantum que ha mediado legítima defensa» (SAIJ SUR0022636; 24/11/2021; </w:t>
      </w:r>
      <w:r>
        <w:rPr>
          <w:b/>
        </w:rPr>
        <w:t>VERIFICADO – sumario SAIJ</w:t>
      </w:r>
      <w:r>
        <w:t>).</w:t>
      </w:r>
    </w:p>
    <w:p>
      <w:pPr>
        <w:jc w:val="both"/>
      </w:pPr>
      <w:r>
        <w:t>La expresión «cualquiera que sea el daño ocasionado al agresor» no hace del hogar un espacio en el que todo está permitido: la presunción recae sobre la concurrencia de las tres circunstancias, y no sobre la voluntad de defensa. Quien dispara contra el intruso que huye, que está rendido o que ya fue reducido, ya no «rechaza» nada.</w:t>
      </w:r>
    </w:p>
    <w:p>
      <w:pPr>
        <w:pStyle w:val="Heading2"/>
      </w:pPr>
      <w:r>
        <w:t>7.3. Alcance de cada elemento</w:t>
      </w:r>
    </w:p>
    <w:p>
      <w:pPr>
        <w:spacing w:after="50"/>
        <w:ind w:left="595" w:hanging="255"/>
        <w:jc w:val="both"/>
      </w:pPr>
      <w:r>
        <w:t xml:space="preserve">•  </w:t>
      </w:r>
      <w:r>
        <w:rPr>
          <w:b/>
        </w:rPr>
        <w:t>«Noche»:</w:t>
      </w:r>
      <w:r>
        <w:t xml:space="preserve"> el Código no la define. La doctrina la entiende como ausencia de luz natural; se discute si basta con la oscuridad concreta. El criterio razonable es la situación de </w:t>
      </w:r>
      <w:r>
        <w:rPr>
          <w:b/>
        </w:rPr>
        <w:t>mayor indefensión</w:t>
      </w:r>
      <w:r>
        <w:t xml:space="preserve"> del morador.</w:t>
      </w:r>
    </w:p>
    <w:p>
      <w:pPr>
        <w:spacing w:after="50"/>
        <w:ind w:left="595" w:hanging="255"/>
        <w:jc w:val="both"/>
      </w:pPr>
      <w:r>
        <w:t xml:space="preserve">•  </w:t>
      </w:r>
      <w:r>
        <w:rPr>
          <w:b/>
        </w:rPr>
        <w:t>«Escalamiento o fractura»:</w:t>
      </w:r>
      <w:r>
        <w:t xml:space="preserve"> ingreso por vías no destinadas al paso (saltar muros, trepar, romper puertas o ventanas). Se discuten casos de ingreso sin violencia (puerta abierta).</w:t>
      </w:r>
    </w:p>
    <w:p>
      <w:pPr>
        <w:spacing w:after="50"/>
        <w:ind w:left="595" w:hanging="255"/>
        <w:jc w:val="both"/>
      </w:pPr>
      <w:r>
        <w:t xml:space="preserve">•  </w:t>
      </w:r>
      <w:r>
        <w:rPr>
          <w:b/>
        </w:rPr>
        <w:t>«Casa, departamento habitado o dependencias»:</w:t>
      </w:r>
      <w:r>
        <w:t xml:space="preserve"> abarca la morada y sus anexos (patio, garaje); no se extiende a cualquier propiedad.</w:t>
      </w:r>
    </w:p>
    <w:p>
      <w:pPr>
        <w:spacing w:after="50"/>
        <w:ind w:left="595" w:hanging="255"/>
        <w:jc w:val="both"/>
      </w:pPr>
      <w:r>
        <w:t xml:space="preserve">•  </w:t>
      </w:r>
      <w:r>
        <w:rPr>
          <w:b/>
        </w:rPr>
        <w:t>«Extraño dentro del hogar»:</w:t>
      </w:r>
      <w:r>
        <w:t xml:space="preserve"> quien no tiene derecho a estar allí. No es «extraño» el invitado ni el familiar.</w:t>
      </w:r>
    </w:p>
    <w:p>
      <w:pPr>
        <w:spacing w:after="50"/>
        <w:ind w:left="595" w:hanging="255"/>
        <w:jc w:val="both"/>
      </w:pPr>
      <w:r>
        <w:t xml:space="preserve">•  </w:t>
      </w:r>
      <w:r>
        <w:rPr>
          <w:b/>
        </w:rPr>
        <w:t>«Resistencia»:</w:t>
      </w:r>
      <w:r>
        <w:t xml:space="preserve"> oposición del extraño a ser expulsado o a abandonar el lugar. Si se retira sin oponerse, no hay presunción.</w:t>
      </w:r>
    </w:p>
    <w:p>
      <w:pPr>
        <w:pStyle w:val="Heading2"/>
      </w:pPr>
      <w:r>
        <w:t>7.4. Críticas y límites constitucionales</w:t>
      </w:r>
    </w:p>
    <w:p>
      <w:pPr>
        <w:jc w:val="both"/>
      </w:pPr>
      <w:r>
        <w:t>La doctrina ha criticado estas cláusulas por considerarlas cercanas a un régimen de presunción de licitud que podría habilitar excesos, y se discute su compatibilidad con los estándares internacionales sobre el uso de la fuerza letal. En la práctica, los tribunales aplican la presunción con cautela y exigen la prueba de los hechos base.</w:t>
      </w:r>
    </w:p>
    <w:p>
      <w:pPr>
        <w:pStyle w:val="Heading2"/>
      </w:pPr>
      <w:r>
        <w:t>7.5. Ejemplos</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Ejemplo 7.1 (hipotético): rige la presunción</w:t>
            </w:r>
          </w:p>
          <w:p>
            <w:pPr>
              <w:spacing w:after="50"/>
              <w:jc w:val="both"/>
            </w:pPr>
            <w:r>
              <w:rPr>
                <w:sz w:val="20"/>
              </w:rPr>
              <w:t>A las 3 de la madrugada, el dueño de casa escucha ruidos, encuentra a un hombre que acaba de romper la ventana del living y que avanza hacia él con una barra. El dueño dispara. Noche, fractura, morada habitada, resistencia: se presume la legítima defensa, salvo prueba que la desvirtúe.</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Ejemplo 7.2 (hipotético): no rige</w:t>
            </w:r>
          </w:p>
          <w:p>
            <w:pPr>
              <w:spacing w:after="50"/>
              <w:jc w:val="both"/>
            </w:pPr>
            <w:r>
              <w:rPr>
                <w:sz w:val="20"/>
              </w:rPr>
              <w:t>El mismo intruso, tras robar, huye hacia la calle. El dueño sale al jardín y le dispara por la espalda. No hay escalamiento que rechazar, ni extraño en el hogar que resista: es una persecución. La presunción no opera y probablemente no hay legítima defensa; se examinará el exceso o el hecho doloso.</w:t>
            </w:r>
          </w:p>
        </w:tc>
      </w:tr>
    </w:tbl>
    <w:p>
      <w:pPr>
        <w:spacing w:after="40" w:line="120" w:lineRule="auto"/>
      </w:pPr>
    </w:p>
    <w:p>
      <w:pPr>
        <w:pStyle w:val="Heading2"/>
      </w:pPr>
      <w:r>
        <w:t>7.6. Jurisprudencia</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EF1F6"/>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Sobreseimiento por intento de robo a la vivienda (sumario SAIJ SUR0022636, 24/11/2021) – VERIFICADO – sumario SAIJ</w:t>
            </w:r>
          </w:p>
          <w:p>
            <w:pPr>
              <w:spacing w:after="50"/>
              <w:jc w:val="both"/>
            </w:pPr>
            <w:r>
              <w:rPr>
                <w:sz w:val="20"/>
              </w:rPr>
              <w:t>«Corresponde disponer el sobreseimiento del imputado como autor material del delito de homicidio agravado, a quien durante un intento de robo a su vivienda, mató a uno de los atacantes con un arma de fuego, toda vez que el actuar del acusado queda inmerso en la causa de justificación legal que surge de la aplicación del artículo 34 del código penal inciso 6, que regula casos especiales de legítima defensa privilegiada y en tal sentido, contiene una regla respecto a la intromisión de un extraño en casa ajena, pues en estos supuestos, probados los extremos que la ley menciona, se presume iuris tantum que ha mediado legítima defensa.» El sumario no consigna el tribunal.</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AF3F4"/>
            <w:tcBorders>
              <w:top w:val="single" w:sz="4" w:color="007980" w:space="0"/>
              <w:left w:val="single" w:sz="24" w:color="007980" w:space="0"/>
              <w:bottom w:val="single" w:sz="4" w:color="007980" w:space="0"/>
              <w:right w:val="single" w:sz="4" w:color="007980" w:space="0"/>
            </w:tcBorders>
            <w:tcMar>
              <w:top w:w="80" w:type="dxa"/>
              <w:left w:w="160" w:type="dxa"/>
              <w:bottom w:w="80" w:type="dxa"/>
              <w:right w:w="140" w:type="dxa"/>
            </w:tcMar>
          </w:tcPr>
          <w:p>
            <w:pPr>
              <w:spacing w:after="60"/>
            </w:pPr>
            <w:r>
              <w:rPr>
                <w:b/>
                <w:color w:val="007980"/>
                <w:sz w:val="21"/>
              </w:rPr>
              <w:t>Resumen del capítulo 7</w:t>
            </w:r>
          </w:p>
          <w:p>
            <w:pPr>
              <w:spacing w:after="50"/>
              <w:ind w:left="255" w:hanging="255"/>
              <w:jc w:val="both"/>
            </w:pPr>
            <w:r>
              <w:rPr>
                <w:sz w:val="20"/>
              </w:rPr>
              <w:t>•  Dos supuestos: rechazo nocturno de escalamiento o fractura y extraño dentro del hogar con resistencia.</w:t>
            </w:r>
          </w:p>
          <w:p>
            <w:pPr>
              <w:spacing w:after="50"/>
              <w:ind w:left="255" w:hanging="255"/>
              <w:jc w:val="both"/>
            </w:pPr>
            <w:r>
              <w:rPr>
                <w:sz w:val="20"/>
              </w:rPr>
              <w:t>•  El efecto es una presunción: «se entenderá que concurren» los tres requisitos.</w:t>
            </w:r>
          </w:p>
          <w:p>
            <w:pPr>
              <w:spacing w:after="50"/>
              <w:ind w:left="255" w:hanging="255"/>
              <w:jc w:val="both"/>
            </w:pPr>
            <w:r>
              <w:rPr>
                <w:sz w:val="20"/>
              </w:rPr>
              <w:t xml:space="preserve">•  La posición dominante la considera </w:t>
            </w:r>
            <w:r>
              <w:rPr>
                <w:b/>
                <w:sz w:val="20"/>
              </w:rPr>
              <w:t>relativa</w:t>
            </w:r>
            <w:r>
              <w:rPr>
                <w:sz w:val="20"/>
              </w:rPr>
              <w:t xml:space="preserve"> (admite prueba en contrario).</w:t>
            </w:r>
          </w:p>
          <w:p>
            <w:pPr>
              <w:spacing w:after="50"/>
              <w:ind w:left="255" w:hanging="255"/>
              <w:jc w:val="both"/>
            </w:pPr>
            <w:r>
              <w:rPr>
                <w:sz w:val="20"/>
              </w:rPr>
              <w:t>•  No ampara la persecución, la ejecución del rendido ni la reacción cuando el intruso ya se retira.</w:t>
            </w:r>
          </w:p>
          <w:p>
            <w:pPr>
              <w:spacing w:after="50"/>
              <w:ind w:left="255" w:hanging="255"/>
              <w:jc w:val="both"/>
            </w:pPr>
            <w:r>
              <w:rPr>
                <w:sz w:val="20"/>
              </w:rPr>
              <w:t>•  Está en el centro de las propuestas de reforma (capítulo 12).</w:t>
            </w:r>
          </w:p>
        </w:tc>
      </w:tr>
    </w:tbl>
    <w:p>
      <w:pPr>
        <w:spacing w:after="40" w:line="120" w:lineRule="auto"/>
      </w:pPr>
    </w:p>
    <w:p>
      <w:pPr>
        <w:sectPr>
          <w:pgSz w:w="11906" w:h="16838"/>
          <w:pgMar w:top="1134" w:right="1247" w:bottom="1077" w:left="1247" w:header="454" w:footer="397" w:gutter="0"/>
          <w:cols w:space="720"/>
          <w:docGrid w:linePitch="360"/>
        </w:sectPr>
      </w:pP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11  ·  </w:t>
            </w:r>
            <w:r>
              <w:rPr>
                <w:b/>
                <w:color w:val="FFFFFF"/>
                <w:sz w:val="52"/>
              </w:rPr>
              <w:t>Legítima defensa «privilegiada»</w:t>
            </w:r>
          </w:p>
        </w:tc>
      </w:tr>
    </w:tbl>
    <w:p>
      <w:pPr>
        <w:spacing w:after="80" w:line="144" w:lineRule="auto"/>
      </w:pPr>
    </w:p>
    <w:p>
      <w:pPr>
        <w:jc w:val="center"/>
      </w:pPr>
      <w:r>
        <w:drawing>
          <wp:inline xmlns:a="http://schemas.openxmlformats.org/drawingml/2006/main" xmlns:pic="http://schemas.openxmlformats.org/drawingml/2006/picture">
            <wp:extent cx="9180000" cy="4590000"/>
            <wp:docPr id="6" name="Picture 6"/>
            <wp:cNvGraphicFramePr>
              <a:graphicFrameLocks noChangeAspect="1"/>
            </wp:cNvGraphicFramePr>
            <a:graphic>
              <a:graphicData uri="http://schemas.openxmlformats.org/drawingml/2006/picture">
                <pic:pic>
                  <pic:nvPicPr>
                    <pic:cNvPr id="0" name="fig_privilegiada.png"/>
                    <pic:cNvPicPr/>
                  </pic:nvPicPr>
                  <pic:blipFill>
                    <a:blip r:embed="rId13"/>
                    <a:stretch>
                      <a:fillRect/>
                    </a:stretch>
                  </pic:blipFill>
                  <pic:spPr>
                    <a:xfrm>
                      <a:off x="0" y="0"/>
                      <a:ext cx="9180000" cy="4590000"/>
                    </a:xfrm>
                    <a:prstGeom prst="rect"/>
                  </pic:spPr>
                </pic:pic>
              </a:graphicData>
            </a:graphic>
          </wp:inline>
        </w:drawing>
      </w:r>
    </w:p>
    <w:p>
      <w:pPr>
        <w:spacing w:before="120"/>
      </w:pPr>
      <w:r>
        <w:rPr>
          <w:i/>
          <w:color w:val="5A626E"/>
          <w:sz w:val="22"/>
        </w:rPr>
        <w:t>Art. 34, inc. 6, párrafos 2.º y 3.º C.P.</w:t>
      </w:r>
    </w:p>
    <w:p>
      <w:pPr>
        <w:spacing w:after="0"/>
      </w:pPr>
      <w:r>
        <w:br w:type="page"/>
      </w: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12  ·  </w:t>
            </w:r>
            <w:r>
              <w:rPr>
                <w:b/>
                <w:color w:val="FFFFFF"/>
                <w:sz w:val="52"/>
              </w:rPr>
              <w:t>La presunción del hogar: qué cubre y qué no</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b/>
                <w:sz w:val="50"/>
              </w:rPr>
              <w:t>Cubre:</w:t>
            </w:r>
            <w:r>
              <w:rPr>
                <w:sz w:val="50"/>
              </w:rPr>
              <w:t xml:space="preserve"> agresión ilegítima, necesidad racional y falta de provocación — </w:t>
            </w:r>
            <w:r>
              <w:rPr>
                <w:i/>
                <w:sz w:val="50"/>
              </w:rPr>
              <w:t>se presume</w:t>
            </w:r>
          </w:p>
          <w:p>
            <w:pPr>
              <w:spacing w:after="240"/>
              <w:ind w:left="397" w:hanging="397"/>
            </w:pPr>
            <w:r>
              <w:rPr>
                <w:color w:val="007980"/>
                <w:sz w:val="38"/>
              </w:rPr>
              <w:t xml:space="preserve">■  </w:t>
            </w:r>
            <w:r>
              <w:rPr>
                <w:sz w:val="50"/>
              </w:rPr>
              <w:t xml:space="preserve">Presunción </w:t>
            </w:r>
            <w:r>
              <w:rPr>
                <w:b/>
                <w:sz w:val="50"/>
              </w:rPr>
              <w:t>relativa</w:t>
            </w:r>
            <w:r>
              <w:rPr>
                <w:sz w:val="50"/>
              </w:rPr>
              <w:t>: cede ante prueba en contrario</w:t>
            </w:r>
          </w:p>
          <w:p>
            <w:pPr>
              <w:spacing w:after="240"/>
              <w:ind w:left="397" w:hanging="397"/>
            </w:pPr>
            <w:r>
              <w:rPr>
                <w:color w:val="007980"/>
                <w:sz w:val="38"/>
              </w:rPr>
              <w:t xml:space="preserve">■  </w:t>
            </w:r>
            <w:r>
              <w:rPr>
                <w:b/>
                <w:sz w:val="50"/>
              </w:rPr>
              <w:t>No cubre:</w:t>
            </w:r>
            <w:r>
              <w:rPr>
                <w:sz w:val="50"/>
              </w:rPr>
              <w:t xml:space="preserve"> persecución al que huye, ejecución del rendido, exceso desmedido</w:t>
            </w:r>
          </w:p>
          <w:p>
            <w:pPr>
              <w:spacing w:after="240"/>
              <w:ind w:left="397" w:hanging="397"/>
            </w:pPr>
            <w:r>
              <w:rPr>
                <w:color w:val="007980"/>
                <w:sz w:val="38"/>
              </w:rPr>
              <w:t xml:space="preserve">■  </w:t>
            </w:r>
            <w:r>
              <w:rPr>
                <w:sz w:val="50"/>
              </w:rPr>
              <w:t xml:space="preserve">Debe probarse el </w:t>
            </w:r>
            <w:r>
              <w:rPr>
                <w:b/>
                <w:sz w:val="50"/>
              </w:rPr>
              <w:t>hecho base</w:t>
            </w:r>
            <w:r>
              <w:rPr>
                <w:sz w:val="50"/>
              </w:rPr>
              <w:t xml:space="preserve"> (noche, escalamiento, hogar, resistencia)</w:t>
            </w:r>
          </w:p>
          <w:p>
            <w:pPr>
              <w:spacing w:after="240"/>
              <w:ind w:left="397" w:hanging="397"/>
            </w:pPr>
            <w:r>
              <w:rPr>
                <w:color w:val="007980"/>
                <w:sz w:val="38"/>
              </w:rPr>
              <w:t xml:space="preserve">■  </w:t>
            </w:r>
            <w:r>
              <w:rPr>
                <w:sz w:val="50"/>
              </w:rPr>
              <w:t xml:space="preserve">Siempre: valorar la </w:t>
            </w:r>
            <w:r>
              <w:rPr>
                <w:b/>
                <w:sz w:val="50"/>
              </w:rPr>
              <w:t>voluntad de defensa</w:t>
            </w:r>
          </w:p>
        </w:tc>
      </w:tr>
    </w:tbl>
    <w:p>
      <w:pPr>
        <w:spacing w:before="120"/>
      </w:pPr>
      <w:r>
        <w:rPr>
          <w:i/>
          <w:color w:val="5A626E"/>
          <w:sz w:val="22"/>
        </w:rPr>
        <w:t>Sumario SAIJ SUR0022636 (24/11/2021).</w:t>
      </w:r>
    </w:p>
    <w:p>
      <w:pPr>
        <w:sectPr>
          <w:pgSz w:w="16838" w:h="11906" w:orient="landscape"/>
          <w:pgMar w:top="624" w:right="737" w:bottom="680" w:left="737" w:header="454" w:footer="397" w:gutter="0"/>
          <w:cols w:space="720"/>
          <w:docGrid w:linePitch="360"/>
        </w:sectPr>
      </w:pPr>
    </w:p>
    <w:p>
      <w:pPr>
        <w:pStyle w:val="Heading1"/>
      </w:pPr>
      <w:r>
        <w:t>Capítulo 8. El exceso en la defensa (art. 35)</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2F5F9"/>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Ficha del tema</w:t>
            </w:r>
          </w:p>
          <w:p>
            <w:pPr>
              <w:spacing w:after="50"/>
              <w:ind w:left="255" w:hanging="255"/>
              <w:jc w:val="both"/>
            </w:pPr>
            <w:r>
              <w:rPr>
                <w:sz w:val="20"/>
              </w:rPr>
              <w:t xml:space="preserve">•  </w:t>
            </w:r>
            <w:r>
              <w:rPr>
                <w:b/>
                <w:sz w:val="20"/>
              </w:rPr>
              <w:t>Sujetos:</w:t>
            </w:r>
            <w:r>
              <w:rPr>
                <w:sz w:val="20"/>
              </w:rPr>
              <w:t xml:space="preserve"> el defensor que se excede; el agresor; el juez que gradúa la respuesta.</w:t>
            </w:r>
          </w:p>
          <w:p>
            <w:pPr>
              <w:spacing w:after="50"/>
              <w:ind w:left="255" w:hanging="255"/>
              <w:jc w:val="both"/>
            </w:pPr>
            <w:r>
              <w:rPr>
                <w:sz w:val="20"/>
              </w:rPr>
              <w:t xml:space="preserve">•  </w:t>
            </w:r>
            <w:r>
              <w:rPr>
                <w:b/>
                <w:sz w:val="20"/>
              </w:rPr>
              <w:t>Normativa:</w:t>
            </w:r>
            <w:r>
              <w:rPr>
                <w:sz w:val="20"/>
              </w:rPr>
              <w:t xml:space="preserve"> art. 35 C.P. («excedido los límites impuestos por la ley, por la autoridad o por la necesidad»); arts. 84 y 94 (homicidio y lesiones culposas), cuya escala se aplica.</w:t>
            </w:r>
          </w:p>
          <w:p>
            <w:pPr>
              <w:spacing w:after="50"/>
              <w:ind w:left="255" w:hanging="255"/>
              <w:jc w:val="both"/>
            </w:pPr>
            <w:r>
              <w:rPr>
                <w:sz w:val="20"/>
              </w:rPr>
              <w:t xml:space="preserve">•  </w:t>
            </w:r>
            <w:r>
              <w:rPr>
                <w:b/>
                <w:sz w:val="20"/>
              </w:rPr>
              <w:t>Elementos clave:</w:t>
            </w:r>
            <w:r>
              <w:rPr>
                <w:sz w:val="20"/>
              </w:rPr>
              <w:t xml:space="preserve"> finalidad defensiva inicial; irracionalidad del medio o prolongación de la defensa; pena del delito culposo; ausencia de tipo culposo.</w:t>
            </w:r>
          </w:p>
        </w:tc>
      </w:tr>
    </w:tbl>
    <w:p>
      <w:pPr>
        <w:spacing w:after="40" w:line="120" w:lineRule="auto"/>
      </w:pPr>
    </w:p>
    <w:p>
      <w:pPr>
        <w:pStyle w:val="Heading2"/>
      </w:pPr>
      <w:r>
        <w:t>8.1. Concepto y fundamento</w:t>
      </w:r>
    </w:p>
    <w:p>
      <w:pPr>
        <w:jc w:val="both"/>
      </w:pPr>
      <w:r>
        <w:t xml:space="preserve">Hay exceso cuando existió una situación de defensa (agresión ilegítima y voluntad de defenderse), pero el defensor </w:t>
      </w:r>
      <w:r>
        <w:rPr>
          <w:b/>
        </w:rPr>
        <w:t>traspasó los límites</w:t>
      </w:r>
      <w:r>
        <w:t xml:space="preserve"> de la necesidad o de la racionalidad. El Código no lo castiga como delito doloso común sino con «la pena fijada para el delito por culpa o imprudencia» (art. 35). El fundamento es la menor reprochabilidad: el autor no actuó por pura voluntad delictiva, sino en el marco de una situación de peligro que él no provocó.</w:t>
      </w:r>
    </w:p>
    <w:p>
      <w:pPr>
        <w:keepNext/>
        <w:spacing w:after="40"/>
        <w:jc w:val="center"/>
      </w:pPr>
      <w:r>
        <w:drawing>
          <wp:inline xmlns:a="http://schemas.openxmlformats.org/drawingml/2006/main" xmlns:pic="http://schemas.openxmlformats.org/drawingml/2006/picture">
            <wp:extent cx="4968000" cy="2484000"/>
            <wp:docPr id="7" name="Picture 7"/>
            <wp:cNvGraphicFramePr>
              <a:graphicFrameLocks noChangeAspect="1"/>
            </wp:cNvGraphicFramePr>
            <a:graphic>
              <a:graphicData uri="http://schemas.openxmlformats.org/drawingml/2006/picture">
                <pic:pic>
                  <pic:nvPicPr>
                    <pic:cNvPr id="0" name="fig_exceso.png"/>
                    <pic:cNvPicPr/>
                  </pic:nvPicPr>
                  <pic:blipFill>
                    <a:blip r:embed="rId14"/>
                    <a:stretch>
                      <a:fillRect/>
                    </a:stretch>
                  </pic:blipFill>
                  <pic:spPr>
                    <a:xfrm>
                      <a:off x="0" y="0"/>
                      <a:ext cx="4968000" cy="2484000"/>
                    </a:xfrm>
                    <a:prstGeom prst="rect"/>
                  </pic:spPr>
                </pic:pic>
              </a:graphicData>
            </a:graphic>
          </wp:inline>
        </w:drawing>
      </w:r>
    </w:p>
    <w:p>
      <w:pPr>
        <w:jc w:val="center"/>
      </w:pPr>
      <w:r>
        <w:rPr>
          <w:i/>
          <w:color w:val="5A626E"/>
          <w:sz w:val="17"/>
        </w:rPr>
        <w:t>Figura 8.1. La escala: defensa justificada, exceso y delito doloso (esquema propio).</w:t>
      </w:r>
    </w:p>
    <w:p>
      <w:pPr>
        <w:pStyle w:val="Heading2"/>
      </w:pPr>
      <w:r>
        <w:t>8.2. Clases de exceso</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928"/>
            <w:shd w:val="clear" w:color="auto" w:fill="172B4D"/>
            <w:tcMar>
              <w:top w:w="50" w:type="dxa"/>
              <w:left w:w="80" w:type="dxa"/>
              <w:bottom w:w="50" w:type="dxa"/>
              <w:right w:w="80" w:type="dxa"/>
            </w:tcMar>
          </w:tcPr>
          <w:p>
            <w:pPr>
              <w:spacing w:after="0"/>
            </w:pPr>
            <w:r>
              <w:rPr>
                <w:b/>
                <w:color w:val="FFFFFF"/>
                <w:sz w:val="18"/>
              </w:rPr>
              <w:t>Clase</w:t>
            </w:r>
          </w:p>
        </w:tc>
        <w:tc>
          <w:tcPr>
            <w:tcW w:type="dxa" w:w="4082"/>
            <w:shd w:val="clear" w:color="auto" w:fill="172B4D"/>
            <w:tcMar>
              <w:top w:w="50" w:type="dxa"/>
              <w:left w:w="80" w:type="dxa"/>
              <w:bottom w:w="50" w:type="dxa"/>
              <w:right w:w="80" w:type="dxa"/>
            </w:tcMar>
          </w:tcPr>
          <w:p>
            <w:pPr>
              <w:spacing w:after="0"/>
            </w:pPr>
            <w:r>
              <w:rPr>
                <w:b/>
                <w:color w:val="FFFFFF"/>
                <w:sz w:val="18"/>
              </w:rPr>
              <w:t>Qué ocurre</w:t>
            </w:r>
          </w:p>
        </w:tc>
        <w:tc>
          <w:tcPr>
            <w:tcW w:type="dxa" w:w="3402"/>
            <w:shd w:val="clear" w:color="auto" w:fill="172B4D"/>
            <w:tcMar>
              <w:top w:w="50" w:type="dxa"/>
              <w:left w:w="80" w:type="dxa"/>
              <w:bottom w:w="50" w:type="dxa"/>
              <w:right w:w="80" w:type="dxa"/>
            </w:tcMar>
          </w:tcPr>
          <w:p>
            <w:pPr>
              <w:spacing w:after="0"/>
            </w:pPr>
            <w:r>
              <w:rPr>
                <w:b/>
                <w:color w:val="FFFFFF"/>
                <w:sz w:val="18"/>
              </w:rPr>
              <w:t>Tratamiento</w:t>
            </w:r>
          </w:p>
        </w:tc>
      </w:tr>
      <w:tr>
        <w:trPr>
          <w:cantSplit w:val="true"/>
        </w:trPr>
        <w:tc>
          <w:tcPr>
            <w:tcW w:type="dxa" w:w="192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b/>
                <w:sz w:val="18"/>
              </w:rPr>
              <w:t>Intensivo</w:t>
            </w:r>
          </w:p>
        </w:tc>
        <w:tc>
          <w:tcPr>
            <w:tcW w:type="dxa" w:w="408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Durante la agresión, el medio o la intensidad exceden lo racional</w:t>
            </w:r>
          </w:p>
        </w:tc>
        <w:tc>
          <w:tcPr>
            <w:tcW w:type="dxa" w:w="340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Art. 35</w:t>
            </w:r>
          </w:p>
        </w:tc>
      </w:tr>
      <w:tr>
        <w:trPr>
          <w:cantSplit w:val="true"/>
        </w:trPr>
        <w:tc>
          <w:tcPr>
            <w:tcW w:type="dxa" w:w="192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b/>
                <w:sz w:val="18"/>
              </w:rPr>
              <w:t>Extensivo (temporal)</w:t>
            </w:r>
          </w:p>
        </w:tc>
        <w:tc>
          <w:tcPr>
            <w:tcW w:type="dxa" w:w="408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El defensor continúa la acción después de que cesó el peligro</w:t>
            </w:r>
          </w:p>
        </w:tc>
        <w:tc>
          <w:tcPr>
            <w:tcW w:type="dxa" w:w="340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Discutido: para una posición, es exceso (art. 35); para otra, es un delito nuevo si ya no hay finalidad defensiva</w:t>
            </w:r>
          </w:p>
        </w:tc>
      </w:tr>
      <w:tr>
        <w:trPr>
          <w:cantSplit w:val="true"/>
        </w:trPr>
        <w:tc>
          <w:tcPr>
            <w:tcW w:type="dxa" w:w="192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b/>
                <w:sz w:val="18"/>
              </w:rPr>
              <w:t>Exceso por error o imprudencia</w:t>
            </w:r>
          </w:p>
        </w:tc>
        <w:tc>
          <w:tcPr>
            <w:tcW w:type="dxa" w:w="408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Calcula mal la necesidad o la magnitud de la agresión</w:t>
            </w:r>
          </w:p>
        </w:tc>
        <w:tc>
          <w:tcPr>
            <w:tcW w:type="dxa" w:w="340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Art. 35 / error sobre los límites (capítulo 9)</w:t>
            </w:r>
          </w:p>
        </w:tc>
      </w:tr>
      <w:tr>
        <w:trPr>
          <w:cantSplit w:val="true"/>
        </w:trPr>
        <w:tc>
          <w:tcPr>
            <w:tcW w:type="dxa" w:w="192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b/>
                <w:sz w:val="18"/>
              </w:rPr>
              <w:t>Abuso</w:t>
            </w:r>
          </w:p>
        </w:tc>
        <w:tc>
          <w:tcPr>
            <w:tcW w:type="dxa" w:w="408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Persevera por hostilidad, sin finalidad defensiva</w:t>
            </w:r>
          </w:p>
        </w:tc>
        <w:tc>
          <w:tcPr>
            <w:tcW w:type="dxa" w:w="340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Delito doloso común (ver sumario SAIJ SUF0085448)</w:t>
            </w:r>
          </w:p>
        </w:tc>
      </w:tr>
    </w:tbl>
    <w:p>
      <w:pPr>
        <w:spacing w:after="60"/>
      </w:pPr>
    </w:p>
    <w:p>
      <w:pPr>
        <w:pStyle w:val="Heading2"/>
      </w:pPr>
      <w:r>
        <w:t>8.3. Requisitos del exceso</w:t>
      </w:r>
    </w:p>
    <w:p>
      <w:pPr>
        <w:spacing w:after="50"/>
        <w:ind w:left="567" w:hanging="340"/>
        <w:jc w:val="both"/>
      </w:pPr>
      <w:r>
        <w:t xml:space="preserve">1.  </w:t>
      </w:r>
      <w:r>
        <w:rPr>
          <w:b/>
        </w:rPr>
        <w:t>Situación de defensa inicial:</w:t>
      </w:r>
      <w:r>
        <w:t xml:space="preserve"> agresión ilegítima actual o inminente y, al menos al comienzo, finalidad defensiva.</w:t>
      </w:r>
    </w:p>
    <w:p>
      <w:pPr>
        <w:spacing w:after="50"/>
        <w:ind w:left="567" w:hanging="340"/>
        <w:jc w:val="both"/>
      </w:pPr>
      <w:r>
        <w:t xml:space="preserve">2.  </w:t>
      </w:r>
      <w:r>
        <w:rPr>
          <w:b/>
        </w:rPr>
        <w:t>Superación de los límites:</w:t>
      </w:r>
      <w:r>
        <w:t xml:space="preserve"> de la necesidad, de la racionalidad o del tiempo de la defensa.</w:t>
      </w:r>
    </w:p>
    <w:p>
      <w:pPr>
        <w:spacing w:after="50"/>
        <w:ind w:left="567" w:hanging="340"/>
        <w:jc w:val="both"/>
      </w:pPr>
      <w:r>
        <w:t xml:space="preserve">3.  </w:t>
      </w:r>
      <w:r>
        <w:rPr>
          <w:b/>
        </w:rPr>
        <w:t>Ausencia de provocación suficiente</w:t>
      </w:r>
      <w:r>
        <w:t xml:space="preserve"> (si la hubo, la discusión pasa a otra categoría).</w:t>
      </w:r>
    </w:p>
    <w:p>
      <w:pPr>
        <w:spacing w:after="50"/>
        <w:ind w:left="567" w:hanging="340"/>
        <w:jc w:val="both"/>
      </w:pPr>
      <w:r>
        <w:t xml:space="preserve">4.  </w:t>
      </w:r>
      <w:r>
        <w:rPr>
          <w:b/>
        </w:rPr>
        <w:t>Existencia de tipo culposo:</w:t>
      </w:r>
      <w:r>
        <w:t xml:space="preserve"> si el delito cometido no tiene figura culposa, el exceso resulta impune.</w:t>
      </w:r>
    </w:p>
    <w:p>
      <w:pPr>
        <w:pStyle w:val="Heading2"/>
      </w:pPr>
      <w:r>
        <w:t>8.4. Consecuencias punitivas</w:t>
      </w:r>
    </w:p>
    <w:p>
      <w:pPr>
        <w:jc w:val="both"/>
      </w:pPr>
      <w:r>
        <w:t xml:space="preserve">La pena aplicable es la del </w:t>
      </w:r>
      <w:r>
        <w:rPr>
          <w:b/>
        </w:rPr>
        <w:t>delito culposo</w:t>
      </w:r>
      <w:r>
        <w:t xml:space="preserve"> correspondiente: homicidio culposo (art. 84) o lesiones culposas (art. 94). Las escalas fueron modificadas por la Ley 27.347 (2017); deben cotejarse con el texto actualizado antes de citar. Si no hay tipo culposo (por ejemplo, daños), el exceso queda impune. Corresponde advertir al auditorio sobre la calificación en causas por homicidio: la distinción entre homicidio doloso (con escalas severas), exceso en la legítima defensa (escala del homicidio culposo) y absolución por legítima defensa completa es, en la práctica, el principal campo de batalla.</w:t>
      </w:r>
    </w:p>
    <w:p>
      <w:pPr>
        <w:pStyle w:val="Heading2"/>
      </w:pPr>
      <w:r>
        <w:t>8.5. Controversias</w:t>
      </w:r>
    </w:p>
    <w:p>
      <w:pPr>
        <w:spacing w:after="50"/>
        <w:ind w:left="595" w:hanging="255"/>
        <w:jc w:val="both"/>
      </w:pPr>
      <w:r>
        <w:t xml:space="preserve">•  </w:t>
      </w:r>
      <w:r>
        <w:rPr>
          <w:b/>
        </w:rPr>
        <w:t>Exceso doloso:</w:t>
      </w:r>
      <w:r>
        <w:t xml:space="preserve"> el art. 35 remite a la pena del delito culposo sin distinguir. Parte de la doctrina lo aplica también al exceso consciente por la menor culpabilidad; otra parte lo restringe a los casos de error o de imprudencia, y trata el exceso consciente como delito doloso. Es una discusión abierta (Soler, Núñez, Zaffaroni–Alagia–Slokar, Donna; </w:t>
      </w:r>
      <w:r>
        <w:rPr>
          <w:b/>
        </w:rPr>
        <w:t>DOCTRINA – verificar posiciones y páginas</w:t>
      </w:r>
      <w:r>
        <w:t>).</w:t>
      </w:r>
    </w:p>
    <w:p>
      <w:pPr>
        <w:spacing w:after="50"/>
        <w:ind w:left="595" w:hanging="255"/>
        <w:jc w:val="both"/>
      </w:pPr>
      <w:r>
        <w:t xml:space="preserve">•  </w:t>
      </w:r>
      <w:r>
        <w:rPr>
          <w:b/>
        </w:rPr>
        <w:t>Exceso por miedo o emoción:</w:t>
      </w:r>
      <w:r>
        <w:t xml:space="preserve"> el Código no recoge la cláusula del derecho alemán (StGB § 33). Se canaliza por el exceso del art. 35 o, en casos extremos, por la inexigibilidad (art. 34, inc. 2, por analogía de situaciones).</w:t>
      </w:r>
    </w:p>
    <w:p>
      <w:pPr>
        <w:spacing w:after="50"/>
        <w:ind w:left="595" w:hanging="255"/>
        <w:jc w:val="both"/>
      </w:pPr>
      <w:r>
        <w:t xml:space="preserve">•  </w:t>
      </w:r>
      <w:r>
        <w:rPr>
          <w:b/>
        </w:rPr>
        <w:t>Exceso en cumplimiento del deber:</w:t>
      </w:r>
      <w:r>
        <w:t xml:space="preserve"> el art. 35 («ley» y «autoridad») también cubre el exceso del funcionario (capítulo 10.2).</w:t>
      </w:r>
    </w:p>
    <w:p>
      <w:pPr>
        <w:pStyle w:val="Heading2"/>
      </w:pPr>
      <w:r>
        <w:t>8.6. Ejemplos</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Ejemplo 8.1 (hipotético): exceso intensivo</w:t>
            </w:r>
          </w:p>
          <w:p>
            <w:pPr>
              <w:spacing w:after="50"/>
              <w:jc w:val="both"/>
            </w:pPr>
            <w:r>
              <w:rPr>
                <w:sz w:val="20"/>
              </w:rPr>
              <w:t>Un joven recibe golpes de puño de otro de contextura similar y responde con una botella rota, hiriéndolo gravemente. La agresión es real y la defensa se inició con finalidad defensiva, pero el medio es desproporcionado respecto de un ataque sin armas. Exceso: pena del delito culposo (lesiones culposas).</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Ejemplo 8.2 (hipotético): exceso extensivo</w:t>
            </w:r>
          </w:p>
          <w:p>
            <w:pPr>
              <w:spacing w:after="50"/>
              <w:jc w:val="both"/>
            </w:pPr>
            <w:r>
              <w:rPr>
                <w:sz w:val="20"/>
              </w:rPr>
              <w:t>Superada la agresión, el agredido sigue golpeando al agresor, ya caído y sin posibilidad de reaccionar, por enojo. Si la finalidad defensiva se agotó, hay un hecho nuevo y doloso (lesiones o, en su caso, homicidio). Si persiste un estado de confusión derivado del ataque, parte de la doctrina lo considera exceso.</w:t>
            </w:r>
          </w:p>
        </w:tc>
      </w:tr>
    </w:tbl>
    <w:p>
      <w:pPr>
        <w:spacing w:after="40" w:line="120" w:lineRule="auto"/>
      </w:pPr>
    </w:p>
    <w:p>
      <w:pPr>
        <w:pStyle w:val="Heading2"/>
      </w:pPr>
      <w:r>
        <w:t>8.7. Jurisprudencia</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EF1F6"/>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CSJN, «San Roque, Melina s/ exceso en la legítima defensa», CSJ 496/2026/RH1, 02/07/2026 – VERIFICADO – oficial (texto parcial)</w:t>
            </w:r>
          </w:p>
          <w:p>
            <w:pPr>
              <w:spacing w:after="50"/>
              <w:jc w:val="both"/>
            </w:pPr>
            <w:r>
              <w:rPr>
                <w:sz w:val="20"/>
              </w:rPr>
              <w:t xml:space="preserve">La Corte desestimó la queja por falta de cumplimiento de una intimación formulada por Secretaría el 17/03/2026. Interesa como </w:t>
            </w:r>
            <w:r>
              <w:rPr>
                <w:b/>
                <w:sz w:val="20"/>
              </w:rPr>
              <w:t>advertencia procesal</w:t>
            </w:r>
            <w:r>
              <w:rPr>
                <w:sz w:val="20"/>
              </w:rPr>
              <w:t>: los recursos de hecho en causas por exceso en la legítima defensa se pierden por defectos formales. El fondo de la causa no fue tratado en la resolución recuperada.</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EF1F6"/>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Procesamiento por homicidio simple con exceso (sumario SAIJ SUG0035447, 09/05/2025) – VERIFICADO – sumario SAIJ (fragmento)</w:t>
            </w:r>
          </w:p>
          <w:p>
            <w:pPr>
              <w:spacing w:after="50"/>
              <w:jc w:val="both"/>
            </w:pPr>
            <w:r>
              <w:rPr>
                <w:sz w:val="20"/>
              </w:rPr>
              <w:t>Frente al agravio de que el imputado «actuó amparado en el permiso justificante de la legítima defensa (artículo 34, inc. 6 Código Penal) o en un supuesto de exceso contemplado en su artículo 35», el sumario indica que los elementos reunidos permiten concluir que el encausado «ha sobrepasado en intensidad tan…» (texto truncado). Corresponde a una confirmación de procesamiento por homicidio simple. Verificar el resultado completo en saij.gob.ar.</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EF1F6"/>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Disidencia por legítima defensa (sumario SAIJ SUG0035635, 25/07/2025) – VERIFICADO – sumario SAIJ (fragmento)</w:t>
            </w:r>
          </w:p>
          <w:p>
            <w:pPr>
              <w:spacing w:after="50"/>
              <w:jc w:val="both"/>
            </w:pPr>
            <w:r>
              <w:rPr>
                <w:sz w:val="20"/>
              </w:rPr>
              <w:t xml:space="preserve">En una confirmación de sentencia por exceso en la legítima defensa hay una </w:t>
            </w:r>
            <w:r>
              <w:rPr>
                <w:b/>
                <w:sz w:val="20"/>
              </w:rPr>
              <w:t>disidencia</w:t>
            </w:r>
            <w:r>
              <w:rPr>
                <w:sz w:val="20"/>
              </w:rPr>
              <w:t xml:space="preserve"> que sostiene que el imputado «se habría mantenido en el cauce del obrar de acuerdo a derecho, conforme los parámetros establecidos en el artículo 34 inciso 6° del Código Penal, al haber existido una agresión ilegítima y la falta de provocación suficiente». Útil para mostrar que la frontera entre justificación y exceso es opinable.</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EF1F6"/>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Policía de tránsito y exceso (sumario SAIJ SUR0023870, 01/08/2025) – VERIFICADO – sumario SAIJ (fragmento)</w:t>
            </w:r>
          </w:p>
          <w:p>
            <w:pPr>
              <w:spacing w:after="50"/>
              <w:jc w:val="both"/>
            </w:pPr>
            <w:r>
              <w:rPr>
                <w:sz w:val="20"/>
              </w:rPr>
              <w:t>El sumario recuerda que «el exceso en la justificación (art. 35 del Código Penal) se configura cuando se transgreden los límites impuestos por la ley o la necesidad al convertirse en desproporcionada la acción en su cotejo con lo autorizado por la ley o lo exigido…». Las palabras clave indican una confirmación de sentencia por homicidio calificado en la que intervino un policía de tránsito y se discutieron causas de justificación; no se pudo leer el resultado sobre el exceso (confirmar en la fuente).</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ECEC"/>
            <w:tcBorders>
              <w:top w:val="single" w:sz="4" w:color="A83232" w:space="0"/>
              <w:left w:val="single" w:sz="24" w:color="A83232" w:space="0"/>
              <w:bottom w:val="single" w:sz="4" w:color="A83232" w:space="0"/>
              <w:right w:val="single" w:sz="4" w:color="A83232" w:space="0"/>
            </w:tcBorders>
            <w:tcMar>
              <w:top w:w="80" w:type="dxa"/>
              <w:left w:w="160" w:type="dxa"/>
              <w:bottom w:w="80" w:type="dxa"/>
              <w:right w:w="140" w:type="dxa"/>
            </w:tcMar>
          </w:tcPr>
          <w:p>
            <w:pPr>
              <w:spacing w:after="60"/>
            </w:pPr>
            <w:r>
              <w:rPr>
                <w:b/>
                <w:color w:val="A83232"/>
                <w:sz w:val="21"/>
              </w:rPr>
              <w:t>TSJ Córdoba: casos reportados – A CONFIRMAR</w:t>
            </w:r>
          </w:p>
          <w:p>
            <w:pPr>
              <w:spacing w:after="50"/>
              <w:ind w:left="255" w:hanging="255"/>
              <w:jc w:val="both"/>
            </w:pPr>
            <w:r>
              <w:rPr>
                <w:sz w:val="20"/>
              </w:rPr>
              <w:t xml:space="preserve">•  </w:t>
            </w:r>
            <w:r>
              <w:rPr>
                <w:b/>
                <w:sz w:val="20"/>
              </w:rPr>
              <w:t>Sentencia n.º 207 (13/08/2008), «Palma, J. C.»:</w:t>
            </w:r>
            <w:r>
              <w:rPr>
                <w:sz w:val="20"/>
              </w:rPr>
              <w:t xml:space="preserve"> la Cámara en lo Criminal de Río Cuarto declaró autor de homicidio agravado por arma de fuego «con exceso en la legítima defensa»; el TSJ debía resolver si correspondía el art. 34 o el art. 35 (resultado no confirmado).</w:t>
            </w:r>
          </w:p>
          <w:p>
            <w:pPr>
              <w:spacing w:after="50"/>
              <w:ind w:left="255" w:hanging="255"/>
              <w:jc w:val="both"/>
            </w:pPr>
            <w:r>
              <w:rPr>
                <w:sz w:val="20"/>
              </w:rPr>
              <w:t xml:space="preserve">•  </w:t>
            </w:r>
            <w:r>
              <w:rPr>
                <w:b/>
                <w:sz w:val="20"/>
              </w:rPr>
              <w:t>Caso «Ocanto» (nota de Diario Judicial, 2026):</w:t>
            </w:r>
            <w:r>
              <w:rPr>
                <w:sz w:val="20"/>
              </w:rPr>
              <w:t xml:space="preserve"> según la prensa, el TSJ modificó una condena por homicidio simple por exceso en la legítima defensa y redujo la pena de ocho a tres años (verificar sentencia, número y fecha en la base del Poder Judicial de Córdoba).</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AF3F4"/>
            <w:tcBorders>
              <w:top w:val="single" w:sz="4" w:color="007980" w:space="0"/>
              <w:left w:val="single" w:sz="24" w:color="007980" w:space="0"/>
              <w:bottom w:val="single" w:sz="4" w:color="007980" w:space="0"/>
              <w:right w:val="single" w:sz="4" w:color="007980" w:space="0"/>
            </w:tcBorders>
            <w:tcMar>
              <w:top w:w="80" w:type="dxa"/>
              <w:left w:w="160" w:type="dxa"/>
              <w:bottom w:w="80" w:type="dxa"/>
              <w:right w:w="140" w:type="dxa"/>
            </w:tcMar>
          </w:tcPr>
          <w:p>
            <w:pPr>
              <w:spacing w:after="60"/>
            </w:pPr>
            <w:r>
              <w:rPr>
                <w:b/>
                <w:color w:val="007980"/>
                <w:sz w:val="21"/>
              </w:rPr>
              <w:t>Resumen del capítulo 8</w:t>
            </w:r>
          </w:p>
          <w:p>
            <w:pPr>
              <w:spacing w:after="50"/>
              <w:ind w:left="255" w:hanging="255"/>
              <w:jc w:val="both"/>
            </w:pPr>
            <w:r>
              <w:rPr>
                <w:sz w:val="20"/>
              </w:rPr>
              <w:t xml:space="preserve">•  Exceso: situación de defensa inicial + superación de la necesidad o racionalidad; el art. 35 aplica la pena del delito </w:t>
            </w:r>
            <w:r>
              <w:rPr>
                <w:b/>
                <w:sz w:val="20"/>
              </w:rPr>
              <w:t>culposo</w:t>
            </w:r>
            <w:r>
              <w:rPr>
                <w:sz w:val="20"/>
              </w:rPr>
              <w:t>.</w:t>
            </w:r>
          </w:p>
          <w:p>
            <w:pPr>
              <w:spacing w:after="50"/>
              <w:ind w:left="255" w:hanging="255"/>
              <w:jc w:val="both"/>
            </w:pPr>
            <w:r>
              <w:rPr>
                <w:sz w:val="20"/>
              </w:rPr>
              <w:t>•  Clases: intensivo, extensivo, por error o imprudencia; el abuso por hostilidad no es exceso.</w:t>
            </w:r>
          </w:p>
          <w:p>
            <w:pPr>
              <w:spacing w:after="50"/>
              <w:ind w:left="255" w:hanging="255"/>
              <w:jc w:val="both"/>
            </w:pPr>
            <w:r>
              <w:rPr>
                <w:sz w:val="20"/>
              </w:rPr>
              <w:t>•  Si el hecho no tiene tipo culposo, el exceso es impune.</w:t>
            </w:r>
          </w:p>
          <w:p>
            <w:pPr>
              <w:spacing w:after="50"/>
              <w:ind w:left="255" w:hanging="255"/>
              <w:jc w:val="both"/>
            </w:pPr>
            <w:r>
              <w:rPr>
                <w:sz w:val="20"/>
              </w:rPr>
              <w:t>•  Discusión abierta sobre el exceso doloso y sobre el exceso por miedo o emoción.</w:t>
            </w:r>
          </w:p>
        </w:tc>
      </w:tr>
    </w:tbl>
    <w:p>
      <w:pPr>
        <w:spacing w:after="40" w:line="120" w:lineRule="auto"/>
      </w:pPr>
    </w:p>
    <w:p>
      <w:pPr>
        <w:sectPr>
          <w:pgSz w:w="11906" w:h="16838"/>
          <w:pgMar w:top="1134" w:right="1247" w:bottom="1077" w:left="1247" w:header="454" w:footer="397" w:gutter="0"/>
          <w:cols w:space="720"/>
          <w:docGrid w:linePitch="360"/>
        </w:sectPr>
      </w:pP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13  ·  </w:t>
            </w:r>
            <w:r>
              <w:rPr>
                <w:b/>
                <w:color w:val="FFFFFF"/>
                <w:sz w:val="52"/>
              </w:rPr>
              <w:t>Exceso: art. 35 C.P.</w:t>
            </w:r>
          </w:p>
        </w:tc>
      </w:tr>
    </w:tbl>
    <w:p>
      <w:pPr>
        <w:spacing w:after="80" w:line="144" w:lineRule="auto"/>
      </w:pPr>
    </w:p>
    <w:p>
      <w:pPr>
        <w:jc w:val="center"/>
      </w:pPr>
      <w:r>
        <w:drawing>
          <wp:inline xmlns:a="http://schemas.openxmlformats.org/drawingml/2006/main" xmlns:pic="http://schemas.openxmlformats.org/drawingml/2006/picture">
            <wp:extent cx="9180000" cy="4590000"/>
            <wp:docPr id="8" name="Picture 8"/>
            <wp:cNvGraphicFramePr>
              <a:graphicFrameLocks noChangeAspect="1"/>
            </wp:cNvGraphicFramePr>
            <a:graphic>
              <a:graphicData uri="http://schemas.openxmlformats.org/drawingml/2006/picture">
                <pic:pic>
                  <pic:nvPicPr>
                    <pic:cNvPr id="0" name="fig_exceso.png"/>
                    <pic:cNvPicPr/>
                  </pic:nvPicPr>
                  <pic:blipFill>
                    <a:blip r:embed="rId14"/>
                    <a:stretch>
                      <a:fillRect/>
                    </a:stretch>
                  </pic:blipFill>
                  <pic:spPr>
                    <a:xfrm>
                      <a:off x="0" y="0"/>
                      <a:ext cx="9180000" cy="4590000"/>
                    </a:xfrm>
                    <a:prstGeom prst="rect"/>
                  </pic:spPr>
                </pic:pic>
              </a:graphicData>
            </a:graphic>
          </wp:inline>
        </w:drawing>
      </w:r>
    </w:p>
    <w:p>
      <w:pPr>
        <w:spacing w:before="120"/>
      </w:pPr>
      <w:r>
        <w:rPr>
          <w:i/>
          <w:color w:val="5A626E"/>
          <w:sz w:val="22"/>
        </w:rPr>
        <w:t>Texto del art. 35: «El que hubiere excedido los límites impuestos por la ley, por la autoridad o por la necesidad, será castigado con la pena fijada para el delito por culpa o imprudencia.»</w:t>
      </w:r>
    </w:p>
    <w:p>
      <w:pPr>
        <w:spacing w:after="0"/>
      </w:pPr>
      <w:r>
        <w:br w:type="page"/>
      </w: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14  ·  </w:t>
            </w:r>
            <w:r>
              <w:rPr>
                <w:b/>
                <w:color w:val="FFFFFF"/>
                <w:sz w:val="52"/>
              </w:rPr>
              <w:t>Clases de exceso y consecuencias</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b/>
                <w:sz w:val="50"/>
              </w:rPr>
              <w:t>Intensivo:</w:t>
            </w:r>
            <w:r>
              <w:rPr>
                <w:sz w:val="50"/>
              </w:rPr>
              <w:t xml:space="preserve"> medio desproporcionado durante la agresión</w:t>
            </w:r>
          </w:p>
          <w:p>
            <w:pPr>
              <w:spacing w:after="240"/>
              <w:ind w:left="397" w:hanging="397"/>
            </w:pPr>
            <w:r>
              <w:rPr>
                <w:color w:val="007980"/>
                <w:sz w:val="38"/>
              </w:rPr>
              <w:t xml:space="preserve">■  </w:t>
            </w:r>
            <w:r>
              <w:rPr>
                <w:b/>
                <w:sz w:val="50"/>
              </w:rPr>
              <w:t>Extensivo:</w:t>
            </w:r>
            <w:r>
              <w:rPr>
                <w:sz w:val="50"/>
              </w:rPr>
              <w:t xml:space="preserve"> continuar tras cesar el peligro (discutido)</w:t>
            </w:r>
          </w:p>
          <w:p>
            <w:pPr>
              <w:spacing w:after="240"/>
              <w:ind w:left="397" w:hanging="397"/>
            </w:pPr>
            <w:r>
              <w:rPr>
                <w:color w:val="007980"/>
                <w:sz w:val="38"/>
              </w:rPr>
              <w:t xml:space="preserve">■  </w:t>
            </w:r>
            <w:r>
              <w:rPr>
                <w:b/>
                <w:sz w:val="50"/>
              </w:rPr>
              <w:t>Abuso:</w:t>
            </w:r>
            <w:r>
              <w:rPr>
                <w:sz w:val="50"/>
              </w:rPr>
              <w:t xml:space="preserve"> hostilidad sin finalidad defensiva → delito doloso</w:t>
            </w:r>
          </w:p>
          <w:p>
            <w:pPr>
              <w:spacing w:after="240"/>
              <w:ind w:left="397" w:hanging="397"/>
            </w:pPr>
            <w:r>
              <w:rPr>
                <w:color w:val="007980"/>
                <w:sz w:val="38"/>
              </w:rPr>
              <w:t xml:space="preserve">■  </w:t>
            </w:r>
            <w:r>
              <w:rPr>
                <w:sz w:val="50"/>
              </w:rPr>
              <w:t xml:space="preserve">Pena: la del </w:t>
            </w:r>
            <w:r>
              <w:rPr>
                <w:b/>
                <w:sz w:val="50"/>
              </w:rPr>
              <w:t>delito culposo</w:t>
            </w:r>
            <w:r>
              <w:rPr>
                <w:sz w:val="50"/>
              </w:rPr>
              <w:t xml:space="preserve"> (arts. 84 y 94)</w:t>
            </w:r>
          </w:p>
          <w:p>
            <w:pPr>
              <w:spacing w:after="240"/>
              <w:ind w:left="397" w:hanging="397"/>
            </w:pPr>
            <w:r>
              <w:rPr>
                <w:color w:val="007980"/>
                <w:sz w:val="38"/>
              </w:rPr>
              <w:t xml:space="preserve">■  </w:t>
            </w:r>
            <w:r>
              <w:rPr>
                <w:sz w:val="50"/>
              </w:rPr>
              <w:t>Sin tipo culposo → impune</w:t>
            </w:r>
          </w:p>
          <w:p>
            <w:pPr>
              <w:spacing w:after="240"/>
              <w:ind w:left="397" w:hanging="397"/>
            </w:pPr>
            <w:r>
              <w:rPr>
                <w:color w:val="007980"/>
                <w:sz w:val="38"/>
              </w:rPr>
              <w:t xml:space="preserve">■  </w:t>
            </w:r>
            <w:r>
              <w:rPr>
                <w:sz w:val="50"/>
              </w:rPr>
              <w:t xml:space="preserve">Clave: finalidad defensiva </w:t>
            </w:r>
            <w:r>
              <w:rPr>
                <w:b/>
                <w:sz w:val="50"/>
              </w:rPr>
              <w:t>inicial</w:t>
            </w:r>
          </w:p>
        </w:tc>
      </w:tr>
    </w:tbl>
    <w:p>
      <w:pPr>
        <w:spacing w:before="120"/>
      </w:pPr>
      <w:r>
        <w:rPr>
          <w:i/>
          <w:color w:val="5A626E"/>
          <w:sz w:val="22"/>
        </w:rPr>
        <w:t>Sumarios SAIJ SUJ0050383 y SUF0085448.</w:t>
      </w:r>
    </w:p>
    <w:p>
      <w:pPr>
        <w:sectPr>
          <w:pgSz w:w="16838" w:h="11906" w:orient="landscape"/>
          <w:pgMar w:top="624" w:right="737" w:bottom="680" w:left="737" w:header="454" w:footer="397" w:gutter="0"/>
          <w:cols w:space="720"/>
          <w:docGrid w:linePitch="360"/>
        </w:sectPr>
      </w:pPr>
    </w:p>
    <w:p>
      <w:pPr>
        <w:pStyle w:val="Heading1"/>
      </w:pPr>
      <w:r>
        <w:t>Capítulo 9. Error y defensa putativa. Distinción con otras eximentes</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2F5F9"/>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Ficha del tema</w:t>
            </w:r>
          </w:p>
          <w:p>
            <w:pPr>
              <w:spacing w:after="50"/>
              <w:ind w:left="255" w:hanging="255"/>
              <w:jc w:val="both"/>
            </w:pPr>
            <w:r>
              <w:rPr>
                <w:sz w:val="20"/>
              </w:rPr>
              <w:t xml:space="preserve">•  </w:t>
            </w:r>
            <w:r>
              <w:rPr>
                <w:b/>
                <w:sz w:val="20"/>
              </w:rPr>
              <w:t>Sujetos:</w:t>
            </w:r>
            <w:r>
              <w:rPr>
                <w:sz w:val="20"/>
              </w:rPr>
              <w:t xml:space="preserve"> el que cree, equivocadamente, estar siendo agredido (o que su defensa está permitida); el supuesto agresor, que puede ser un inocente.</w:t>
            </w:r>
          </w:p>
          <w:p>
            <w:pPr>
              <w:spacing w:after="50"/>
              <w:ind w:left="255" w:hanging="255"/>
              <w:jc w:val="both"/>
            </w:pPr>
            <w:r>
              <w:rPr>
                <w:sz w:val="20"/>
              </w:rPr>
              <w:t xml:space="preserve">•  </w:t>
            </w:r>
            <w:r>
              <w:rPr>
                <w:b/>
                <w:sz w:val="20"/>
              </w:rPr>
              <w:t>Normativa:</w:t>
            </w:r>
            <w:r>
              <w:rPr>
                <w:sz w:val="20"/>
              </w:rPr>
              <w:t xml:space="preserve"> art. 34, inc. 1 («error o ignorancia de hecho no imputable»); inc. 3 (estado de necesidad); inc. 2 (coacción); inc. 4 (deber y derecho); art. 35.</w:t>
            </w:r>
          </w:p>
          <w:p>
            <w:pPr>
              <w:spacing w:after="50"/>
              <w:ind w:left="255" w:hanging="255"/>
              <w:jc w:val="both"/>
            </w:pPr>
            <w:r>
              <w:rPr>
                <w:sz w:val="20"/>
              </w:rPr>
              <w:t xml:space="preserve">•  </w:t>
            </w:r>
            <w:r>
              <w:rPr>
                <w:b/>
                <w:sz w:val="20"/>
              </w:rPr>
              <w:t>Elementos clave:</w:t>
            </w:r>
            <w:r>
              <w:rPr>
                <w:sz w:val="20"/>
              </w:rPr>
              <w:t xml:space="preserve"> error sobre presupuestos o sobre límites; invencibilidad; consecuencias; diferencias con otras eximentes.</w:t>
            </w:r>
          </w:p>
        </w:tc>
      </w:tr>
    </w:tbl>
    <w:p>
      <w:pPr>
        <w:spacing w:after="40" w:line="120" w:lineRule="auto"/>
      </w:pPr>
    </w:p>
    <w:p>
      <w:pPr>
        <w:pStyle w:val="Heading2"/>
      </w:pPr>
      <w:r>
        <w:t>9.1. La defensa putativa</w:t>
      </w:r>
    </w:p>
    <w:p>
      <w:pPr>
        <w:jc w:val="both"/>
      </w:pPr>
      <w:r>
        <w:t xml:space="preserve">Hay </w:t>
      </w:r>
      <w:r>
        <w:rPr>
          <w:b/>
        </w:rPr>
        <w:t>defensa putativa</w:t>
      </w:r>
      <w:r>
        <w:t xml:space="preserve"> cuando el sujeto cree erróneamente que es objeto de una agresión ilegítima (o que concurren los demás presupuestos de la defensa). La agresión no existe, pero el sujeto, de acuerdo con las circunstancias, la imaginó. El caso típico: la víctima de reiterados asaltos que dispara contra un amigo que le hace una broma con un arma de juguete.</w:t>
      </w:r>
    </w:p>
    <w:p>
      <w:pPr>
        <w:keepNext/>
        <w:spacing w:after="40"/>
        <w:jc w:val="center"/>
      </w:pPr>
      <w:r>
        <w:drawing>
          <wp:inline xmlns:a="http://schemas.openxmlformats.org/drawingml/2006/main" xmlns:pic="http://schemas.openxmlformats.org/drawingml/2006/picture">
            <wp:extent cx="4968000" cy="2484000"/>
            <wp:docPr id="9" name="Picture 9"/>
            <wp:cNvGraphicFramePr>
              <a:graphicFrameLocks noChangeAspect="1"/>
            </wp:cNvGraphicFramePr>
            <a:graphic>
              <a:graphicData uri="http://schemas.openxmlformats.org/drawingml/2006/picture">
                <pic:pic>
                  <pic:nvPicPr>
                    <pic:cNvPr id="0" name="fig_putativa.png"/>
                    <pic:cNvPicPr/>
                  </pic:nvPicPr>
                  <pic:blipFill>
                    <a:blip r:embed="rId15"/>
                    <a:stretch>
                      <a:fillRect/>
                    </a:stretch>
                  </pic:blipFill>
                  <pic:spPr>
                    <a:xfrm>
                      <a:off x="0" y="0"/>
                      <a:ext cx="4968000" cy="2484000"/>
                    </a:xfrm>
                    <a:prstGeom prst="rect"/>
                  </pic:spPr>
                </pic:pic>
              </a:graphicData>
            </a:graphic>
          </wp:inline>
        </w:drawing>
      </w:r>
    </w:p>
    <w:p>
      <w:pPr>
        <w:jc w:val="center"/>
      </w:pPr>
      <w:r>
        <w:rPr>
          <w:i/>
          <w:color w:val="5A626E"/>
          <w:sz w:val="17"/>
        </w:rPr>
        <w:t>Figura 9.1. Errores del que se defiende (esquema propio).</w:t>
      </w:r>
    </w:p>
    <w:p>
      <w:pPr>
        <w:pStyle w:val="Heading2"/>
      </w:pPr>
      <w:r>
        <w:t>9.2. Clases de error</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608"/>
            <w:shd w:val="clear" w:color="auto" w:fill="172B4D"/>
            <w:tcMar>
              <w:top w:w="50" w:type="dxa"/>
              <w:left w:w="80" w:type="dxa"/>
              <w:bottom w:w="50" w:type="dxa"/>
              <w:right w:w="80" w:type="dxa"/>
            </w:tcMar>
          </w:tcPr>
          <w:p>
            <w:pPr>
              <w:spacing w:after="0"/>
            </w:pPr>
            <w:r>
              <w:rPr>
                <w:b/>
                <w:color w:val="FFFFFF"/>
                <w:sz w:val="18"/>
              </w:rPr>
              <w:t>Tipo de error</w:t>
            </w:r>
          </w:p>
        </w:tc>
        <w:tc>
          <w:tcPr>
            <w:tcW w:type="dxa" w:w="3402"/>
            <w:shd w:val="clear" w:color="auto" w:fill="172B4D"/>
            <w:tcMar>
              <w:top w:w="50" w:type="dxa"/>
              <w:left w:w="80" w:type="dxa"/>
              <w:bottom w:w="50" w:type="dxa"/>
              <w:right w:w="80" w:type="dxa"/>
            </w:tcMar>
          </w:tcPr>
          <w:p>
            <w:pPr>
              <w:spacing w:after="0"/>
            </w:pPr>
            <w:r>
              <w:rPr>
                <w:b/>
                <w:color w:val="FFFFFF"/>
                <w:sz w:val="18"/>
              </w:rPr>
              <w:t>Contenido</w:t>
            </w:r>
          </w:p>
        </w:tc>
        <w:tc>
          <w:tcPr>
            <w:tcW w:type="dxa" w:w="3402"/>
            <w:shd w:val="clear" w:color="auto" w:fill="172B4D"/>
            <w:tcMar>
              <w:top w:w="50" w:type="dxa"/>
              <w:left w:w="80" w:type="dxa"/>
              <w:bottom w:w="50" w:type="dxa"/>
              <w:right w:w="80" w:type="dxa"/>
            </w:tcMar>
          </w:tcPr>
          <w:p>
            <w:pPr>
              <w:spacing w:after="0"/>
            </w:pPr>
            <w:r>
              <w:rPr>
                <w:b/>
                <w:color w:val="FFFFFF"/>
                <w:sz w:val="18"/>
              </w:rPr>
              <w:t>Consecuencia</w:t>
            </w:r>
          </w:p>
        </w:tc>
      </w:tr>
      <w:tr>
        <w:trPr>
          <w:cantSplit w:val="true"/>
        </w:trPr>
        <w:tc>
          <w:tcPr>
            <w:tcW w:type="dxa" w:w="260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b/>
                <w:sz w:val="18"/>
              </w:rPr>
              <w:t>Sobre los presupuestos fácticos</w:t>
            </w:r>
            <w:r>
              <w:rPr>
                <w:sz w:val="18"/>
              </w:rPr>
              <w:t xml:space="preserve"> (error de tipo permisivo)</w:t>
            </w:r>
          </w:p>
        </w:tc>
        <w:tc>
          <w:tcPr>
            <w:tcW w:type="dxa" w:w="340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Cree que hay agresión, que es actual o que el medio es adecuado</w:t>
            </w:r>
          </w:p>
        </w:tc>
        <w:tc>
          <w:tcPr>
            <w:tcW w:type="dxa" w:w="340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 xml:space="preserve">Si es </w:t>
            </w:r>
            <w:r>
              <w:rPr>
                <w:b/>
                <w:sz w:val="18"/>
              </w:rPr>
              <w:t>invencible</w:t>
            </w:r>
            <w:r>
              <w:rPr>
                <w:sz w:val="18"/>
              </w:rPr>
              <w:t xml:space="preserve">, falta culpabilidad: no hay pena. Si es </w:t>
            </w:r>
            <w:r>
              <w:rPr>
                <w:b/>
                <w:sz w:val="18"/>
              </w:rPr>
              <w:t>vencible</w:t>
            </w:r>
            <w:r>
              <w:rPr>
                <w:sz w:val="18"/>
              </w:rPr>
              <w:t>, se discute: pena del delito culposo, si lo hay.</w:t>
            </w:r>
          </w:p>
        </w:tc>
      </w:tr>
      <w:tr>
        <w:trPr>
          <w:cantSplit w:val="true"/>
        </w:trPr>
        <w:tc>
          <w:tcPr>
            <w:tcW w:type="dxa" w:w="260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b/>
                <w:sz w:val="18"/>
              </w:rPr>
              <w:t>Sobre la existencia o límites del permiso</w:t>
            </w:r>
            <w:r>
              <w:rPr>
                <w:sz w:val="18"/>
              </w:rPr>
              <w:t xml:space="preserve"> (error de prohibición indirecto)</w:t>
            </w:r>
          </w:p>
        </w:tc>
        <w:tc>
          <w:tcPr>
            <w:tcW w:type="dxa" w:w="340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Cree que puede hacer lo que hizo (por ejemplo, que podía matar para defender un bien insignificante)</w:t>
            </w:r>
          </w:p>
        </w:tc>
        <w:tc>
          <w:tcPr>
            <w:tcW w:type="dxa" w:w="340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Invencible: sin culpabilidad. Vencible: atenuación, con discusión sobre el alcance.</w:t>
            </w:r>
          </w:p>
        </w:tc>
      </w:tr>
    </w:tbl>
    <w:p>
      <w:pPr>
        <w:spacing w:after="60"/>
      </w:pPr>
    </w:p>
    <w:p>
      <w:pPr>
        <w:jc w:val="both"/>
      </w:pPr>
      <w:r>
        <w:t xml:space="preserve">El art. 34, inc. 1, del Código Penal («error o ignorancia de hecho no imputable») es la base normativa para el error sobre los hechos: si el error es </w:t>
      </w:r>
      <w:r>
        <w:rPr>
          <w:b/>
        </w:rPr>
        <w:t>no imputable</w:t>
      </w:r>
      <w:r>
        <w:t xml:space="preserve"> (invencible), no hay pena; si es imputable (vencible), el sistema no exime. La doctrina se divide sobre la construcción dogmática (teoría estricta o limitada de la culpabilidad), con consecuencias distintas para el error vencible sobre los presupuestos de una justificante (Zaffaroni–Alagia–Slokar y Donna; </w:t>
      </w:r>
      <w:r>
        <w:rPr>
          <w:b/>
        </w:rPr>
        <w:t>DOCTRINA – verificar</w:t>
      </w:r>
      <w:r>
        <w:t>).</w:t>
      </w:r>
    </w:p>
    <w:p>
      <w:pPr>
        <w:jc w:val="both"/>
      </w:pPr>
      <w:r>
        <w:t xml:space="preserve">Un sumario del SAIJ muestra cómo el juez descarta estos planteos cuando no existe base fáctica: «El impugnante no delinea idóneamente un vicio en el pronunciamiento […] referidas a la fundamentación brindada para desechar la concurrencia de un error de prohibición invencible o vencible, en tanto se descartaron estos planteos con base en que no existía elemento alguno que pu[diera]…» (SAIJ SUJ0052532, 05/03/2024; </w:t>
      </w:r>
      <w:r>
        <w:rPr>
          <w:b/>
        </w:rPr>
        <w:t>VERIFICADO – sumario SAIJ</w:t>
      </w:r>
      <w:r>
        <w:t>, texto parcial).</w:t>
      </w:r>
    </w:p>
    <w:p>
      <w:pPr>
        <w:pStyle w:val="Heading2"/>
      </w:pPr>
      <w:r>
        <w:t>9.3. El error sobre la magnitud o sobre la racionalidad</w:t>
      </w:r>
    </w:p>
    <w:p>
      <w:pPr>
        <w:jc w:val="both"/>
      </w:pPr>
      <w:r>
        <w:t xml:space="preserve">Un caso intermedio es el del sujeto que acierta en que hay una agresión, pero se equivoca sobre su </w:t>
      </w:r>
      <w:r>
        <w:rPr>
          <w:b/>
        </w:rPr>
        <w:t>magnitud</w:t>
      </w:r>
      <w:r>
        <w:t xml:space="preserve"> o sobre la </w:t>
      </w:r>
      <w:r>
        <w:rPr>
          <w:b/>
        </w:rPr>
        <w:t>necesidad</w:t>
      </w:r>
      <w:r>
        <w:t xml:space="preserve"> del medio (cree que el agresor tiene un arma y no la tiene). Para parte de la doctrina se resuelve como error sobre los presupuestos y, si es vencible, puede llevar al exceso. En la jurisprudencia citada de la Sala Penal de Córdoba, el tribunal habría descartado el error cuando la reacción (disparo a zona letal) era irracional con independencia de cualquier error (</w:t>
      </w:r>
      <w:r>
        <w:rPr>
          <w:b/>
        </w:rPr>
        <w:t>A CONFIRMAR</w:t>
      </w:r>
      <w:r>
        <w:t>, «Molina», 2008).</w:t>
      </w:r>
    </w:p>
    <w:p>
      <w:pPr>
        <w:pStyle w:val="Heading2"/>
      </w:pPr>
      <w:r>
        <w:t>9.4. Distinción con otras eximentes</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1474"/>
            <w:shd w:val="clear" w:color="auto" w:fill="172B4D"/>
            <w:tcMar>
              <w:top w:w="50" w:type="dxa"/>
              <w:left w:w="80" w:type="dxa"/>
              <w:bottom w:w="50" w:type="dxa"/>
              <w:right w:w="80" w:type="dxa"/>
            </w:tcMar>
          </w:tcPr>
          <w:p>
            <w:pPr>
              <w:spacing w:after="0"/>
            </w:pPr>
            <w:r>
              <w:rPr>
                <w:b/>
                <w:color w:val="FFFFFF"/>
                <w:sz w:val="17"/>
              </w:rPr>
            </w:r>
          </w:p>
        </w:tc>
        <w:tc>
          <w:tcPr>
            <w:tcW w:type="dxa" w:w="1928"/>
            <w:shd w:val="clear" w:color="auto" w:fill="172B4D"/>
            <w:tcMar>
              <w:top w:w="50" w:type="dxa"/>
              <w:left w:w="80" w:type="dxa"/>
              <w:bottom w:w="50" w:type="dxa"/>
              <w:right w:w="80" w:type="dxa"/>
            </w:tcMar>
          </w:tcPr>
          <w:p>
            <w:pPr>
              <w:spacing w:after="0"/>
            </w:pPr>
            <w:r>
              <w:rPr>
                <w:b/>
                <w:color w:val="FFFFFF"/>
                <w:sz w:val="17"/>
              </w:rPr>
              <w:t>Legítima defensa</w:t>
            </w:r>
          </w:p>
        </w:tc>
        <w:tc>
          <w:tcPr>
            <w:tcW w:type="dxa" w:w="2154"/>
            <w:shd w:val="clear" w:color="auto" w:fill="172B4D"/>
            <w:tcMar>
              <w:top w:w="50" w:type="dxa"/>
              <w:left w:w="80" w:type="dxa"/>
              <w:bottom w:w="50" w:type="dxa"/>
              <w:right w:w="80" w:type="dxa"/>
            </w:tcMar>
          </w:tcPr>
          <w:p>
            <w:pPr>
              <w:spacing w:after="0"/>
            </w:pPr>
            <w:r>
              <w:rPr>
                <w:b/>
                <w:color w:val="FFFFFF"/>
                <w:sz w:val="17"/>
              </w:rPr>
              <w:t>Estado de necesidad justificante</w:t>
            </w:r>
          </w:p>
        </w:tc>
        <w:tc>
          <w:tcPr>
            <w:tcW w:type="dxa" w:w="2041"/>
            <w:shd w:val="clear" w:color="auto" w:fill="172B4D"/>
            <w:tcMar>
              <w:top w:w="50" w:type="dxa"/>
              <w:left w:w="80" w:type="dxa"/>
              <w:bottom w:w="50" w:type="dxa"/>
              <w:right w:w="80" w:type="dxa"/>
            </w:tcMar>
          </w:tcPr>
          <w:p>
            <w:pPr>
              <w:spacing w:after="0"/>
            </w:pPr>
            <w:r>
              <w:rPr>
                <w:b/>
                <w:color w:val="FFFFFF"/>
                <w:sz w:val="17"/>
              </w:rPr>
              <w:t>Cumplimiento del deber (inc. 4)</w:t>
            </w:r>
          </w:p>
        </w:tc>
        <w:tc>
          <w:tcPr>
            <w:tcW w:type="dxa" w:w="1814"/>
            <w:shd w:val="clear" w:color="auto" w:fill="172B4D"/>
            <w:tcMar>
              <w:top w:w="50" w:type="dxa"/>
              <w:left w:w="80" w:type="dxa"/>
              <w:bottom w:w="50" w:type="dxa"/>
              <w:right w:w="80" w:type="dxa"/>
            </w:tcMar>
          </w:tcPr>
          <w:p>
            <w:pPr>
              <w:spacing w:after="0"/>
            </w:pPr>
            <w:r>
              <w:rPr>
                <w:b/>
                <w:color w:val="FFFFFF"/>
                <w:sz w:val="17"/>
              </w:rPr>
              <w:t>Coacción (inc. 2)</w:t>
            </w:r>
          </w:p>
        </w:tc>
      </w:tr>
      <w:tr>
        <w:trPr>
          <w:cantSplit w:val="true"/>
        </w:trPr>
        <w:tc>
          <w:tcPr>
            <w:tcW w:type="dxa" w:w="147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b/>
                <w:sz w:val="17"/>
              </w:rPr>
              <w:t>Origen del peligro</w:t>
            </w:r>
          </w:p>
        </w:tc>
        <w:tc>
          <w:tcPr>
            <w:tcW w:type="dxa" w:w="192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Agresión ilegítima humana</w:t>
            </w:r>
          </w:p>
        </w:tc>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Peligro de cualquier origen (naturaleza, animal, persona)</w:t>
            </w:r>
          </w:p>
        </w:tc>
        <w:tc>
          <w:tcPr>
            <w:tcW w:type="dxa" w:w="204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Deber jurídico de actuar (orden legal)</w:t>
            </w:r>
          </w:p>
        </w:tc>
        <w:tc>
          <w:tcPr>
            <w:tcW w:type="dxa" w:w="181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Amenaza de otro</w:t>
            </w:r>
          </w:p>
        </w:tc>
      </w:tr>
      <w:tr>
        <w:trPr>
          <w:cantSplit w:val="true"/>
        </w:trPr>
        <w:tc>
          <w:tcPr>
            <w:tcW w:type="dxa" w:w="147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b/>
                <w:sz w:val="17"/>
              </w:rPr>
              <w:t>Quién sufre la lesión</w:t>
            </w:r>
          </w:p>
        </w:tc>
        <w:tc>
          <w:tcPr>
            <w:tcW w:type="dxa" w:w="192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7"/>
              </w:rPr>
              <w:t>El agresor</w:t>
            </w:r>
          </w:p>
        </w:tc>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7"/>
              </w:rPr>
              <w:t>Un tercero inocente</w:t>
            </w:r>
          </w:p>
        </w:tc>
        <w:tc>
          <w:tcPr>
            <w:tcW w:type="dxa" w:w="204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7"/>
              </w:rPr>
              <w:t>El afectado por la medida legal</w:t>
            </w:r>
          </w:p>
        </w:tc>
        <w:tc>
          <w:tcPr>
            <w:tcW w:type="dxa" w:w="181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7"/>
              </w:rPr>
              <w:t>Un tercero inocente</w:t>
            </w:r>
          </w:p>
        </w:tc>
      </w:tr>
      <w:tr>
        <w:trPr>
          <w:cantSplit w:val="true"/>
        </w:trPr>
        <w:tc>
          <w:tcPr>
            <w:tcW w:type="dxa" w:w="147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b/>
                <w:sz w:val="17"/>
              </w:rPr>
              <w:t>Ponderación</w:t>
            </w:r>
          </w:p>
        </w:tc>
        <w:tc>
          <w:tcPr>
            <w:tcW w:type="dxa" w:w="192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Necesidad racional; sin proporción estricta</w:t>
            </w:r>
          </w:p>
        </w:tc>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 xml:space="preserve">Mal causado </w:t>
            </w:r>
            <w:r>
              <w:rPr>
                <w:b/>
                <w:sz w:val="17"/>
              </w:rPr>
              <w:t>menor</w:t>
            </w:r>
            <w:r>
              <w:rPr>
                <w:sz w:val="17"/>
              </w:rPr>
              <w:t xml:space="preserve"> que el evitado</w:t>
            </w:r>
          </w:p>
        </w:tc>
        <w:tc>
          <w:tcPr>
            <w:tcW w:type="dxa" w:w="204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Dentro de los límites del deber</w:t>
            </w:r>
          </w:p>
        </w:tc>
        <w:tc>
          <w:tcPr>
            <w:tcW w:type="dxa" w:w="181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Mal grave e inminente</w:t>
            </w:r>
          </w:p>
        </w:tc>
      </w:tr>
      <w:tr>
        <w:trPr>
          <w:cantSplit w:val="true"/>
        </w:trPr>
        <w:tc>
          <w:tcPr>
            <w:tcW w:type="dxa" w:w="147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b/>
                <w:sz w:val="17"/>
              </w:rPr>
              <w:t>Naturaleza</w:t>
            </w:r>
          </w:p>
        </w:tc>
        <w:tc>
          <w:tcPr>
            <w:tcW w:type="dxa" w:w="192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7"/>
              </w:rPr>
              <w:t>Justificación</w:t>
            </w:r>
          </w:p>
        </w:tc>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7"/>
              </w:rPr>
              <w:t>Justificación (inc. 3)</w:t>
            </w:r>
          </w:p>
        </w:tc>
        <w:tc>
          <w:tcPr>
            <w:tcW w:type="dxa" w:w="204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7"/>
              </w:rPr>
              <w:t>Justificación</w:t>
            </w:r>
          </w:p>
        </w:tc>
        <w:tc>
          <w:tcPr>
            <w:tcW w:type="dxa" w:w="181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7"/>
              </w:rPr>
              <w:t>Exculpación</w:t>
            </w:r>
          </w:p>
        </w:tc>
      </w:tr>
      <w:tr>
        <w:trPr>
          <w:cantSplit w:val="true"/>
        </w:trPr>
        <w:tc>
          <w:tcPr>
            <w:tcW w:type="dxa" w:w="147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b/>
                <w:sz w:val="17"/>
              </w:rPr>
              <w:t>Ejemplo</w:t>
            </w:r>
          </w:p>
        </w:tc>
        <w:tc>
          <w:tcPr>
            <w:tcW w:type="dxa" w:w="192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Repeler al asaltante</w:t>
            </w:r>
          </w:p>
        </w:tc>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Romper una puerta ajena para rescatar de un incendio</w:t>
            </w:r>
          </w:p>
        </w:tc>
        <w:tc>
          <w:tcPr>
            <w:tcW w:type="dxa" w:w="204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Policía que detiene en flagrancia</w:t>
            </w:r>
          </w:p>
        </w:tc>
        <w:tc>
          <w:tcPr>
            <w:tcW w:type="dxa" w:w="181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Cometer un delito bajo amenaza de muerte</w:t>
            </w:r>
          </w:p>
        </w:tc>
      </w:tr>
    </w:tbl>
    <w:p>
      <w:pPr>
        <w:spacing w:after="60"/>
      </w:pPr>
    </w:p>
    <w:p>
      <w:pPr>
        <w:pStyle w:val="Heading2"/>
      </w:pPr>
      <w:r>
        <w:t>9.5. Ejemplos</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Ejemplo 9.1 (hipotético): putativa invencible</w:t>
            </w:r>
          </w:p>
          <w:p>
            <w:pPr>
              <w:spacing w:after="50"/>
              <w:jc w:val="both"/>
            </w:pPr>
            <w:r>
              <w:rPr>
                <w:sz w:val="20"/>
              </w:rPr>
              <w:t>Una persona fue asaltada a punta de pistola dos noches antes. Al volver a su casa encuentra en el zaguán a un desconocido que, en la penumbra, saca de su bolsillo un objeto metálico y lo dirige hacia ella. Dispara. El objeto era un llavero. Si las circunstancias hacían razonable creer que se trataba de un arma, el error es invencible y el autor no obra con culpabilidad. Si la situación permitía advertir fácilmente que no lo era, el error es vencible.</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Ejemplo 9.2 (hipotético): inexistencia del error</w:t>
            </w:r>
          </w:p>
          <w:p>
            <w:pPr>
              <w:spacing w:after="50"/>
              <w:jc w:val="both"/>
            </w:pPr>
            <w:r>
              <w:rPr>
                <w:sz w:val="20"/>
              </w:rPr>
              <w:t>Un hombre se enfrenta con otro con quien tiene una antigua enemistad. Lo ve en un lugar oscuro con las manos en los bolsillos y dispara sin advertencia ni conducta previa del otro. No hay base fáctica para el error: el sujeto actuó por hostilidad; no hay legítima defensa ni putativa.</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AF3F4"/>
            <w:tcBorders>
              <w:top w:val="single" w:sz="4" w:color="007980" w:space="0"/>
              <w:left w:val="single" w:sz="24" w:color="007980" w:space="0"/>
              <w:bottom w:val="single" w:sz="4" w:color="007980" w:space="0"/>
              <w:right w:val="single" w:sz="4" w:color="007980" w:space="0"/>
            </w:tcBorders>
            <w:tcMar>
              <w:top w:w="80" w:type="dxa"/>
              <w:left w:w="160" w:type="dxa"/>
              <w:bottom w:w="80" w:type="dxa"/>
              <w:right w:w="140" w:type="dxa"/>
            </w:tcMar>
          </w:tcPr>
          <w:p>
            <w:pPr>
              <w:spacing w:after="60"/>
            </w:pPr>
            <w:r>
              <w:rPr>
                <w:b/>
                <w:color w:val="007980"/>
                <w:sz w:val="21"/>
              </w:rPr>
              <w:t>Resumen del capítulo 9</w:t>
            </w:r>
          </w:p>
          <w:p>
            <w:pPr>
              <w:spacing w:after="50"/>
              <w:ind w:left="255" w:hanging="255"/>
              <w:jc w:val="both"/>
            </w:pPr>
            <w:r>
              <w:rPr>
                <w:sz w:val="20"/>
              </w:rPr>
              <w:t>•  Defensa putativa: se cree erróneamente en la agresión; error sobre presupuestos (tipo permisivo) o sobre límites (prohibición).</w:t>
            </w:r>
          </w:p>
          <w:p>
            <w:pPr>
              <w:spacing w:after="50"/>
              <w:ind w:left="255" w:hanging="255"/>
              <w:jc w:val="both"/>
            </w:pPr>
            <w:r>
              <w:rPr>
                <w:sz w:val="20"/>
              </w:rPr>
              <w:t>•  Base normativa: art. 34, inc. 1 («error o ignorancia de hecho no imputable»).</w:t>
            </w:r>
          </w:p>
          <w:p>
            <w:pPr>
              <w:spacing w:after="50"/>
              <w:ind w:left="255" w:hanging="255"/>
              <w:jc w:val="both"/>
            </w:pPr>
            <w:r>
              <w:rPr>
                <w:sz w:val="20"/>
              </w:rPr>
              <w:t>•  Invencible: no hay pena. Vencible: pena del delito culposo, o atenuación, según la tesis.</w:t>
            </w:r>
          </w:p>
          <w:p>
            <w:pPr>
              <w:spacing w:after="50"/>
              <w:ind w:left="255" w:hanging="255"/>
              <w:jc w:val="both"/>
            </w:pPr>
            <w:r>
              <w:rPr>
                <w:sz w:val="20"/>
              </w:rPr>
              <w:t>•  No confundir legítima defensa con estado de necesidad (el lesionado es un inocente), cumplimiento del deber o coacción.</w:t>
            </w:r>
          </w:p>
        </w:tc>
      </w:tr>
    </w:tbl>
    <w:p>
      <w:pPr>
        <w:spacing w:after="40" w:line="120" w:lineRule="auto"/>
      </w:pPr>
    </w:p>
    <w:p>
      <w:pPr>
        <w:sectPr>
          <w:pgSz w:w="11906" w:h="16838"/>
          <w:pgMar w:top="1134" w:right="1247" w:bottom="1077" w:left="1247" w:header="454" w:footer="397" w:gutter="0"/>
          <w:cols w:space="720"/>
          <w:docGrid w:linePitch="360"/>
        </w:sectPr>
      </w:pP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15  ·  </w:t>
            </w:r>
            <w:r>
              <w:rPr>
                <w:b/>
                <w:color w:val="FFFFFF"/>
                <w:sz w:val="52"/>
              </w:rPr>
              <w:t>Defensa putativa y error</w:t>
            </w:r>
          </w:p>
        </w:tc>
      </w:tr>
    </w:tbl>
    <w:p>
      <w:pPr>
        <w:spacing w:after="80" w:line="144" w:lineRule="auto"/>
      </w:pPr>
    </w:p>
    <w:p>
      <w:pPr>
        <w:jc w:val="center"/>
      </w:pPr>
      <w:r>
        <w:drawing>
          <wp:inline xmlns:a="http://schemas.openxmlformats.org/drawingml/2006/main" xmlns:pic="http://schemas.openxmlformats.org/drawingml/2006/picture">
            <wp:extent cx="9180000" cy="4590000"/>
            <wp:docPr id="10" name="Picture 10"/>
            <wp:cNvGraphicFramePr>
              <a:graphicFrameLocks noChangeAspect="1"/>
            </wp:cNvGraphicFramePr>
            <a:graphic>
              <a:graphicData uri="http://schemas.openxmlformats.org/drawingml/2006/picture">
                <pic:pic>
                  <pic:nvPicPr>
                    <pic:cNvPr id="0" name="fig_putativa.png"/>
                    <pic:cNvPicPr/>
                  </pic:nvPicPr>
                  <pic:blipFill>
                    <a:blip r:embed="rId15"/>
                    <a:stretch>
                      <a:fillRect/>
                    </a:stretch>
                  </pic:blipFill>
                  <pic:spPr>
                    <a:xfrm>
                      <a:off x="0" y="0"/>
                      <a:ext cx="9180000" cy="4590000"/>
                    </a:xfrm>
                    <a:prstGeom prst="rect"/>
                  </pic:spPr>
                </pic:pic>
              </a:graphicData>
            </a:graphic>
          </wp:inline>
        </w:drawing>
      </w:r>
    </w:p>
    <w:p>
      <w:pPr>
        <w:spacing w:before="120"/>
      </w:pPr>
      <w:r>
        <w:rPr>
          <w:i/>
          <w:color w:val="5A626E"/>
          <w:sz w:val="22"/>
        </w:rPr>
        <w:t>Art. 34, inc. 1 C.P. «error o ignorancia de hecho no imputable».</w:t>
      </w:r>
    </w:p>
    <w:p>
      <w:pPr>
        <w:spacing w:after="0"/>
      </w:pPr>
      <w:r>
        <w:br w:type="page"/>
      </w: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16  ·  </w:t>
            </w:r>
            <w:r>
              <w:rPr>
                <w:b/>
                <w:color w:val="FFFFFF"/>
                <w:sz w:val="52"/>
              </w:rPr>
              <w:t>Legítima defensa vs. otras eximentes</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b/>
                <w:sz w:val="50"/>
              </w:rPr>
              <w:t>Legítima defensa:</w:t>
            </w:r>
            <w:r>
              <w:rPr>
                <w:sz w:val="50"/>
              </w:rPr>
              <w:t xml:space="preserve"> reacciona contra el </w:t>
            </w:r>
            <w:r>
              <w:rPr>
                <w:b/>
                <w:sz w:val="50"/>
              </w:rPr>
              <w:t>agresor</w:t>
            </w:r>
            <w:r>
              <w:rPr>
                <w:sz w:val="50"/>
              </w:rPr>
              <w:t xml:space="preserve"> · justificación</w:t>
            </w:r>
          </w:p>
          <w:p>
            <w:pPr>
              <w:spacing w:after="240"/>
              <w:ind w:left="397" w:hanging="397"/>
            </w:pPr>
            <w:r>
              <w:rPr>
                <w:color w:val="007980"/>
                <w:sz w:val="38"/>
              </w:rPr>
              <w:t xml:space="preserve">■  </w:t>
            </w:r>
            <w:r>
              <w:rPr>
                <w:b/>
                <w:sz w:val="50"/>
              </w:rPr>
              <w:t>Estado de necesidad (inc. 3):</w:t>
            </w:r>
            <w:r>
              <w:rPr>
                <w:sz w:val="50"/>
              </w:rPr>
              <w:t xml:space="preserve"> el mal recae sobre un </w:t>
            </w:r>
            <w:r>
              <w:rPr>
                <w:b/>
                <w:sz w:val="50"/>
              </w:rPr>
              <w:t>inocente</w:t>
            </w:r>
            <w:r>
              <w:rPr>
                <w:sz w:val="50"/>
              </w:rPr>
              <w:t xml:space="preserve"> · debe ser </w:t>
            </w:r>
            <w:r>
              <w:rPr>
                <w:b/>
                <w:sz w:val="50"/>
              </w:rPr>
              <w:t>menor</w:t>
            </w:r>
            <w:r>
              <w:rPr>
                <w:sz w:val="50"/>
              </w:rPr>
              <w:t xml:space="preserve"> el mal causado</w:t>
            </w:r>
          </w:p>
          <w:p>
            <w:pPr>
              <w:spacing w:after="240"/>
              <w:ind w:left="397" w:hanging="397"/>
            </w:pPr>
            <w:r>
              <w:rPr>
                <w:color w:val="007980"/>
                <w:sz w:val="38"/>
              </w:rPr>
              <w:t xml:space="preserve">■  </w:t>
            </w:r>
            <w:r>
              <w:rPr>
                <w:b/>
                <w:sz w:val="50"/>
              </w:rPr>
              <w:t>Cumplimiento del deber (inc. 4):</w:t>
            </w:r>
            <w:r>
              <w:rPr>
                <w:sz w:val="50"/>
              </w:rPr>
              <w:t xml:space="preserve"> el funcionario actúa dentro de lo que la ley manda</w:t>
            </w:r>
          </w:p>
          <w:p>
            <w:pPr>
              <w:spacing w:after="240"/>
              <w:ind w:left="397" w:hanging="397"/>
            </w:pPr>
            <w:r>
              <w:rPr>
                <w:color w:val="007980"/>
                <w:sz w:val="38"/>
              </w:rPr>
              <w:t xml:space="preserve">■  </w:t>
            </w:r>
            <w:r>
              <w:rPr>
                <w:b/>
                <w:sz w:val="50"/>
              </w:rPr>
              <w:t>Coacción (inc. 2):</w:t>
            </w:r>
            <w:r>
              <w:rPr>
                <w:sz w:val="50"/>
              </w:rPr>
              <w:t xml:space="preserve"> el autor es presionado por amenaza · exculpación</w:t>
            </w:r>
          </w:p>
          <w:p>
            <w:pPr>
              <w:spacing w:after="240"/>
              <w:ind w:left="397" w:hanging="397"/>
            </w:pPr>
            <w:r>
              <w:rPr>
                <w:color w:val="007980"/>
                <w:sz w:val="38"/>
              </w:rPr>
              <w:t xml:space="preserve">■  </w:t>
            </w:r>
            <w:r>
              <w:rPr>
                <w:sz w:val="50"/>
              </w:rPr>
              <w:t>Pregunta guía: ¿</w:t>
            </w:r>
            <w:r>
              <w:rPr>
                <w:b/>
                <w:sz w:val="50"/>
              </w:rPr>
              <w:t>quién soporta</w:t>
            </w:r>
            <w:r>
              <w:rPr>
                <w:sz w:val="50"/>
              </w:rPr>
              <w:t xml:space="preserve"> la lesión y </w:t>
            </w:r>
            <w:r>
              <w:rPr>
                <w:b/>
                <w:sz w:val="50"/>
              </w:rPr>
              <w:t>de dónde viene</w:t>
            </w:r>
            <w:r>
              <w:rPr>
                <w:sz w:val="50"/>
              </w:rPr>
              <w:t xml:space="preserve"> el peligro?</w:t>
            </w:r>
          </w:p>
        </w:tc>
      </w:tr>
    </w:tbl>
    <w:p>
      <w:pPr>
        <w:spacing w:before="120"/>
      </w:pPr>
      <w:r>
        <w:rPr>
          <w:i/>
          <w:color w:val="5A626E"/>
          <w:sz w:val="22"/>
        </w:rPr>
        <w:t>Art. 34, incs. 2, 3, 4 y 6 C.P.</w:t>
      </w:r>
    </w:p>
    <w:p>
      <w:pPr>
        <w:sectPr>
          <w:pgSz w:w="16838" w:h="11906" w:orient="landscape"/>
          <w:pgMar w:top="624" w:right="737" w:bottom="680" w:left="737" w:header="454" w:footer="397" w:gutter="0"/>
          <w:cols w:space="720"/>
          <w:docGrid w:linePitch="360"/>
        </w:sectPr>
      </w:pPr>
    </w:p>
    <w:p>
      <w:pPr>
        <w:pStyle w:val="Heading1"/>
      </w:pPr>
      <w:r>
        <w:t>Capítulo 10. Variantes especiales</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2F5F9"/>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Ficha del tema</w:t>
            </w:r>
          </w:p>
          <w:p>
            <w:pPr>
              <w:spacing w:after="50"/>
              <w:ind w:left="255" w:hanging="255"/>
              <w:jc w:val="both"/>
            </w:pPr>
            <w:r>
              <w:rPr>
                <w:sz w:val="20"/>
              </w:rPr>
              <w:t xml:space="preserve">•  </w:t>
            </w:r>
            <w:r>
              <w:rPr>
                <w:b/>
                <w:sz w:val="20"/>
              </w:rPr>
              <w:t>Sujetos:</w:t>
            </w:r>
            <w:r>
              <w:rPr>
                <w:sz w:val="20"/>
              </w:rPr>
              <w:t xml:space="preserve"> mujeres víctimas de violencia de género; agentes de seguridad; moradores; contendientes en riña; titulares de bienes con dispositivos predispuestos.</w:t>
            </w:r>
          </w:p>
          <w:p>
            <w:pPr>
              <w:spacing w:after="50"/>
              <w:ind w:left="255" w:hanging="255"/>
              <w:jc w:val="both"/>
            </w:pPr>
            <w:r>
              <w:rPr>
                <w:sz w:val="20"/>
              </w:rPr>
              <w:t xml:space="preserve">•  </w:t>
            </w:r>
            <w:r>
              <w:rPr>
                <w:b/>
                <w:sz w:val="20"/>
              </w:rPr>
              <w:t>Normativa:</w:t>
            </w:r>
            <w:r>
              <w:rPr>
                <w:sz w:val="20"/>
              </w:rPr>
              <w:t xml:space="preserve"> art. 34, incs. 4, 6 y 7, y art. 35 C.P.; Ley 24.632 (Convención de Belém do Pará); Ley 26.485 y decreto 1011/2010; arts. 95 y 96 C.P. (riña); estándares internacionales sobre el uso de la fuerza.</w:t>
            </w:r>
          </w:p>
          <w:p>
            <w:pPr>
              <w:spacing w:after="50"/>
              <w:ind w:left="255" w:hanging="255"/>
              <w:jc w:val="both"/>
            </w:pPr>
            <w:r>
              <w:rPr>
                <w:sz w:val="20"/>
              </w:rPr>
              <w:t xml:space="preserve">•  </w:t>
            </w:r>
            <w:r>
              <w:rPr>
                <w:b/>
                <w:sz w:val="20"/>
              </w:rPr>
              <w:t>Elementos clave:</w:t>
            </w:r>
            <w:r>
              <w:rPr>
                <w:sz w:val="20"/>
              </w:rPr>
              <w:t xml:space="preserve"> contexto de violencia; inminencia; perspectiva de género; deber del funcionario; ofendículos; riña.</w:t>
            </w:r>
          </w:p>
        </w:tc>
      </w:tr>
    </w:tbl>
    <w:p>
      <w:pPr>
        <w:spacing w:after="40" w:line="120" w:lineRule="auto"/>
      </w:pPr>
    </w:p>
    <w:p>
      <w:pPr>
        <w:pStyle w:val="Heading2"/>
      </w:pPr>
      <w:r>
        <w:t>10.1. Violencia de género y legítima defensa</w:t>
      </w:r>
    </w:p>
    <w:p>
      <w:pPr>
        <w:jc w:val="both"/>
      </w:pPr>
      <w:r>
        <w:t xml:space="preserve">Es el campo de mayor desarrollo reciente. La cuestión es cómo interpretar los requisitos del art. 34, inc. 6, cuando quien mata o lesiona a su agresor es una mujer víctima de violencia continuada. Tres puntos concentran la discusión: la </w:t>
      </w:r>
      <w:r>
        <w:rPr>
          <w:b/>
        </w:rPr>
        <w:t>agresión actual</w:t>
      </w:r>
      <w:r>
        <w:t xml:space="preserve"> (¿qué es «inminente» en un ciclo de violencia?), la </w:t>
      </w:r>
      <w:r>
        <w:rPr>
          <w:b/>
        </w:rPr>
        <w:t>racionalidad del medio</w:t>
      </w:r>
      <w:r>
        <w:t xml:space="preserve"> (desigualdad de fuerzas, medio al alcance) y la </w:t>
      </w:r>
      <w:r>
        <w:rPr>
          <w:b/>
        </w:rPr>
        <w:t>prueba</w:t>
      </w:r>
      <w:r>
        <w:t xml:space="preserve"> (cómo valorar el relato de la imputada y el contexto).</w:t>
      </w:r>
    </w:p>
    <w:p>
      <w:pPr>
        <w:pStyle w:val="Heading3"/>
      </w:pPr>
      <w:r>
        <w:t>a) El leading case: CSJN, «Leiva, María Cecilia s/ homicidio simple» (Fallos 334:1204; 01/11/2011) – VERIFICADO – oficial</w:t>
      </w:r>
    </w:p>
    <w:p>
      <w:pPr>
        <w:spacing w:after="50"/>
        <w:ind w:left="595" w:hanging="255"/>
        <w:jc w:val="both"/>
      </w:pPr>
      <w:r>
        <w:t xml:space="preserve">•  </w:t>
      </w:r>
      <w:r>
        <w:rPr>
          <w:b/>
        </w:rPr>
        <w:t>Hechos y trámite:</w:t>
      </w:r>
      <w:r>
        <w:t xml:space="preserve"> la Corte de Justicia de Catamarca había rechazado el recurso de casación contra la condena por homicidio simple de la imputada, que según la acusación había matado «de un puntazo» a su concubino. La defensa alegó legítima defensa y señaló que la propia sentencia reconocía lesiones en la imputada por fotos e informe médico.</w:t>
      </w:r>
    </w:p>
    <w:p>
      <w:pPr>
        <w:spacing w:after="50"/>
        <w:ind w:left="595" w:hanging="255"/>
        <w:jc w:val="both"/>
      </w:pPr>
      <w:r>
        <w:t xml:space="preserve">•  </w:t>
      </w:r>
      <w:r>
        <w:rPr>
          <w:b/>
        </w:rPr>
        <w:t>Decisión:</w:t>
      </w:r>
      <w:r>
        <w:t xml:space="preserve"> la CSJN, remitiéndose al dictamen de la Procuración General, </w:t>
      </w:r>
      <w:r>
        <w:rPr>
          <w:b/>
        </w:rPr>
        <w:t>dejó sin efecto</w:t>
      </w:r>
      <w:r>
        <w:t xml:space="preserve"> la sentencia. Votaron los jueces Lorenzetti, Fayt, Petracchi, Maqueda y Zaffaroni (voto conjunto), y, por sus propios votos, Highton de Nolasco y Argibay.</w:t>
      </w:r>
    </w:p>
    <w:p>
      <w:pPr>
        <w:spacing w:after="50"/>
        <w:ind w:left="595" w:hanging="255"/>
        <w:jc w:val="both"/>
      </w:pPr>
      <w:r>
        <w:t xml:space="preserve">•  </w:t>
      </w:r>
      <w:r>
        <w:rPr>
          <w:b/>
        </w:rPr>
        <w:t>Estándar aplicado:</w:t>
      </w:r>
      <w:r>
        <w:t xml:space="preserve"> el tribunal provincial no cumplió con la revisión amplia de condenas fijada en «Casal» (Fallos 328:3399): omitió valorar elementos esenciales, como el estado físico de la imputada inmediatamente después del hecho.</w:t>
      </w:r>
    </w:p>
    <w:p>
      <w:pPr>
        <w:spacing w:after="50"/>
        <w:ind w:left="595" w:hanging="255"/>
        <w:jc w:val="both"/>
      </w:pPr>
      <w:r>
        <w:t xml:space="preserve">•  </w:t>
      </w:r>
      <w:r>
        <w:rPr>
          <w:b/>
        </w:rPr>
        <w:t>Votos de Highton y Argibay:</w:t>
      </w:r>
      <w:r>
        <w:t xml:space="preserve"> el tribunal de origen había descartado la legítima defensa porque la imputada permaneció en el domicilio común, a lo que atribuyó carácter voluntario y entendió que se sometió libremente a una hipotética agresión. Esa premisa «lisa y llanamente apareció en colisión» con la Convención de Belém do Pará (Ley 24.632) y la Ley 26.485 (decreto 1011/2010). Argibay se remitió además a su voto en «Salto» (Fallos 329:530).</w:t>
      </w:r>
    </w:p>
    <w:p>
      <w:pPr>
        <w:spacing w:after="50"/>
        <w:ind w:left="595" w:hanging="255"/>
        <w:jc w:val="both"/>
      </w:pPr>
      <w:r>
        <w:t xml:space="preserve">•  </w:t>
      </w:r>
      <w:r>
        <w:rPr>
          <w:b/>
        </w:rPr>
        <w:t>Alcance:</w:t>
      </w:r>
      <w:r>
        <w:t xml:space="preserve"> </w:t>
      </w:r>
      <w:r>
        <w:rPr>
          <w:i/>
        </w:rPr>
        <w:t>Leiva</w:t>
      </w:r>
      <w:r>
        <w:t xml:space="preserve"> no declara que haya legítima defensa; ordena valorar la prueba de modo completo y con enfoque de género.</w:t>
      </w:r>
    </w:p>
    <w:p>
      <w:pPr>
        <w:pStyle w:val="Heading3"/>
      </w:pPr>
      <w:r>
        <w:t>b) Criterios que surgen de la jurisprudencia posterior</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154"/>
            <w:shd w:val="clear" w:color="auto" w:fill="172B4D"/>
            <w:tcMar>
              <w:top w:w="50" w:type="dxa"/>
              <w:left w:w="80" w:type="dxa"/>
              <w:bottom w:w="50" w:type="dxa"/>
              <w:right w:w="80" w:type="dxa"/>
            </w:tcMar>
          </w:tcPr>
          <w:p>
            <w:pPr>
              <w:spacing w:after="0"/>
            </w:pPr>
            <w:r>
              <w:rPr>
                <w:b/>
                <w:color w:val="FFFFFF"/>
                <w:sz w:val="17"/>
              </w:rPr>
              <w:t>Criterio</w:t>
            </w:r>
          </w:p>
        </w:tc>
        <w:tc>
          <w:tcPr>
            <w:tcW w:type="dxa" w:w="4195"/>
            <w:shd w:val="clear" w:color="auto" w:fill="172B4D"/>
            <w:tcMar>
              <w:top w:w="50" w:type="dxa"/>
              <w:left w:w="80" w:type="dxa"/>
              <w:bottom w:w="50" w:type="dxa"/>
              <w:right w:w="80" w:type="dxa"/>
            </w:tcMar>
          </w:tcPr>
          <w:p>
            <w:pPr>
              <w:spacing w:after="0"/>
            </w:pPr>
            <w:r>
              <w:rPr>
                <w:b/>
                <w:color w:val="FFFFFF"/>
                <w:sz w:val="17"/>
              </w:rPr>
              <w:t>Contenido</w:t>
            </w:r>
          </w:p>
        </w:tc>
        <w:tc>
          <w:tcPr>
            <w:tcW w:type="dxa" w:w="3061"/>
            <w:shd w:val="clear" w:color="auto" w:fill="172B4D"/>
            <w:tcMar>
              <w:top w:w="50" w:type="dxa"/>
              <w:left w:w="80" w:type="dxa"/>
              <w:bottom w:w="50" w:type="dxa"/>
              <w:right w:w="80" w:type="dxa"/>
            </w:tcMar>
          </w:tcPr>
          <w:p>
            <w:pPr>
              <w:spacing w:after="0"/>
            </w:pPr>
            <w:r>
              <w:rPr>
                <w:b/>
                <w:color w:val="FFFFFF"/>
                <w:sz w:val="17"/>
              </w:rPr>
              <w:t>Fuente (estado de verificación)</w:t>
            </w:r>
          </w:p>
        </w:tc>
      </w:tr>
      <w:tr>
        <w:trPr>
          <w:cantSplit w:val="true"/>
        </w:trPr>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Perspectiva de género en la prueba</w:t>
            </w:r>
          </w:p>
        </w:tc>
        <w:tc>
          <w:tcPr>
            <w:tcW w:type="dxa" w:w="419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No prescindir del valor probatorio de lo manifestado por la imputada; contextualizar la violencia</w:t>
            </w:r>
          </w:p>
        </w:tc>
        <w:tc>
          <w:tcPr>
            <w:tcW w:type="dxa" w:w="306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SAIJ SUA0083365 y SUA0083366, 23/02/2023 – VERIFICADO – sumario SAIJ (parcial)</w:t>
            </w:r>
          </w:p>
        </w:tc>
      </w:tr>
      <w:tr>
        <w:trPr>
          <w:cantSplit w:val="true"/>
        </w:trPr>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7"/>
              </w:rPr>
              <w:t>Inminencia como proceso</w:t>
            </w:r>
          </w:p>
        </w:tc>
        <w:tc>
          <w:tcPr>
            <w:tcW w:type="dxa" w:w="419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7"/>
              </w:rPr>
              <w:t>La «inminencia» de la agresión no debe evaluarse como un instante fijo, sino en el contexto de la violencia sufrida</w:t>
            </w:r>
          </w:p>
        </w:tc>
        <w:tc>
          <w:tcPr>
            <w:tcW w:type="dxa" w:w="306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7"/>
              </w:rPr>
              <w:t>SAIJ SUU0014956, 30/12/2024 – VERIFICADO – sumario SAIJ (parcial)</w:t>
            </w:r>
          </w:p>
        </w:tc>
      </w:tr>
      <w:tr>
        <w:trPr>
          <w:cantSplit w:val="true"/>
        </w:trPr>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Ciclo de violencia y proporcionalidad</w:t>
            </w:r>
          </w:p>
        </w:tc>
        <w:tc>
          <w:tcPr>
            <w:tcW w:type="dxa" w:w="419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El medio «al alcance de la mano» es racional frente a la desigualdad</w:t>
            </w:r>
          </w:p>
        </w:tc>
        <w:tc>
          <w:tcPr>
            <w:tcW w:type="dxa" w:w="306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SAIJ SUW0003151, 06/06/2023 – VERIFICADO – sumario SAIJ</w:t>
            </w:r>
          </w:p>
        </w:tc>
      </w:tr>
      <w:tr>
        <w:trPr>
          <w:cantSplit w:val="true"/>
        </w:trPr>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7"/>
              </w:rPr>
              <w:t>Límites de la perspectiva de género</w:t>
            </w:r>
          </w:p>
        </w:tc>
        <w:tc>
          <w:tcPr>
            <w:tcW w:type="dxa" w:w="419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7"/>
              </w:rPr>
              <w:t>No reemplaza la prueba del hecho: si la valoración integral descarta la violencia basada en género, se mantiene la condena</w:t>
            </w:r>
          </w:p>
        </w:tc>
        <w:tc>
          <w:tcPr>
            <w:tcW w:type="dxa" w:w="306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7"/>
              </w:rPr>
              <w:t>SAIJ SUH0006470, 26/08/2021; SAIJ SU20007522, 06/06/2024 – VERIFICADO – sumario SAIJ (parcial)</w:t>
            </w:r>
          </w:p>
        </w:tc>
      </w:tr>
      <w:tr>
        <w:trPr>
          <w:cantSplit w:val="true"/>
        </w:trPr>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Marco internacional</w:t>
            </w:r>
          </w:p>
        </w:tc>
        <w:tc>
          <w:tcPr>
            <w:tcW w:type="dxa" w:w="419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Valoración con los lineamientos de la CSJN y de la Corte IDH (exceso y violencia de pareja)</w:t>
            </w:r>
          </w:p>
        </w:tc>
        <w:tc>
          <w:tcPr>
            <w:tcW w:type="dxa" w:w="306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7"/>
              </w:rPr>
              <w:t>SAIJ SUG0035674, 04/09/2025 – VERIFICADO – sumario SAIJ (parcial)</w:t>
            </w:r>
          </w:p>
        </w:tc>
      </w:tr>
    </w:tbl>
    <w:p>
      <w:pPr>
        <w:spacing w:after="60"/>
      </w:pPr>
    </w:p>
    <w:p>
      <w:pPr>
        <w:pStyle w:val="Heading3"/>
      </w:pPr>
      <w:r>
        <w:t>c) Discusiones doctrinarias</w:t>
      </w:r>
    </w:p>
    <w:p>
      <w:pPr>
        <w:spacing w:after="50"/>
        <w:ind w:left="595" w:hanging="255"/>
        <w:jc w:val="both"/>
      </w:pPr>
      <w:r>
        <w:t xml:space="preserve">•  </w:t>
      </w:r>
      <w:r>
        <w:rPr>
          <w:b/>
        </w:rPr>
        <w:t>«Síndrome de la mujer golpeada»</w:t>
      </w:r>
      <w:r>
        <w:t xml:space="preserve"> (Walker): ha sido utilizado por la defensa para explicar el ciclo de la violencia; parte de la doctrina lo critica por patologizar a la víctima y prefiere analizar el contexto y la prueba (</w:t>
      </w:r>
      <w:r>
        <w:rPr>
          <w:b/>
        </w:rPr>
        <w:t>DOCTRINA – verificar</w:t>
      </w:r>
      <w:r>
        <w:t>).</w:t>
      </w:r>
    </w:p>
    <w:p>
      <w:pPr>
        <w:spacing w:after="50"/>
        <w:ind w:left="595" w:hanging="255"/>
        <w:jc w:val="both"/>
      </w:pPr>
      <w:r>
        <w:t xml:space="preserve">•  </w:t>
      </w:r>
      <w:r>
        <w:rPr>
          <w:b/>
        </w:rPr>
        <w:t>Agresión «inminente» y reacción diferida:</w:t>
      </w:r>
      <w:r>
        <w:t xml:space="preserve"> cuando el agresor duerme o está desprevenido, se discute si hay legítima defensa. Algunas decisiones la admiten si la agresión es continuada y la víctima no tiene otra salida; otras prefieren el estado de necesidad exculpante o la inexigibilidad.</w:t>
      </w:r>
    </w:p>
    <w:p>
      <w:pPr>
        <w:spacing w:after="50"/>
        <w:ind w:left="595" w:hanging="255"/>
        <w:jc w:val="both"/>
      </w:pPr>
      <w:r>
        <w:t xml:space="preserve">•  </w:t>
      </w:r>
      <w:r>
        <w:rPr>
          <w:b/>
        </w:rPr>
        <w:t>Cuando la defensa no se acredita:</w:t>
      </w:r>
      <w:r>
        <w:t xml:space="preserve"> la violencia previa no equivale por sí sola a legítima defensa; la prueba de una agresión en el momento del hecho sigue siendo necesaria.</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2F5F9"/>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Normativa de género aplicable</w:t>
            </w:r>
          </w:p>
          <w:p>
            <w:pPr>
              <w:spacing w:after="50"/>
              <w:ind w:left="255" w:hanging="255"/>
              <w:jc w:val="both"/>
            </w:pPr>
            <w:r>
              <w:rPr>
                <w:sz w:val="20"/>
              </w:rPr>
              <w:t xml:space="preserve">•  </w:t>
            </w:r>
            <w:r>
              <w:rPr>
                <w:b/>
                <w:sz w:val="20"/>
              </w:rPr>
              <w:t>Convención de Belém do Pará</w:t>
            </w:r>
            <w:r>
              <w:rPr>
                <w:sz w:val="20"/>
              </w:rPr>
              <w:t xml:space="preserve"> (Ley 24.632): deber de debida diligencia, tratamiento judicial con perspectiva de género.</w:t>
            </w:r>
          </w:p>
          <w:p>
            <w:pPr>
              <w:spacing w:after="50"/>
              <w:ind w:left="255" w:hanging="255"/>
              <w:jc w:val="both"/>
            </w:pPr>
            <w:r>
              <w:rPr>
                <w:sz w:val="20"/>
              </w:rPr>
              <w:t xml:space="preserve">•  </w:t>
            </w:r>
            <w:r>
              <w:rPr>
                <w:b/>
                <w:sz w:val="20"/>
              </w:rPr>
              <w:t>Ley 26.485</w:t>
            </w:r>
            <w:r>
              <w:rPr>
                <w:sz w:val="20"/>
              </w:rPr>
              <w:t xml:space="preserve"> de Protección Integral a las Mujeres y decreto reglamentario 1011/2010: ambos mencionados en los votos de Highton y Argibay en </w:t>
            </w:r>
            <w:r>
              <w:rPr>
                <w:i/>
                <w:sz w:val="20"/>
              </w:rPr>
              <w:t>Leiva</w:t>
            </w:r>
            <w:r>
              <w:rPr>
                <w:sz w:val="20"/>
              </w:rPr>
              <w:t>. Contiene, entre otras reglas, la amplitud probatoria en los procedimientos judiciales (art. 16; verificar inciso).</w:t>
            </w:r>
          </w:p>
          <w:p>
            <w:pPr>
              <w:spacing w:after="50"/>
              <w:ind w:left="255" w:hanging="255"/>
              <w:jc w:val="both"/>
            </w:pPr>
            <w:r>
              <w:rPr>
                <w:sz w:val="20"/>
              </w:rPr>
              <w:t xml:space="preserve">•  </w:t>
            </w:r>
            <w:r>
              <w:rPr>
                <w:b/>
                <w:sz w:val="20"/>
              </w:rPr>
              <w:t>Perspectiva de género en el proceso:</w:t>
            </w:r>
            <w:r>
              <w:rPr>
                <w:sz w:val="20"/>
              </w:rPr>
              <w:t xml:space="preserve"> el TSJ de Córdoba la habría aplicado en la sentencia n.º 507/2020 («L., A. Q. y otro»; A CONFIRMAR, ver capítulo 6).</w:t>
            </w:r>
          </w:p>
        </w:tc>
      </w:tr>
    </w:tbl>
    <w:p>
      <w:pPr>
        <w:spacing w:after="40" w:line="120" w:lineRule="auto"/>
      </w:pPr>
    </w:p>
    <w:p>
      <w:pPr>
        <w:pStyle w:val="Heading2"/>
      </w:pPr>
      <w:r>
        <w:t>10.2. Fuerzas de seguridad</w:t>
      </w:r>
    </w:p>
    <w:p>
      <w:pPr>
        <w:jc w:val="both"/>
      </w:pPr>
      <w:r>
        <w:t xml:space="preserve">El agente de seguridad puede invocar la legítima defensa propia o de terceros como cualquier persona (incs. 6 y 7), y además el </w:t>
      </w:r>
      <w:r>
        <w:rPr>
          <w:b/>
        </w:rPr>
        <w:t>cumplimiento del deber</w:t>
      </w:r>
      <w:r>
        <w:t xml:space="preserve"> (inc. 4). Los estándares son más estrictos: tiene capacitación, medios y deberes de proporcionalidad y de advertencia, y su actuación se somete a reglamentos sobre el uso de armas. El exceso se rige por el art. 35 («ley» y «autoridad»).</w:t>
      </w:r>
    </w:p>
    <w:p>
      <w:pPr>
        <w:spacing w:after="50"/>
        <w:ind w:left="595" w:hanging="255"/>
        <w:jc w:val="both"/>
      </w:pPr>
      <w:r>
        <w:t xml:space="preserve">•  </w:t>
      </w:r>
      <w:r>
        <w:rPr>
          <w:b/>
        </w:rPr>
        <w:t>Estándares internacionales:</w:t>
      </w:r>
      <w:r>
        <w:t xml:space="preserve"> Principios Básicos de la ONU sobre el empleo de la fuerza y de armas de fuego por los funcionarios encargados de hacer cumplir la ley (1990), en especial los principios 9 y 10; Código de conducta para funcionarios encargados de hacer cumplir la ley (Asamblea General, resolución 34/169, 1979). Corte IDH, entre otros, «Zambrano Vélez vs. Ecuador» y «Nadege Dorzema vs. República Dominicana» (</w:t>
      </w:r>
      <w:r>
        <w:rPr>
          <w:b/>
        </w:rPr>
        <w:t>verificar citas completas</w:t>
      </w:r>
      <w:r>
        <w:t>).</w:t>
      </w:r>
    </w:p>
    <w:p>
      <w:pPr>
        <w:spacing w:after="50"/>
        <w:ind w:left="595" w:hanging="255"/>
        <w:jc w:val="both"/>
      </w:pPr>
      <w:r>
        <w:t xml:space="preserve">•  </w:t>
      </w:r>
      <w:r>
        <w:rPr>
          <w:b/>
        </w:rPr>
        <w:t>Principios aplicables:</w:t>
      </w:r>
      <w:r>
        <w:t xml:space="preserve"> legalidad, necesidad, proporcionalidad y advertencia previa; el uso intencional de armas letales se reserva para proteger una vida.</w:t>
      </w:r>
    </w:p>
    <w:p>
      <w:pPr>
        <w:spacing w:after="50"/>
        <w:ind w:left="595" w:hanging="255"/>
        <w:jc w:val="both"/>
      </w:pPr>
      <w:r>
        <w:t xml:space="preserve">•  </w:t>
      </w:r>
      <w:r>
        <w:rPr>
          <w:b/>
        </w:rPr>
        <w:t>Policía de franco:</w:t>
      </w:r>
      <w:r>
        <w:t xml:space="preserve"> puede actuar como particular (legítima defensa) o con el deber de intervenir, según las reglas de su ley orgánica (verificar reglamentación de cada fuerza).</w:t>
      </w:r>
    </w:p>
    <w:p>
      <w:pPr>
        <w:spacing w:after="50"/>
        <w:ind w:left="595" w:hanging="255"/>
        <w:jc w:val="both"/>
      </w:pPr>
      <w:r>
        <w:t xml:space="preserve">•  </w:t>
      </w:r>
      <w:r>
        <w:rPr>
          <w:b/>
        </w:rPr>
        <w:t>Distinción clave:</w:t>
      </w:r>
      <w:r>
        <w:t xml:space="preserve"> quien actúa por deber no puede invocar su </w:t>
      </w:r>
      <w:r>
        <w:rPr>
          <w:i/>
        </w:rPr>
        <w:t>propia</w:t>
      </w:r>
      <w:r>
        <w:t xml:space="preserve"> provocación; quien se defiende como particular no tiene el deber de persecución.</w:t>
      </w:r>
    </w:p>
    <w:p>
      <w:pPr>
        <w:pStyle w:val="Heading3"/>
      </w:pPr>
      <w:r>
        <w:t>Jurisprudencia</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EF1F6"/>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Persecución y disparos: sobreseimiento (sumario SAIJ SUB0962926, 16/03/2022) – VERIFICADO – sumario SAIJ</w:t>
            </w:r>
          </w:p>
          <w:p>
            <w:pPr>
              <w:spacing w:after="50"/>
              <w:jc w:val="both"/>
            </w:pPr>
            <w:r>
              <w:rPr>
                <w:sz w:val="20"/>
              </w:rPr>
              <w:t>«Procede decretar el sobreseimiento por el delito de homicidio de un policía acusado de causarle la muerte a un hombre denunciado por robo durante una persecución en la que la víctima le habría disparado y apuntado directamente a corta distancia, toda vez que el imputado actuó justificadamente en cumplimiento de un deber y en defensa propia, pues el análisis de la prueba permite tener por acreditado que el acusado actuó en defensa de su vida ante la acción de un sujeto que, luego de una persecución con intercambios de disparos con arma de fuego, apuntaba desde el suelo en dirección a su persona con una arma de fuego.»</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EF1F6"/>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Ausencia de agresión ilegítima (sumario SAIJ SUG0034931, 15/05/2024) – VERIFICADO – sumario SAIJ (fragmento)</w:t>
            </w:r>
          </w:p>
          <w:p>
            <w:pPr>
              <w:spacing w:after="50"/>
              <w:jc w:val="both"/>
            </w:pPr>
            <w:r>
              <w:rPr>
                <w:sz w:val="20"/>
              </w:rPr>
              <w:t>En un procesamiento por homicidio preterintencional de fuerzas de seguridad se concluyó que «no se verifican los requisitos que la causal de justificación invocada por la defensa exige para su procedencia. Inexistencia de una agresión ilegítima. Comportamiento del imputado que fue el que generó el escenario en el cual posteriormente se produjo la agresión…».</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EF1F6"/>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Policía en su vivienda (sumario SAIJ SUR0022804, 19/04/2023) – VERIFICADO – sumario SAIJ (fragmento)</w:t>
            </w:r>
          </w:p>
          <w:p>
            <w:pPr>
              <w:spacing w:after="50"/>
              <w:jc w:val="both"/>
            </w:pPr>
            <w:r>
              <w:rPr>
                <w:sz w:val="20"/>
              </w:rPr>
              <w:t>Se sobreseyó a un funcionario policial imputado por lesiones graves «con exceso en la legítima defensa» que efectuó varios disparos contra un hombre que ingresó a su vivienda con la intención de sustraerle una bicicleta y otras pertenencias del patio (el sumario recuperado se interrumpe antes de la fundamentación).</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ECEC"/>
            <w:tcBorders>
              <w:top w:val="single" w:sz="4" w:color="A83232" w:space="0"/>
              <w:left w:val="single" w:sz="24" w:color="A83232" w:space="0"/>
              <w:bottom w:val="single" w:sz="4" w:color="A83232" w:space="0"/>
              <w:right w:val="single" w:sz="4" w:color="A83232" w:space="0"/>
            </w:tcBorders>
            <w:tcMar>
              <w:top w:w="80" w:type="dxa"/>
              <w:left w:w="160" w:type="dxa"/>
              <w:bottom w:w="80" w:type="dxa"/>
              <w:right w:w="140" w:type="dxa"/>
            </w:tcMar>
          </w:tcPr>
          <w:p>
            <w:pPr>
              <w:spacing w:after="60"/>
            </w:pPr>
            <w:r>
              <w:rPr>
                <w:b/>
                <w:color w:val="A83232"/>
                <w:sz w:val="21"/>
              </w:rPr>
              <w:t>Caso «Chocobar» (cumplimiento del deber con exceso) – A CONFIRMAR</w:t>
            </w:r>
          </w:p>
          <w:p>
            <w:pPr>
              <w:spacing w:after="50"/>
              <w:jc w:val="both"/>
            </w:pPr>
            <w:r>
              <w:rPr>
                <w:sz w:val="20"/>
              </w:rPr>
              <w:t xml:space="preserve">Según la prensa, el policía Luis Chocobar fue condenado en 2021 como autor de homicidio agravado en exceso del cumplimiento del deber (dos años de prisión en suspenso); en mayo de 2024 la Sala II de la Cámara Nacional de Casación en lo Criminal y Correccional anuló el juicio y ordenó uno nuevo; el Ministerio Público Fiscal interpuso recurso extraordinario. No se pudo confirmar el estado actual de la causa: </w:t>
            </w:r>
            <w:r>
              <w:rPr>
                <w:b/>
                <w:sz w:val="20"/>
              </w:rPr>
              <w:t>verificar antes de mencionarlo</w:t>
            </w:r>
            <w:r>
              <w:rPr>
                <w:sz w:val="20"/>
              </w:rPr>
              <w:t>.</w:t>
            </w:r>
          </w:p>
        </w:tc>
      </w:tr>
    </w:tbl>
    <w:p>
      <w:pPr>
        <w:spacing w:after="40" w:line="120" w:lineRule="auto"/>
      </w:pPr>
    </w:p>
    <w:p>
      <w:pPr>
        <w:pStyle w:val="Heading2"/>
      </w:pPr>
      <w:r>
        <w:t>10.3. Otras variantes</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268"/>
            <w:shd w:val="clear" w:color="auto" w:fill="172B4D"/>
            <w:tcMar>
              <w:top w:w="50" w:type="dxa"/>
              <w:left w:w="80" w:type="dxa"/>
              <w:bottom w:w="50" w:type="dxa"/>
              <w:right w:w="80" w:type="dxa"/>
            </w:tcMar>
          </w:tcPr>
          <w:p>
            <w:pPr>
              <w:spacing w:after="0"/>
            </w:pPr>
            <w:r>
              <w:rPr>
                <w:b/>
                <w:color w:val="FFFFFF"/>
                <w:sz w:val="18"/>
              </w:rPr>
              <w:t>Variante</w:t>
            </w:r>
          </w:p>
        </w:tc>
        <w:tc>
          <w:tcPr>
            <w:tcW w:type="dxa" w:w="3402"/>
            <w:shd w:val="clear" w:color="auto" w:fill="172B4D"/>
            <w:tcMar>
              <w:top w:w="50" w:type="dxa"/>
              <w:left w:w="80" w:type="dxa"/>
              <w:bottom w:w="50" w:type="dxa"/>
              <w:right w:w="80" w:type="dxa"/>
            </w:tcMar>
          </w:tcPr>
          <w:p>
            <w:pPr>
              <w:spacing w:after="0"/>
            </w:pPr>
            <w:r>
              <w:rPr>
                <w:b/>
                <w:color w:val="FFFFFF"/>
                <w:sz w:val="18"/>
              </w:rPr>
              <w:t>Pautas</w:t>
            </w:r>
          </w:p>
        </w:tc>
        <w:tc>
          <w:tcPr>
            <w:tcW w:type="dxa" w:w="3742"/>
            <w:shd w:val="clear" w:color="auto" w:fill="172B4D"/>
            <w:tcMar>
              <w:top w:w="50" w:type="dxa"/>
              <w:left w:w="80" w:type="dxa"/>
              <w:bottom w:w="50" w:type="dxa"/>
              <w:right w:w="80" w:type="dxa"/>
            </w:tcMar>
          </w:tcPr>
          <w:p>
            <w:pPr>
              <w:spacing w:after="0"/>
            </w:pPr>
            <w:r>
              <w:rPr>
                <w:b/>
                <w:color w:val="FFFFFF"/>
                <w:sz w:val="18"/>
              </w:rPr>
              <w:t>Observaciones</w:t>
            </w:r>
          </w:p>
        </w:tc>
      </w:tr>
      <w:tr>
        <w:trPr>
          <w:cantSplit w:val="true"/>
        </w:trPr>
        <w:tc>
          <w:tcPr>
            <w:tcW w:type="dxa" w:w="226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b/>
                <w:sz w:val="18"/>
              </w:rPr>
              <w:t>Defensa de la propiedad</w:t>
            </w:r>
          </w:p>
        </w:tc>
        <w:tc>
          <w:tcPr>
            <w:tcW w:type="dxa" w:w="340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Es posible, con racionalidad estricta</w:t>
            </w:r>
          </w:p>
        </w:tc>
        <w:tc>
          <w:tcPr>
            <w:tcW w:type="dxa" w:w="374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Matar para impedir un hurto o para recuperar una cosa de escaso valor es irracional.</w:t>
            </w:r>
          </w:p>
        </w:tc>
      </w:tr>
      <w:tr>
        <w:trPr>
          <w:cantSplit w:val="true"/>
        </w:trPr>
        <w:tc>
          <w:tcPr>
            <w:tcW w:type="dxa" w:w="226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b/>
                <w:sz w:val="18"/>
              </w:rPr>
              <w:t>Ofendículos y defensas predispuestas</w:t>
            </w:r>
          </w:p>
        </w:tc>
        <w:tc>
          <w:tcPr>
            <w:tcW w:type="dxa" w:w="340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Alambres, vidrios, perros, rejas, cercos eléctricos</w:t>
            </w:r>
          </w:p>
        </w:tc>
        <w:tc>
          <w:tcPr>
            <w:tcW w:type="dxa" w:w="374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 xml:space="preserve">Se justifican si actúan </w:t>
            </w:r>
            <w:r>
              <w:rPr>
                <w:b/>
                <w:sz w:val="18"/>
              </w:rPr>
              <w:t>solo ante la agresión</w:t>
            </w:r>
            <w:r>
              <w:rPr>
                <w:sz w:val="18"/>
              </w:rPr>
              <w:t>, son proporcionales y advierten; las trampas letales ocultas son irracionales.</w:t>
            </w:r>
          </w:p>
        </w:tc>
      </w:tr>
      <w:tr>
        <w:trPr>
          <w:cantSplit w:val="true"/>
        </w:trPr>
        <w:tc>
          <w:tcPr>
            <w:tcW w:type="dxa" w:w="226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b/>
                <w:sz w:val="18"/>
              </w:rPr>
              <w:t>Riña</w:t>
            </w:r>
            <w:r>
              <w:rPr>
                <w:sz w:val="18"/>
              </w:rPr>
              <w:t xml:space="preserve"> (arts. 95 y 96 C.P.)</w:t>
            </w:r>
          </w:p>
        </w:tc>
        <w:tc>
          <w:tcPr>
            <w:tcW w:type="dxa" w:w="340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Los contendientes voluntarios no pueden invocar la agresión ilegítima</w:t>
            </w:r>
          </w:p>
        </w:tc>
        <w:tc>
          <w:tcPr>
            <w:tcW w:type="dxa" w:w="374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Si uno escala la violencia de modo imprevisible (saca un arma), renace la posibilidad de defenderse del otro.</w:t>
            </w:r>
          </w:p>
        </w:tc>
      </w:tr>
      <w:tr>
        <w:trPr>
          <w:cantSplit w:val="true"/>
        </w:trPr>
        <w:tc>
          <w:tcPr>
            <w:tcW w:type="dxa" w:w="226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b/>
                <w:sz w:val="18"/>
              </w:rPr>
              <w:t>Delito permanente en curso</w:t>
            </w:r>
          </w:p>
        </w:tc>
        <w:tc>
          <w:tcPr>
            <w:tcW w:type="dxa" w:w="340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Defensa mientras dure la privación</w:t>
            </w:r>
          </w:p>
        </w:tc>
        <w:tc>
          <w:tcPr>
            <w:tcW w:type="dxa" w:w="374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Ej.: secuestro, privación de la libertad.</w:t>
            </w:r>
          </w:p>
        </w:tc>
      </w:tr>
      <w:tr>
        <w:trPr>
          <w:cantSplit w:val="true"/>
        </w:trPr>
        <w:tc>
          <w:tcPr>
            <w:tcW w:type="dxa" w:w="226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b/>
                <w:sz w:val="18"/>
              </w:rPr>
              <w:t>Defensa contra inimputables</w:t>
            </w:r>
          </w:p>
        </w:tc>
        <w:tc>
          <w:tcPr>
            <w:tcW w:type="dxa" w:w="340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Restringida: esquivar o contener antes de lesionar</w:t>
            </w:r>
          </w:p>
        </w:tc>
        <w:tc>
          <w:tcPr>
            <w:tcW w:type="dxa" w:w="374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Niños, enfermos mentales, personas muy ebrias.</w:t>
            </w:r>
          </w:p>
        </w:tc>
      </w:tr>
      <w:tr>
        <w:trPr>
          <w:cantSplit w:val="true"/>
        </w:trPr>
        <w:tc>
          <w:tcPr>
            <w:tcW w:type="dxa" w:w="226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b/>
                <w:sz w:val="18"/>
              </w:rPr>
              <w:t>Defensa con consentimiento</w:t>
            </w:r>
          </w:p>
        </w:tc>
        <w:tc>
          <w:tcPr>
            <w:tcW w:type="dxa" w:w="340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Si el titular del bien disponible consiente, no hay agresión ilegítima</w:t>
            </w:r>
          </w:p>
        </w:tc>
        <w:tc>
          <w:tcPr>
            <w:tcW w:type="dxa" w:w="374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Deportes, juegos, lesiones consentidas: otros regímenes.</w:t>
            </w:r>
          </w:p>
        </w:tc>
      </w:tr>
      <w:tr>
        <w:trPr>
          <w:cantSplit w:val="true"/>
        </w:trPr>
        <w:tc>
          <w:tcPr>
            <w:tcW w:type="dxa" w:w="2268"/>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b/>
                <w:sz w:val="18"/>
              </w:rPr>
              <w:t>Defensa en el ámbito escolar o familiar</w:t>
            </w:r>
          </w:p>
        </w:tc>
        <w:tc>
          <w:tcPr>
            <w:tcW w:type="dxa" w:w="340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Deber de contención antes que de lesión</w:t>
            </w:r>
          </w:p>
        </w:tc>
        <w:tc>
          <w:tcPr>
            <w:tcW w:type="dxa" w:w="374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Se pondera el vínculo y la edad.</w:t>
            </w:r>
          </w:p>
        </w:tc>
      </w:tr>
    </w:tbl>
    <w:p>
      <w:pPr>
        <w:spacing w:after="60"/>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AF3F4"/>
            <w:tcBorders>
              <w:top w:val="single" w:sz="4" w:color="007980" w:space="0"/>
              <w:left w:val="single" w:sz="24" w:color="007980" w:space="0"/>
              <w:bottom w:val="single" w:sz="4" w:color="007980" w:space="0"/>
              <w:right w:val="single" w:sz="4" w:color="007980" w:space="0"/>
            </w:tcBorders>
            <w:tcMar>
              <w:top w:w="80" w:type="dxa"/>
              <w:left w:w="160" w:type="dxa"/>
              <w:bottom w:w="80" w:type="dxa"/>
              <w:right w:w="140" w:type="dxa"/>
            </w:tcMar>
          </w:tcPr>
          <w:p>
            <w:pPr>
              <w:spacing w:after="60"/>
            </w:pPr>
            <w:r>
              <w:rPr>
                <w:b/>
                <w:color w:val="007980"/>
                <w:sz w:val="21"/>
              </w:rPr>
              <w:t>Resumen del capítulo 10</w:t>
            </w:r>
          </w:p>
          <w:p>
            <w:pPr>
              <w:spacing w:after="50"/>
              <w:ind w:left="255" w:hanging="255"/>
              <w:jc w:val="both"/>
            </w:pPr>
            <w:r>
              <w:rPr>
                <w:sz w:val="20"/>
              </w:rPr>
              <w:t xml:space="preserve">•  </w:t>
            </w:r>
            <w:r>
              <w:rPr>
                <w:b/>
                <w:sz w:val="20"/>
              </w:rPr>
              <w:t>Género:</w:t>
            </w:r>
            <w:r>
              <w:rPr>
                <w:sz w:val="20"/>
              </w:rPr>
              <w:t xml:space="preserve"> </w:t>
            </w:r>
            <w:r>
              <w:rPr>
                <w:i/>
                <w:sz w:val="20"/>
              </w:rPr>
              <w:t>Leiva</w:t>
            </w:r>
            <w:r>
              <w:rPr>
                <w:sz w:val="20"/>
              </w:rPr>
              <w:t xml:space="preserve"> (CSJN, 2011) ordena valorar la prueba con perspectiva de género; la permanencia en el hogar común no puede interpretarse como sometimiento voluntario; la inminencia se aprecia en el contexto del ciclo de violencia.</w:t>
            </w:r>
          </w:p>
          <w:p>
            <w:pPr>
              <w:spacing w:after="50"/>
              <w:ind w:left="255" w:hanging="255"/>
              <w:jc w:val="both"/>
            </w:pPr>
            <w:r>
              <w:rPr>
                <w:sz w:val="20"/>
              </w:rPr>
              <w:t xml:space="preserve">•  </w:t>
            </w:r>
            <w:r>
              <w:rPr>
                <w:b/>
                <w:sz w:val="20"/>
              </w:rPr>
              <w:t>Fuerzas de seguridad:</w:t>
            </w:r>
            <w:r>
              <w:rPr>
                <w:sz w:val="20"/>
              </w:rPr>
              <w:t xml:space="preserve"> además de los incs. 6 y 7 rige el inc. 4; los estándares son más estrictos (necesidad, proporcionalidad, advertencia).</w:t>
            </w:r>
          </w:p>
          <w:p>
            <w:pPr>
              <w:spacing w:after="50"/>
              <w:ind w:left="255" w:hanging="255"/>
              <w:jc w:val="both"/>
            </w:pPr>
            <w:r>
              <w:rPr>
                <w:sz w:val="20"/>
              </w:rPr>
              <w:t xml:space="preserve">•  </w:t>
            </w:r>
            <w:r>
              <w:rPr>
                <w:b/>
                <w:sz w:val="20"/>
              </w:rPr>
              <w:t>Hogar, propiedad, ofendículos y riña:</w:t>
            </w:r>
            <w:r>
              <w:rPr>
                <w:sz w:val="20"/>
              </w:rPr>
              <w:t xml:space="preserve"> cada uno exige analizar la actualidad de la agresión y la racionalidad del medio.</w:t>
            </w:r>
          </w:p>
          <w:p>
            <w:pPr>
              <w:spacing w:after="50"/>
              <w:ind w:left="255" w:hanging="255"/>
              <w:jc w:val="both"/>
            </w:pPr>
            <w:r>
              <w:rPr>
                <w:sz w:val="20"/>
              </w:rPr>
              <w:t>•  En todos los casos, la jurisprudencia citada debe confirmarse en su fuente antes de usarse.</w:t>
            </w:r>
          </w:p>
        </w:tc>
      </w:tr>
    </w:tbl>
    <w:p>
      <w:pPr>
        <w:spacing w:after="40" w:line="120" w:lineRule="auto"/>
      </w:pPr>
    </w:p>
    <w:p>
      <w:pPr>
        <w:sectPr>
          <w:pgSz w:w="11906" w:h="16838"/>
          <w:pgMar w:top="1134" w:right="1247" w:bottom="1077" w:left="1247" w:header="454" w:footer="397" w:gutter="0"/>
          <w:cols w:space="720"/>
          <w:docGrid w:linePitch="360"/>
        </w:sectPr>
      </w:pP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17  ·  </w:t>
            </w:r>
            <w:r>
              <w:rPr>
                <w:b/>
                <w:color w:val="FFFFFF"/>
                <w:sz w:val="52"/>
              </w:rPr>
              <w:t>Caso «Leiva» (CSJN, 2011)</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b/>
                <w:sz w:val="50"/>
              </w:rPr>
              <w:t>Fallos 334:1204 · 01/11/2011</w:t>
            </w:r>
            <w:r>
              <w:rPr>
                <w:sz w:val="50"/>
              </w:rPr>
              <w:t xml:space="preserve"> — Homicidio simple · Catamarca</w:t>
            </w:r>
          </w:p>
          <w:p>
            <w:pPr>
              <w:spacing w:after="240"/>
              <w:ind w:left="397" w:hanging="397"/>
            </w:pPr>
            <w:r>
              <w:rPr>
                <w:color w:val="007980"/>
                <w:sz w:val="38"/>
              </w:rPr>
              <w:t xml:space="preserve">■  </w:t>
            </w:r>
            <w:r>
              <w:rPr>
                <w:sz w:val="50"/>
              </w:rPr>
              <w:t xml:space="preserve">La condena descartó la legítima defensa por la </w:t>
            </w:r>
            <w:r>
              <w:rPr>
                <w:b/>
                <w:sz w:val="50"/>
              </w:rPr>
              <w:t>permanencia en el hogar común</w:t>
            </w:r>
          </w:p>
          <w:p>
            <w:pPr>
              <w:spacing w:after="240"/>
              <w:ind w:left="397" w:hanging="397"/>
            </w:pPr>
            <w:r>
              <w:rPr>
                <w:color w:val="007980"/>
                <w:sz w:val="38"/>
              </w:rPr>
              <w:t xml:space="preserve">■  </w:t>
            </w:r>
            <w:r>
              <w:rPr>
                <w:sz w:val="50"/>
              </w:rPr>
              <w:t>La Corte la dejó sin efecto: no se valoraron pruebas esenciales (lesiones de la imputada)</w:t>
            </w:r>
          </w:p>
          <w:p>
            <w:pPr>
              <w:spacing w:after="240"/>
              <w:ind w:left="397" w:hanging="397"/>
            </w:pPr>
            <w:r>
              <w:rPr>
                <w:color w:val="007980"/>
                <w:sz w:val="38"/>
              </w:rPr>
              <w:t xml:space="preserve">■  </w:t>
            </w:r>
            <w:r>
              <w:rPr>
                <w:sz w:val="50"/>
              </w:rPr>
              <w:t>Estándar «Casal» (Fallos 328:3399): revisión amplia</w:t>
            </w:r>
          </w:p>
          <w:p>
            <w:pPr>
              <w:spacing w:after="240"/>
              <w:ind w:left="397" w:hanging="397"/>
            </w:pPr>
            <w:r>
              <w:rPr>
                <w:color w:val="007980"/>
                <w:sz w:val="38"/>
              </w:rPr>
              <w:t xml:space="preserve">■  </w:t>
            </w:r>
            <w:r>
              <w:rPr>
                <w:sz w:val="50"/>
              </w:rPr>
              <w:t>Highton y Argibay: Belém do Pará (Ley 24.632) y Ley 26.485</w:t>
            </w:r>
          </w:p>
        </w:tc>
      </w:tr>
    </w:tbl>
    <w:p>
      <w:pPr>
        <w:spacing w:before="120"/>
      </w:pPr>
      <w:r>
        <w:rPr>
          <w:i/>
          <w:color w:val="5A626E"/>
          <w:sz w:val="22"/>
        </w:rPr>
        <w:t>Fuente: Secretaría de Jurisprudencia de la CSJN (VERIFICADO – oficial).</w:t>
      </w:r>
    </w:p>
    <w:p>
      <w:pPr>
        <w:spacing w:after="0"/>
      </w:pPr>
      <w:r>
        <w:br w:type="page"/>
      </w: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18  ·  </w:t>
            </w:r>
            <w:r>
              <w:rPr>
                <w:b/>
                <w:color w:val="FFFFFF"/>
                <w:sz w:val="52"/>
              </w:rPr>
              <w:t>Género y legítima defensa: criterios de trabajo</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sz w:val="50"/>
              </w:rPr>
              <w:t xml:space="preserve">Contextualizar la violencia: </w:t>
            </w:r>
            <w:r>
              <w:rPr>
                <w:b/>
                <w:sz w:val="50"/>
              </w:rPr>
              <w:t>ciclo</w:t>
            </w:r>
            <w:r>
              <w:rPr>
                <w:sz w:val="50"/>
              </w:rPr>
              <w:t>, reiteración, aislamiento</w:t>
            </w:r>
          </w:p>
          <w:p>
            <w:pPr>
              <w:spacing w:after="240"/>
              <w:ind w:left="397" w:hanging="397"/>
            </w:pPr>
            <w:r>
              <w:rPr>
                <w:color w:val="007980"/>
                <w:sz w:val="38"/>
              </w:rPr>
              <w:t xml:space="preserve">■  </w:t>
            </w:r>
            <w:r>
              <w:rPr>
                <w:b/>
                <w:sz w:val="50"/>
              </w:rPr>
              <w:t>Inminencia</w:t>
            </w:r>
            <w:r>
              <w:rPr>
                <w:sz w:val="50"/>
              </w:rPr>
              <w:t xml:space="preserve"> como proceso, no como instante</w:t>
            </w:r>
          </w:p>
          <w:p>
            <w:pPr>
              <w:spacing w:after="240"/>
              <w:ind w:left="397" w:hanging="397"/>
            </w:pPr>
            <w:r>
              <w:rPr>
                <w:color w:val="007980"/>
                <w:sz w:val="38"/>
              </w:rPr>
              <w:t xml:space="preserve">■  </w:t>
            </w:r>
            <w:r>
              <w:rPr>
                <w:sz w:val="50"/>
              </w:rPr>
              <w:t xml:space="preserve">Racionalidad del medio: </w:t>
            </w:r>
            <w:r>
              <w:rPr>
                <w:b/>
                <w:sz w:val="50"/>
              </w:rPr>
              <w:t>desigualdad de fuerzas</w:t>
            </w:r>
            <w:r>
              <w:rPr>
                <w:sz w:val="50"/>
              </w:rPr>
              <w:t>, medio al alcance</w:t>
            </w:r>
          </w:p>
          <w:p>
            <w:pPr>
              <w:spacing w:after="240"/>
              <w:ind w:left="397" w:hanging="397"/>
            </w:pPr>
            <w:r>
              <w:rPr>
                <w:color w:val="007980"/>
                <w:sz w:val="38"/>
              </w:rPr>
              <w:t xml:space="preserve">■  </w:t>
            </w:r>
            <w:r>
              <w:rPr>
                <w:b/>
                <w:sz w:val="50"/>
              </w:rPr>
              <w:t>Amplitud probatoria</w:t>
            </w:r>
            <w:r>
              <w:rPr>
                <w:sz w:val="50"/>
              </w:rPr>
              <w:t>: valorar el relato de la imputada</w:t>
            </w:r>
          </w:p>
          <w:p>
            <w:pPr>
              <w:spacing w:after="240"/>
              <w:ind w:left="397" w:hanging="397"/>
            </w:pPr>
            <w:r>
              <w:rPr>
                <w:color w:val="007980"/>
                <w:sz w:val="38"/>
              </w:rPr>
              <w:t xml:space="preserve">■  </w:t>
            </w:r>
            <w:r>
              <w:rPr>
                <w:sz w:val="50"/>
              </w:rPr>
              <w:t>Límite: la perspectiva de género no reemplaza la prueba del hecho</w:t>
            </w:r>
          </w:p>
          <w:p>
            <w:pPr>
              <w:spacing w:after="240"/>
              <w:ind w:left="397" w:hanging="397"/>
            </w:pPr>
            <w:r>
              <w:rPr>
                <w:color w:val="007980"/>
                <w:sz w:val="38"/>
              </w:rPr>
              <w:t xml:space="preserve">■  </w:t>
            </w:r>
            <w:r>
              <w:rPr>
                <w:sz w:val="50"/>
              </w:rPr>
              <w:t>Alternativas: exceso, estado de necesidad exculpante, inexigibilidad</w:t>
            </w:r>
          </w:p>
        </w:tc>
      </w:tr>
    </w:tbl>
    <w:p>
      <w:pPr>
        <w:spacing w:before="120"/>
      </w:pPr>
      <w:r>
        <w:rPr>
          <w:i/>
          <w:color w:val="5A626E"/>
          <w:sz w:val="22"/>
        </w:rPr>
        <w:t>Sumarios SAIJ SUA0083365, SUU0014956, SUW0003151, SUH0006470 (VERIFICADO – sumario SAIJ).</w:t>
      </w:r>
    </w:p>
    <w:p>
      <w:pPr>
        <w:spacing w:after="0"/>
      </w:pPr>
      <w:r>
        <w:br w:type="page"/>
      </w: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19  ·  </w:t>
            </w:r>
            <w:r>
              <w:rPr>
                <w:b/>
                <w:color w:val="FFFFFF"/>
                <w:sz w:val="52"/>
              </w:rPr>
              <w:t>Fuerzas de seguridad</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sz w:val="50"/>
              </w:rPr>
              <w:t xml:space="preserve">Dos fundamentos: </w:t>
            </w:r>
            <w:r>
              <w:rPr>
                <w:b/>
                <w:sz w:val="50"/>
              </w:rPr>
              <w:t>defensa propia/de terceros</w:t>
            </w:r>
            <w:r>
              <w:rPr>
                <w:sz w:val="50"/>
              </w:rPr>
              <w:t xml:space="preserve"> (incs. 6 y 7) y </w:t>
            </w:r>
            <w:r>
              <w:rPr>
                <w:b/>
                <w:sz w:val="50"/>
              </w:rPr>
              <w:t>cumplimiento del deber</w:t>
            </w:r>
            <w:r>
              <w:rPr>
                <w:sz w:val="50"/>
              </w:rPr>
              <w:t xml:space="preserve"> (inc. 4)</w:t>
            </w:r>
          </w:p>
          <w:p>
            <w:pPr>
              <w:spacing w:after="240"/>
              <w:ind w:left="397" w:hanging="397"/>
            </w:pPr>
            <w:r>
              <w:rPr>
                <w:color w:val="007980"/>
                <w:sz w:val="38"/>
              </w:rPr>
              <w:t xml:space="preserve">■  </w:t>
            </w:r>
            <w:r>
              <w:rPr>
                <w:sz w:val="50"/>
              </w:rPr>
              <w:t xml:space="preserve">Estándares: </w:t>
            </w:r>
            <w:r>
              <w:rPr>
                <w:b/>
                <w:sz w:val="50"/>
              </w:rPr>
              <w:t>legalidad, necesidad, proporcionalidad, advertencia</w:t>
            </w:r>
          </w:p>
          <w:p>
            <w:pPr>
              <w:spacing w:after="240"/>
              <w:ind w:left="397" w:hanging="397"/>
            </w:pPr>
            <w:r>
              <w:rPr>
                <w:color w:val="007980"/>
                <w:sz w:val="38"/>
              </w:rPr>
              <w:t xml:space="preserve">■  </w:t>
            </w:r>
            <w:r>
              <w:rPr>
                <w:sz w:val="50"/>
              </w:rPr>
              <w:t>Armas letales: reservadas para proteger una vida (ONU, Principios Básicos 1990)</w:t>
            </w:r>
          </w:p>
          <w:p>
            <w:pPr>
              <w:spacing w:after="240"/>
              <w:ind w:left="397" w:hanging="397"/>
            </w:pPr>
            <w:r>
              <w:rPr>
                <w:color w:val="007980"/>
                <w:sz w:val="38"/>
              </w:rPr>
              <w:t xml:space="preserve">■  </w:t>
            </w:r>
            <w:r>
              <w:rPr>
                <w:sz w:val="50"/>
              </w:rPr>
              <w:t>Exceso: art. 35 («ley» y «autoridad»)</w:t>
            </w:r>
          </w:p>
          <w:p>
            <w:pPr>
              <w:spacing w:after="240"/>
              <w:ind w:left="397" w:hanging="397"/>
            </w:pPr>
            <w:r>
              <w:rPr>
                <w:color w:val="007980"/>
                <w:sz w:val="38"/>
              </w:rPr>
              <w:t xml:space="preserve">■  </w:t>
            </w:r>
            <w:r>
              <w:rPr>
                <w:sz w:val="50"/>
              </w:rPr>
              <w:t xml:space="preserve">No hay amparo si el agente </w:t>
            </w:r>
            <w:r>
              <w:rPr>
                <w:b/>
                <w:sz w:val="50"/>
              </w:rPr>
              <w:t>generó</w:t>
            </w:r>
            <w:r>
              <w:rPr>
                <w:sz w:val="50"/>
              </w:rPr>
              <w:t xml:space="preserve"> el escenario de la agresión</w:t>
            </w:r>
          </w:p>
        </w:tc>
      </w:tr>
    </w:tbl>
    <w:p>
      <w:pPr>
        <w:spacing w:before="120"/>
      </w:pPr>
      <w:r>
        <w:rPr>
          <w:i/>
          <w:color w:val="5A626E"/>
          <w:sz w:val="22"/>
        </w:rPr>
        <w:t>Sumarios SAIJ SUB0962926 y SUG0034931 (VERIFICADO – sumario SAIJ). Caso «Chocobar»: A CONFIRMAR.</w:t>
      </w:r>
    </w:p>
    <w:p>
      <w:pPr>
        <w:spacing w:after="0"/>
      </w:pPr>
      <w:r>
        <w:br w:type="page"/>
      </w: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20  ·  </w:t>
            </w:r>
            <w:r>
              <w:rPr>
                <w:b/>
                <w:color w:val="FFFFFF"/>
                <w:sz w:val="52"/>
              </w:rPr>
              <w:t>Otras variantes en una mirada</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b/>
                <w:sz w:val="50"/>
              </w:rPr>
              <w:t>Propiedad:</w:t>
            </w:r>
            <w:r>
              <w:rPr>
                <w:sz w:val="50"/>
              </w:rPr>
              <w:t xml:space="preserve"> defensa posible, racionalidad estricta</w:t>
            </w:r>
          </w:p>
          <w:p>
            <w:pPr>
              <w:spacing w:after="240"/>
              <w:ind w:left="397" w:hanging="397"/>
            </w:pPr>
            <w:r>
              <w:rPr>
                <w:color w:val="007980"/>
                <w:sz w:val="38"/>
              </w:rPr>
              <w:t xml:space="preserve">■  </w:t>
            </w:r>
            <w:r>
              <w:rPr>
                <w:b/>
                <w:sz w:val="50"/>
              </w:rPr>
              <w:t>Ofendículos:</w:t>
            </w:r>
            <w:r>
              <w:rPr>
                <w:sz w:val="50"/>
              </w:rPr>
              <w:t xml:space="preserve"> solo si actúan ante la agresión y son proporcionales</w:t>
            </w:r>
          </w:p>
          <w:p>
            <w:pPr>
              <w:spacing w:after="240"/>
              <w:ind w:left="397" w:hanging="397"/>
            </w:pPr>
            <w:r>
              <w:rPr>
                <w:color w:val="007980"/>
                <w:sz w:val="38"/>
              </w:rPr>
              <w:t xml:space="preserve">■  </w:t>
            </w:r>
            <w:r>
              <w:rPr>
                <w:b/>
                <w:sz w:val="50"/>
              </w:rPr>
              <w:t>Riña:</w:t>
            </w:r>
            <w:r>
              <w:rPr>
                <w:sz w:val="50"/>
              </w:rPr>
              <w:t xml:space="preserve"> sin defensa entre contendientes; sí si uno escala imprevisiblemente</w:t>
            </w:r>
          </w:p>
          <w:p>
            <w:pPr>
              <w:spacing w:after="240"/>
              <w:ind w:left="397" w:hanging="397"/>
            </w:pPr>
            <w:r>
              <w:rPr>
                <w:color w:val="007980"/>
                <w:sz w:val="38"/>
              </w:rPr>
              <w:t xml:space="preserve">■  </w:t>
            </w:r>
            <w:r>
              <w:rPr>
                <w:b/>
                <w:sz w:val="50"/>
              </w:rPr>
              <w:t>Inimputables y niños:</w:t>
            </w:r>
            <w:r>
              <w:rPr>
                <w:sz w:val="50"/>
              </w:rPr>
              <w:t xml:space="preserve"> esquivar o contener antes de lesionar</w:t>
            </w:r>
          </w:p>
          <w:p>
            <w:pPr>
              <w:spacing w:after="240"/>
              <w:ind w:left="397" w:hanging="397"/>
            </w:pPr>
            <w:r>
              <w:rPr>
                <w:color w:val="007980"/>
                <w:sz w:val="38"/>
              </w:rPr>
              <w:t xml:space="preserve">■  </w:t>
            </w:r>
            <w:r>
              <w:rPr>
                <w:b/>
                <w:sz w:val="50"/>
              </w:rPr>
              <w:t>Delito permanente:</w:t>
            </w:r>
            <w:r>
              <w:rPr>
                <w:sz w:val="50"/>
              </w:rPr>
              <w:t xml:space="preserve"> la agresión dura mientras dure la privación</w:t>
            </w:r>
          </w:p>
        </w:tc>
      </w:tr>
    </w:tbl>
    <w:p>
      <w:pPr>
        <w:spacing w:before="120"/>
      </w:pPr>
      <w:r>
        <w:rPr>
          <w:i/>
          <w:color w:val="5A626E"/>
          <w:sz w:val="22"/>
        </w:rPr>
        <w:t>Arts. 34, incs. 6 y 7, 35, 95 y 96 C.P.</w:t>
      </w:r>
    </w:p>
    <w:p>
      <w:pPr>
        <w:sectPr>
          <w:pgSz w:w="16838" w:h="11906" w:orient="landscape"/>
          <w:pgMar w:top="624" w:right="737" w:bottom="680" w:left="737" w:header="454" w:footer="397" w:gutter="0"/>
          <w:cols w:space="720"/>
          <w:docGrid w:linePitch="360"/>
        </w:sectPr>
      </w:pPr>
    </w:p>
    <w:p>
      <w:pPr>
        <w:pStyle w:val="Heading1"/>
      </w:pPr>
      <w:r>
        <w:t>Capítulo 11. Aspectos procesales y probatorios</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2F5F9"/>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Ficha del tema</w:t>
            </w:r>
          </w:p>
          <w:p>
            <w:pPr>
              <w:spacing w:after="50"/>
              <w:ind w:left="255" w:hanging="255"/>
              <w:jc w:val="both"/>
            </w:pPr>
            <w:r>
              <w:rPr>
                <w:sz w:val="20"/>
              </w:rPr>
              <w:t xml:space="preserve">•  </w:t>
            </w:r>
            <w:r>
              <w:rPr>
                <w:b/>
                <w:sz w:val="20"/>
              </w:rPr>
              <w:t>Sujetos:</w:t>
            </w:r>
            <w:r>
              <w:rPr>
                <w:sz w:val="20"/>
              </w:rPr>
              <w:t xml:space="preserve"> imputado; fiscal; querellante; juez o tribunal (con jurados, cuando corresponda); peritos.</w:t>
            </w:r>
          </w:p>
          <w:p>
            <w:pPr>
              <w:spacing w:after="50"/>
              <w:ind w:left="255" w:hanging="255"/>
              <w:jc w:val="both"/>
            </w:pPr>
            <w:r>
              <w:rPr>
                <w:sz w:val="20"/>
              </w:rPr>
              <w:t xml:space="preserve">•  </w:t>
            </w:r>
            <w:r>
              <w:rPr>
                <w:b/>
                <w:sz w:val="20"/>
              </w:rPr>
              <w:t>Normativa:</w:t>
            </w:r>
            <w:r>
              <w:rPr>
                <w:sz w:val="20"/>
              </w:rPr>
              <w:t xml:space="preserve"> Constitución Nacional, art. 18; tratados con jerarquía constitucional (presunción de inocencia); Código Procesal Penal de Córdoba (Ley 8123) y régimen de jurados (Ley 9182; verificar vigencia y alcance); doctrina «Casal» (Fallos 328:3399).</w:t>
            </w:r>
          </w:p>
          <w:p>
            <w:pPr>
              <w:spacing w:after="50"/>
              <w:ind w:left="255" w:hanging="255"/>
              <w:jc w:val="both"/>
            </w:pPr>
            <w:r>
              <w:rPr>
                <w:sz w:val="20"/>
              </w:rPr>
              <w:t xml:space="preserve">•  </w:t>
            </w:r>
            <w:r>
              <w:rPr>
                <w:b/>
                <w:sz w:val="20"/>
              </w:rPr>
              <w:t>Elementos clave:</w:t>
            </w:r>
            <w:r>
              <w:rPr>
                <w:sz w:val="20"/>
              </w:rPr>
              <w:t xml:space="preserve"> carga de la prueba; duda; momento procesal; peritajes; revisión de la sentencia.</w:t>
            </w:r>
          </w:p>
        </w:tc>
      </w:tr>
    </w:tbl>
    <w:p>
      <w:pPr>
        <w:spacing w:after="40" w:line="120" w:lineRule="auto"/>
      </w:pPr>
    </w:p>
    <w:p>
      <w:pPr>
        <w:pStyle w:val="Heading2"/>
      </w:pPr>
      <w:r>
        <w:t>11.1. Quién debe probar y qué se prueba</w:t>
      </w:r>
    </w:p>
    <w:p>
      <w:pPr>
        <w:spacing w:after="50"/>
        <w:ind w:left="595" w:hanging="255"/>
        <w:jc w:val="both"/>
      </w:pPr>
      <w:r>
        <w:t xml:space="preserve">•  </w:t>
      </w:r>
      <w:r>
        <w:rPr>
          <w:b/>
        </w:rPr>
        <w:t>Carga de la prueba.</w:t>
      </w:r>
      <w:r>
        <w:t xml:space="preserve"> La acusación debe acreditar el hecho y su antijuridicidad. La defensa debe </w:t>
      </w:r>
      <w:r>
        <w:rPr>
          <w:b/>
        </w:rPr>
        <w:t>alegar</w:t>
      </w:r>
      <w:r>
        <w:t xml:space="preserve"> la legítima defensa y aportar un mínimo de verosimilitud; la duda razonable sobre su concurrencia debe resolverse a favor del imputado (</w:t>
      </w:r>
      <w:r>
        <w:rPr>
          <w:i/>
        </w:rPr>
        <w:t>in dubio pro reo</w:t>
      </w:r>
      <w:r>
        <w:t>).</w:t>
      </w:r>
    </w:p>
    <w:p>
      <w:pPr>
        <w:spacing w:after="50"/>
        <w:ind w:left="595" w:hanging="255"/>
        <w:jc w:val="both"/>
      </w:pPr>
      <w:r>
        <w:t xml:space="preserve">•  </w:t>
      </w:r>
      <w:r>
        <w:rPr>
          <w:b/>
        </w:rPr>
        <w:t>Qué se prueba.</w:t>
      </w:r>
      <w:r>
        <w:t xml:space="preserve"> La existencia y modalidad de la agresión; los medios de cada contendiente; la secuencia temporal; la voluntad de defensa; en el hogar, los hechos base de la presunción.</w:t>
      </w:r>
    </w:p>
    <w:p>
      <w:pPr>
        <w:spacing w:after="50"/>
        <w:ind w:left="595" w:hanging="255"/>
        <w:jc w:val="both"/>
      </w:pPr>
      <w:r>
        <w:t xml:space="preserve">•  </w:t>
      </w:r>
      <w:r>
        <w:rPr>
          <w:b/>
        </w:rPr>
        <w:t>Declaración del imputado.</w:t>
      </w:r>
      <w:r>
        <w:t xml:space="preserve"> Es un medio de defensa y, a la vez, fuente de información. La jurisprudencia ha censurado que se prescinda sin razones de su valor probatorio (SAIJ SUA0083365, 23/02/2023; </w:t>
      </w:r>
      <w:r>
        <w:rPr>
          <w:b/>
        </w:rPr>
        <w:t>VERIFICADO – sumario SAIJ</w:t>
      </w:r>
      <w:r>
        <w:t>, texto parcial).</w:t>
      </w:r>
    </w:p>
    <w:p>
      <w:pPr>
        <w:pStyle w:val="Heading2"/>
      </w:pPr>
      <w:r>
        <w:t>11.2. Momentos procesales</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814"/>
            <w:shd w:val="clear" w:color="auto" w:fill="172B4D"/>
            <w:tcMar>
              <w:top w:w="50" w:type="dxa"/>
              <w:left w:w="80" w:type="dxa"/>
              <w:bottom w:w="50" w:type="dxa"/>
              <w:right w:w="80" w:type="dxa"/>
            </w:tcMar>
          </w:tcPr>
          <w:p>
            <w:pPr>
              <w:spacing w:after="0"/>
            </w:pPr>
            <w:r>
              <w:rPr>
                <w:b/>
                <w:color w:val="FFFFFF"/>
                <w:sz w:val="18"/>
              </w:rPr>
              <w:t>Etapa</w:t>
            </w:r>
          </w:p>
        </w:tc>
        <w:tc>
          <w:tcPr>
            <w:tcW w:type="dxa" w:w="4082"/>
            <w:shd w:val="clear" w:color="auto" w:fill="172B4D"/>
            <w:tcMar>
              <w:top w:w="50" w:type="dxa"/>
              <w:left w:w="80" w:type="dxa"/>
              <w:bottom w:w="50" w:type="dxa"/>
              <w:right w:w="80" w:type="dxa"/>
            </w:tcMar>
          </w:tcPr>
          <w:p>
            <w:pPr>
              <w:spacing w:after="0"/>
            </w:pPr>
            <w:r>
              <w:rPr>
                <w:b/>
                <w:color w:val="FFFFFF"/>
                <w:sz w:val="18"/>
              </w:rPr>
              <w:t>Cómo se trata la legítima defensa</w:t>
            </w:r>
          </w:p>
        </w:tc>
        <w:tc>
          <w:tcPr>
            <w:tcW w:type="dxa" w:w="3515"/>
            <w:shd w:val="clear" w:color="auto" w:fill="172B4D"/>
            <w:tcMar>
              <w:top w:w="50" w:type="dxa"/>
              <w:left w:w="80" w:type="dxa"/>
              <w:bottom w:w="50" w:type="dxa"/>
              <w:right w:w="80" w:type="dxa"/>
            </w:tcMar>
          </w:tcPr>
          <w:p>
            <w:pPr>
              <w:spacing w:after="0"/>
            </w:pPr>
            <w:r>
              <w:rPr>
                <w:b/>
                <w:color w:val="FFFFFF"/>
                <w:sz w:val="18"/>
              </w:rPr>
              <w:t>Comentarios</w:t>
            </w:r>
          </w:p>
        </w:tc>
      </w:tr>
      <w:tr>
        <w:trPr>
          <w:cantSplit w:val="true"/>
        </w:trPr>
        <w:tc>
          <w:tcPr>
            <w:tcW w:type="dxa" w:w="181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b/>
                <w:sz w:val="18"/>
              </w:rPr>
              <w:t>Instrucción</w:t>
            </w:r>
          </w:p>
        </w:tc>
        <w:tc>
          <w:tcPr>
            <w:tcW w:type="dxa" w:w="408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 xml:space="preserve">Puede fundar el sobreseimiento si resulta con certeza (CPP Córdoba, régimen del sobreseimiento, art. 350; </w:t>
            </w:r>
            <w:r>
              <w:rPr>
                <w:b/>
                <w:sz w:val="18"/>
              </w:rPr>
              <w:t>verificar inciso</w:t>
            </w:r>
            <w:r>
              <w:rPr>
                <w:sz w:val="18"/>
              </w:rPr>
              <w:t>)</w:t>
            </w:r>
          </w:p>
        </w:tc>
        <w:tc>
          <w:tcPr>
            <w:tcW w:type="dxa" w:w="351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Cuando hay duda, suele pasar a juicio; hay discrepancias entre fiscalías y cámaras.</w:t>
            </w:r>
          </w:p>
        </w:tc>
      </w:tr>
      <w:tr>
        <w:trPr>
          <w:cantSplit w:val="true"/>
        </w:trPr>
        <w:tc>
          <w:tcPr>
            <w:tcW w:type="dxa" w:w="181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b/>
                <w:sz w:val="18"/>
              </w:rPr>
              <w:t>Medidas de coerción</w:t>
            </w:r>
          </w:p>
        </w:tc>
        <w:tc>
          <w:tcPr>
            <w:tcW w:type="dxa" w:w="408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La verosimilitud de la defensa influye en la prisión preventiva</w:t>
            </w:r>
          </w:p>
        </w:tc>
        <w:tc>
          <w:tcPr>
            <w:tcW w:type="dxa" w:w="351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Valorar peligro procesal, no el mérito definitivo.</w:t>
            </w:r>
          </w:p>
        </w:tc>
      </w:tr>
      <w:tr>
        <w:trPr>
          <w:cantSplit w:val="true"/>
        </w:trPr>
        <w:tc>
          <w:tcPr>
            <w:tcW w:type="dxa" w:w="181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b/>
                <w:sz w:val="18"/>
              </w:rPr>
              <w:t>Juicio</w:t>
            </w:r>
          </w:p>
        </w:tc>
        <w:tc>
          <w:tcPr>
            <w:tcW w:type="dxa" w:w="408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Es el momento principal de la prueba; los jurados reciben instrucciones sobre la causa de justificación</w:t>
            </w:r>
          </w:p>
        </w:tc>
        <w:tc>
          <w:tcPr>
            <w:tcW w:type="dxa" w:w="351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Régimen de jurados cordobés: Ley 9182 (</w:t>
            </w:r>
            <w:r>
              <w:rPr>
                <w:b/>
                <w:sz w:val="18"/>
              </w:rPr>
              <w:t>verificar</w:t>
            </w:r>
            <w:r>
              <w:rPr>
                <w:sz w:val="18"/>
              </w:rPr>
              <w:t xml:space="preserve"> alcance y vigencia).</w:t>
            </w:r>
          </w:p>
        </w:tc>
      </w:tr>
      <w:tr>
        <w:trPr>
          <w:cantSplit w:val="true"/>
        </w:trPr>
        <w:tc>
          <w:tcPr>
            <w:tcW w:type="dxa" w:w="181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b/>
                <w:sz w:val="18"/>
              </w:rPr>
              <w:t>Recurso de casación / inconstitucionalidad</w:t>
            </w:r>
          </w:p>
        </w:tc>
        <w:tc>
          <w:tcPr>
            <w:tcW w:type="dxa" w:w="408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Se controla la fundamentación de la valoración de la prueba</w:t>
            </w:r>
          </w:p>
        </w:tc>
        <w:tc>
          <w:tcPr>
            <w:tcW w:type="dxa" w:w="351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La CSJN exige revisión amplia («Casal») y descalifica fallos arbitrarios (</w:t>
            </w:r>
            <w:r>
              <w:rPr>
                <w:i/>
                <w:sz w:val="18"/>
              </w:rPr>
              <w:t>Leiva</w:t>
            </w:r>
            <w:r>
              <w:rPr>
                <w:sz w:val="18"/>
              </w:rPr>
              <w:t>).</w:t>
            </w:r>
          </w:p>
        </w:tc>
      </w:tr>
      <w:tr>
        <w:trPr>
          <w:cantSplit w:val="true"/>
        </w:trPr>
        <w:tc>
          <w:tcPr>
            <w:tcW w:type="dxa" w:w="181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b/>
                <w:sz w:val="18"/>
              </w:rPr>
              <w:t>Recurso extraordinario federal</w:t>
            </w:r>
          </w:p>
        </w:tc>
        <w:tc>
          <w:tcPr>
            <w:tcW w:type="dxa" w:w="408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Procede en caso de arbitrariedad o cuestión federal</w:t>
            </w:r>
          </w:p>
        </w:tc>
        <w:tc>
          <w:tcPr>
            <w:tcW w:type="dxa" w:w="351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Los defectos formales hacen perder el recurso (CSJN, «San Roque», 02/07/2026).</w:t>
            </w:r>
          </w:p>
        </w:tc>
      </w:tr>
    </w:tbl>
    <w:p>
      <w:pPr>
        <w:spacing w:after="60"/>
      </w:pPr>
    </w:p>
    <w:p>
      <w:pPr>
        <w:pStyle w:val="Heading2"/>
      </w:pPr>
      <w:r>
        <w:t>11.3. Prueba típica</w:t>
      </w:r>
    </w:p>
    <w:p>
      <w:pPr>
        <w:spacing w:after="50"/>
        <w:ind w:left="595" w:hanging="255"/>
        <w:jc w:val="both"/>
      </w:pPr>
      <w:r>
        <w:t xml:space="preserve">•  </w:t>
      </w:r>
      <w:r>
        <w:rPr>
          <w:b/>
        </w:rPr>
        <w:t>Pericias médicas:</w:t>
      </w:r>
      <w:r>
        <w:t xml:space="preserve"> lesiones del imputado y de la víctima (defensivas o no), distancia y trayectoria.</w:t>
      </w:r>
    </w:p>
    <w:p>
      <w:pPr>
        <w:spacing w:after="50"/>
        <w:ind w:left="595" w:hanging="255"/>
        <w:jc w:val="both"/>
      </w:pPr>
      <w:r>
        <w:t xml:space="preserve">•  </w:t>
      </w:r>
      <w:r>
        <w:rPr>
          <w:b/>
        </w:rPr>
        <w:t>Pericias balísticas y planimetrías:</w:t>
      </w:r>
      <w:r>
        <w:t xml:space="preserve"> posiciones, número de disparos, secuencia.</w:t>
      </w:r>
    </w:p>
    <w:p>
      <w:pPr>
        <w:spacing w:after="50"/>
        <w:ind w:left="595" w:hanging="255"/>
        <w:jc w:val="both"/>
      </w:pPr>
      <w:r>
        <w:t xml:space="preserve">•  </w:t>
      </w:r>
      <w:r>
        <w:rPr>
          <w:b/>
        </w:rPr>
        <w:t>Inspección ocular y reconstrucción</w:t>
      </w:r>
      <w:r>
        <w:t xml:space="preserve"> del lugar del hecho.</w:t>
      </w:r>
    </w:p>
    <w:p>
      <w:pPr>
        <w:spacing w:after="50"/>
        <w:ind w:left="595" w:hanging="255"/>
        <w:jc w:val="both"/>
      </w:pPr>
      <w:r>
        <w:t xml:space="preserve">•  </w:t>
      </w:r>
      <w:r>
        <w:rPr>
          <w:b/>
        </w:rPr>
        <w:t>Pericias psicológicas y de contexto</w:t>
      </w:r>
      <w:r>
        <w:t xml:space="preserve"> (especialmente en violencia de género).</w:t>
      </w:r>
    </w:p>
    <w:p>
      <w:pPr>
        <w:spacing w:after="50"/>
        <w:ind w:left="595" w:hanging="255"/>
        <w:jc w:val="both"/>
      </w:pPr>
      <w:r>
        <w:t xml:space="preserve">•  </w:t>
      </w:r>
      <w:r>
        <w:rPr>
          <w:b/>
        </w:rPr>
        <w:t>Testigos, cámaras, registros telefónicos y de llamadas al 911 o 101;</w:t>
      </w:r>
      <w:r>
        <w:t xml:space="preserve"> denuncias previas.</w:t>
      </w:r>
    </w:p>
    <w:p>
      <w:pPr>
        <w:spacing w:after="50"/>
        <w:ind w:left="595" w:hanging="255"/>
        <w:jc w:val="both"/>
      </w:pPr>
      <w:r>
        <w:t xml:space="preserve">•  </w:t>
      </w:r>
      <w:r>
        <w:rPr>
          <w:b/>
        </w:rPr>
        <w:t>Antecedentes</w:t>
      </w:r>
      <w:r>
        <w:t xml:space="preserve"> de agresiones del agresor, cuando sean pertinentes.</w:t>
      </w:r>
    </w:p>
    <w:p>
      <w:pPr>
        <w:pStyle w:val="Heading2"/>
      </w:pPr>
      <w:r>
        <w:t>11.4. Estándares de control</w:t>
      </w:r>
    </w:p>
    <w:p>
      <w:pPr>
        <w:spacing w:after="50"/>
        <w:ind w:left="595" w:hanging="255"/>
        <w:jc w:val="both"/>
      </w:pPr>
      <w:r>
        <w:t xml:space="preserve">•  </w:t>
      </w:r>
      <w:r>
        <w:rPr>
          <w:b/>
        </w:rPr>
        <w:t>Valoración fragmentada de la prueba.</w:t>
      </w:r>
      <w:r>
        <w:t xml:space="preserve"> Se ha censurado la sentencia que realizó «una valoración fragmentada y parcializada de los medios de confirmación producidos en el juicio» y omitió fundamentar el rechazo de la legítima defensa (SAIJ SUJ0050957, 29/11/2022; </w:t>
      </w:r>
      <w:r>
        <w:rPr>
          <w:b/>
        </w:rPr>
        <w:t>VERIFICADO – sumario SAIJ</w:t>
      </w:r>
      <w:r>
        <w:t>, texto parcial).</w:t>
      </w:r>
    </w:p>
    <w:p>
      <w:pPr>
        <w:spacing w:after="50"/>
        <w:ind w:left="595" w:hanging="255"/>
        <w:jc w:val="both"/>
      </w:pPr>
      <w:r>
        <w:t xml:space="preserve">•  </w:t>
      </w:r>
      <w:r>
        <w:rPr>
          <w:b/>
        </w:rPr>
        <w:t>Duda sobre la legítima defensa.</w:t>
      </w:r>
      <w:r>
        <w:t xml:space="preserve"> Se confirmó una absolución por «la probable configuración de la legítima defensa» porque el tribunal explicó por qué la hipótesis defensiva era plausible (SAIJ SUJ0053723, 19/11/2024; </w:t>
      </w:r>
      <w:r>
        <w:rPr>
          <w:b/>
        </w:rPr>
        <w:t>VERIFICADO – sumario SAIJ</w:t>
      </w:r>
      <w:r>
        <w:t>, texto parcial).</w:t>
      </w:r>
    </w:p>
    <w:p>
      <w:pPr>
        <w:spacing w:after="50"/>
        <w:ind w:left="595" w:hanging="255"/>
        <w:jc w:val="both"/>
      </w:pPr>
      <w:r>
        <w:t xml:space="preserve">•  </w:t>
      </w:r>
      <w:r>
        <w:rPr>
          <w:b/>
        </w:rPr>
        <w:t>Exceso o justificación.</w:t>
      </w:r>
      <w:r>
        <w:t xml:space="preserve"> La alzada debe resolver si la conducta fue alcanzada por una justificante, o «desviada en su intensidad» y merecedora de reproche aminorado (SAIJ SUJ0053705, 26/11/2024; </w:t>
      </w:r>
      <w:r>
        <w:rPr>
          <w:b/>
        </w:rPr>
        <w:t>VERIFICADO – sumario SAIJ</w:t>
      </w:r>
      <w:r>
        <w:t>, texto parcial).</w:t>
      </w:r>
    </w:p>
    <w:p>
      <w:pPr>
        <w:pStyle w:val="Heading2"/>
      </w:pPr>
      <w:r>
        <w:t>11.4 bis. Efectos civiles</w:t>
      </w:r>
    </w:p>
    <w:p>
      <w:pPr>
        <w:jc w:val="both"/>
      </w:pPr>
      <w:r>
        <w:t>La absolución por legítima defensa fundada en la justificación impide, en principio, que el agresor reclame la indemnización del daño causado por el defensor (art. 1718, inc. b, CCyC). En cambio, la condena por exceso (art. 35) puede generar responsabilidad civil, por el daño causado en exceso. La relación entre sentencia penal y acción civil se rige por los arts. 1774 y siguientes CCyC (</w:t>
      </w:r>
      <w:r>
        <w:rPr>
          <w:b/>
        </w:rPr>
        <w:t>verificar texto vigente</w:t>
      </w:r>
      <w:r>
        <w:t xml:space="preserve"> y alcance de la cosa juzgada penal sobre el proceso civil).</w:t>
      </w:r>
    </w:p>
    <w:p>
      <w:pPr>
        <w:pStyle w:val="Heading2"/>
      </w:pPr>
      <w:r>
        <w:t>11.5. Lista de control del litigante</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4706"/>
            <w:shd w:val="clear" w:color="auto" w:fill="172B4D"/>
            <w:tcMar>
              <w:top w:w="50" w:type="dxa"/>
              <w:left w:w="80" w:type="dxa"/>
              <w:bottom w:w="50" w:type="dxa"/>
              <w:right w:w="80" w:type="dxa"/>
            </w:tcMar>
          </w:tcPr>
          <w:p>
            <w:pPr>
              <w:spacing w:after="0"/>
            </w:pPr>
            <w:r>
              <w:rPr>
                <w:b/>
                <w:color w:val="FFFFFF"/>
                <w:sz w:val="18"/>
              </w:rPr>
              <w:t>Para la defensa</w:t>
            </w:r>
          </w:p>
        </w:tc>
        <w:tc>
          <w:tcPr>
            <w:tcW w:type="dxa" w:w="4706"/>
            <w:shd w:val="clear" w:color="auto" w:fill="172B4D"/>
            <w:tcMar>
              <w:top w:w="50" w:type="dxa"/>
              <w:left w:w="80" w:type="dxa"/>
              <w:bottom w:w="50" w:type="dxa"/>
              <w:right w:w="80" w:type="dxa"/>
            </w:tcMar>
          </w:tcPr>
          <w:p>
            <w:pPr>
              <w:spacing w:after="0"/>
            </w:pPr>
            <w:r>
              <w:rPr>
                <w:b/>
                <w:color w:val="FFFFFF"/>
                <w:sz w:val="18"/>
              </w:rPr>
              <w:t>Para la acusación / querella</w:t>
            </w:r>
          </w:p>
        </w:tc>
      </w:tr>
      <w:tr>
        <w:trPr>
          <w:cantSplit w:val="true"/>
        </w:trPr>
        <w:tc>
          <w:tcPr>
            <w:tcW w:type="dxa" w:w="470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 xml:space="preserve">Reunir </w:t>
            </w:r>
            <w:r>
              <w:rPr>
                <w:b/>
                <w:sz w:val="18"/>
              </w:rPr>
              <w:t>pruebas del contexto</w:t>
            </w:r>
            <w:r>
              <w:rPr>
                <w:sz w:val="18"/>
              </w:rPr>
              <w:t xml:space="preserve"> (denuncias, lesiones, mensajes)</w:t>
            </w:r>
          </w:p>
        </w:tc>
        <w:tc>
          <w:tcPr>
            <w:tcW w:type="dxa" w:w="470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 xml:space="preserve">Acreditar el </w:t>
            </w:r>
            <w:r>
              <w:rPr>
                <w:b/>
                <w:sz w:val="18"/>
              </w:rPr>
              <w:t>momento</w:t>
            </w:r>
            <w:r>
              <w:rPr>
                <w:sz w:val="18"/>
              </w:rPr>
              <w:t xml:space="preserve"> de cada acción y la posibilidad de otra reacción</w:t>
            </w:r>
          </w:p>
        </w:tc>
      </w:tr>
      <w:tr>
        <w:trPr>
          <w:cantSplit w:val="true"/>
        </w:trPr>
        <w:tc>
          <w:tcPr>
            <w:tcW w:type="dxa" w:w="470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Documentar lesiones propias de inmediato (examen médico)</w:t>
            </w:r>
          </w:p>
        </w:tc>
        <w:tc>
          <w:tcPr>
            <w:tcW w:type="dxa" w:w="470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 xml:space="preserve">Revisar las </w:t>
            </w:r>
            <w:r>
              <w:rPr>
                <w:b/>
                <w:sz w:val="18"/>
              </w:rPr>
              <w:t>lesiones</w:t>
            </w:r>
            <w:r>
              <w:rPr>
                <w:sz w:val="18"/>
              </w:rPr>
              <w:t xml:space="preserve"> y la </w:t>
            </w:r>
            <w:r>
              <w:rPr>
                <w:b/>
                <w:sz w:val="18"/>
              </w:rPr>
              <w:t>dinámica</w:t>
            </w:r>
            <w:r>
              <w:rPr>
                <w:sz w:val="18"/>
              </w:rPr>
              <w:t xml:space="preserve"> del hecho (defensivas o no)</w:t>
            </w:r>
          </w:p>
        </w:tc>
      </w:tr>
      <w:tr>
        <w:trPr>
          <w:cantSplit w:val="true"/>
        </w:trPr>
        <w:tc>
          <w:tcPr>
            <w:tcW w:type="dxa" w:w="470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Definir la teoría: legítima defensa plena, exceso o error</w:t>
            </w:r>
          </w:p>
        </w:tc>
        <w:tc>
          <w:tcPr>
            <w:tcW w:type="dxa" w:w="470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 xml:space="preserve">Probar la </w:t>
            </w:r>
            <w:r>
              <w:rPr>
                <w:b/>
                <w:sz w:val="18"/>
              </w:rPr>
              <w:t>provocación</w:t>
            </w:r>
            <w:r>
              <w:rPr>
                <w:sz w:val="18"/>
              </w:rPr>
              <w:t xml:space="preserve"> previa o la </w:t>
            </w:r>
            <w:r>
              <w:rPr>
                <w:b/>
                <w:sz w:val="18"/>
              </w:rPr>
              <w:t>falta de finalidad defensiva</w:t>
            </w:r>
          </w:p>
        </w:tc>
      </w:tr>
      <w:tr>
        <w:trPr>
          <w:cantSplit w:val="true"/>
        </w:trPr>
        <w:tc>
          <w:tcPr>
            <w:tcW w:type="dxa" w:w="470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Pedir peritajes de dinámica y de trayectorias</w:t>
            </w:r>
          </w:p>
        </w:tc>
        <w:tc>
          <w:tcPr>
            <w:tcW w:type="dxa" w:w="470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 xml:space="preserve">Controlar la </w:t>
            </w:r>
            <w:r>
              <w:rPr>
                <w:b/>
                <w:sz w:val="18"/>
              </w:rPr>
              <w:t>racionalidad</w:t>
            </w:r>
            <w:r>
              <w:rPr>
                <w:sz w:val="18"/>
              </w:rPr>
              <w:t xml:space="preserve"> del medio (armas, número de disparos)</w:t>
            </w:r>
          </w:p>
        </w:tc>
      </w:tr>
      <w:tr>
        <w:trPr>
          <w:cantSplit w:val="true"/>
        </w:trPr>
        <w:tc>
          <w:tcPr>
            <w:tcW w:type="dxa" w:w="470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Cuidar la primera declaración: asesoramiento previo</w:t>
            </w:r>
          </w:p>
        </w:tc>
        <w:tc>
          <w:tcPr>
            <w:tcW w:type="dxa" w:w="470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Evitar que la duda razonable pase inadvertida en la acusación</w:t>
            </w:r>
          </w:p>
        </w:tc>
      </w:tr>
      <w:tr>
        <w:trPr>
          <w:cantSplit w:val="true"/>
        </w:trPr>
        <w:tc>
          <w:tcPr>
            <w:tcW w:type="dxa" w:w="470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Plantear alternativamente el exceso (art. 35)</w:t>
            </w:r>
          </w:p>
        </w:tc>
        <w:tc>
          <w:tcPr>
            <w:tcW w:type="dxa" w:w="4706"/>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Plantear alternativamente el homicidio doloso o el exceso</w:t>
            </w:r>
          </w:p>
        </w:tc>
      </w:tr>
    </w:tbl>
    <w:p>
      <w:pPr>
        <w:spacing w:after="60"/>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AF3F4"/>
            <w:tcBorders>
              <w:top w:val="single" w:sz="4" w:color="007980" w:space="0"/>
              <w:left w:val="single" w:sz="24" w:color="007980" w:space="0"/>
              <w:bottom w:val="single" w:sz="4" w:color="007980" w:space="0"/>
              <w:right w:val="single" w:sz="4" w:color="007980" w:space="0"/>
            </w:tcBorders>
            <w:tcMar>
              <w:top w:w="80" w:type="dxa"/>
              <w:left w:w="160" w:type="dxa"/>
              <w:bottom w:w="80" w:type="dxa"/>
              <w:right w:w="140" w:type="dxa"/>
            </w:tcMar>
          </w:tcPr>
          <w:p>
            <w:pPr>
              <w:spacing w:after="60"/>
            </w:pPr>
            <w:r>
              <w:rPr>
                <w:b/>
                <w:color w:val="007980"/>
                <w:sz w:val="21"/>
              </w:rPr>
              <w:t>Resumen del capítulo 11</w:t>
            </w:r>
          </w:p>
          <w:p>
            <w:pPr>
              <w:spacing w:after="50"/>
              <w:ind w:left="255" w:hanging="255"/>
              <w:jc w:val="both"/>
            </w:pPr>
            <w:r>
              <w:rPr>
                <w:sz w:val="20"/>
              </w:rPr>
              <w:t>•  La acusación debe probar la antijuridicidad; la duda sobre la legítima defensa favorece al imputado.</w:t>
            </w:r>
          </w:p>
          <w:p>
            <w:pPr>
              <w:spacing w:after="50"/>
              <w:ind w:left="255" w:hanging="255"/>
              <w:jc w:val="both"/>
            </w:pPr>
            <w:r>
              <w:rPr>
                <w:sz w:val="20"/>
              </w:rPr>
              <w:t>•  Se discute en la instrucción (sobreseimiento) y principalmente en el juicio; la casación y el recurso federal controlan la fundamentación.</w:t>
            </w:r>
          </w:p>
          <w:p>
            <w:pPr>
              <w:spacing w:after="50"/>
              <w:ind w:left="255" w:hanging="255"/>
              <w:jc w:val="both"/>
            </w:pPr>
            <w:r>
              <w:rPr>
                <w:sz w:val="20"/>
              </w:rPr>
              <w:t>•  La prueba clave: lesiones, balística, reconstrucción, contexto; en violencia de género, la perspectiva de género.</w:t>
            </w:r>
          </w:p>
          <w:p>
            <w:pPr>
              <w:spacing w:after="50"/>
              <w:ind w:left="255" w:hanging="255"/>
              <w:jc w:val="both"/>
            </w:pPr>
            <w:r>
              <w:rPr>
                <w:sz w:val="20"/>
              </w:rPr>
              <w:t>•  Efectos civiles: art. 1718, inc. b, CCyC.</w:t>
            </w:r>
          </w:p>
        </w:tc>
      </w:tr>
    </w:tbl>
    <w:p>
      <w:pPr>
        <w:spacing w:after="40" w:line="120" w:lineRule="auto"/>
      </w:pPr>
    </w:p>
    <w:p>
      <w:pPr>
        <w:sectPr>
          <w:pgSz w:w="11906" w:h="16838"/>
          <w:pgMar w:top="1134" w:right="1247" w:bottom="1077" w:left="1247" w:header="454" w:footer="397" w:gutter="0"/>
          <w:cols w:space="720"/>
          <w:docGrid w:linePitch="360"/>
        </w:sectPr>
      </w:pP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21  ·  </w:t>
            </w:r>
            <w:r>
              <w:rPr>
                <w:b/>
                <w:color w:val="FFFFFF"/>
                <w:sz w:val="52"/>
              </w:rPr>
              <w:t>Prueba y proceso</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sz w:val="50"/>
              </w:rPr>
              <w:t xml:space="preserve">La acusación prueba la </w:t>
            </w:r>
            <w:r>
              <w:rPr>
                <w:b/>
                <w:sz w:val="50"/>
              </w:rPr>
              <w:t>antijuridicidad</w:t>
            </w:r>
            <w:r>
              <w:rPr>
                <w:sz w:val="50"/>
              </w:rPr>
              <w:t>; la duda favorece al imputado</w:t>
            </w:r>
          </w:p>
          <w:p>
            <w:pPr>
              <w:spacing w:after="240"/>
              <w:ind w:left="397" w:hanging="397"/>
            </w:pPr>
            <w:r>
              <w:rPr>
                <w:color w:val="007980"/>
                <w:sz w:val="38"/>
              </w:rPr>
              <w:t xml:space="preserve">■  </w:t>
            </w:r>
            <w:r>
              <w:rPr>
                <w:sz w:val="50"/>
              </w:rPr>
              <w:t xml:space="preserve">La defensa </w:t>
            </w:r>
            <w:r>
              <w:rPr>
                <w:b/>
                <w:sz w:val="50"/>
              </w:rPr>
              <w:t>alega</w:t>
            </w:r>
            <w:r>
              <w:rPr>
                <w:sz w:val="50"/>
              </w:rPr>
              <w:t xml:space="preserve"> y aporta verosimilitud</w:t>
            </w:r>
          </w:p>
          <w:p>
            <w:pPr>
              <w:spacing w:after="240"/>
              <w:ind w:left="397" w:hanging="397"/>
            </w:pPr>
            <w:r>
              <w:rPr>
                <w:color w:val="007980"/>
                <w:sz w:val="38"/>
              </w:rPr>
              <w:t xml:space="preserve">■  </w:t>
            </w:r>
            <w:r>
              <w:rPr>
                <w:sz w:val="50"/>
              </w:rPr>
              <w:t xml:space="preserve">Prueba clave: </w:t>
            </w:r>
            <w:r>
              <w:rPr>
                <w:b/>
                <w:sz w:val="50"/>
              </w:rPr>
              <w:t>lesiones</w:t>
            </w:r>
            <w:r>
              <w:rPr>
                <w:sz w:val="50"/>
              </w:rPr>
              <w:t>, balística, reconstrucción, contexto</w:t>
            </w:r>
          </w:p>
          <w:p>
            <w:pPr>
              <w:spacing w:after="240"/>
              <w:ind w:left="397" w:hanging="397"/>
            </w:pPr>
            <w:r>
              <w:rPr>
                <w:color w:val="007980"/>
                <w:sz w:val="38"/>
              </w:rPr>
              <w:t xml:space="preserve">■  </w:t>
            </w:r>
            <w:r>
              <w:rPr>
                <w:sz w:val="50"/>
              </w:rPr>
              <w:t xml:space="preserve">Control: </w:t>
            </w:r>
            <w:r>
              <w:rPr>
                <w:b/>
                <w:sz w:val="50"/>
              </w:rPr>
              <w:t>arbitrariedad</w:t>
            </w:r>
            <w:r>
              <w:rPr>
                <w:sz w:val="50"/>
              </w:rPr>
              <w:t xml:space="preserve"> por valoración fragmentada (SAIJ SUJ0050957)</w:t>
            </w:r>
          </w:p>
          <w:p>
            <w:pPr>
              <w:spacing w:after="240"/>
              <w:ind w:left="397" w:hanging="397"/>
            </w:pPr>
            <w:r>
              <w:rPr>
                <w:color w:val="007980"/>
                <w:sz w:val="38"/>
              </w:rPr>
              <w:t xml:space="preserve">■  </w:t>
            </w:r>
            <w:r>
              <w:rPr>
                <w:sz w:val="50"/>
              </w:rPr>
              <w:t xml:space="preserve">Alegar, subsidiariamente, el </w:t>
            </w:r>
            <w:r>
              <w:rPr>
                <w:b/>
                <w:sz w:val="50"/>
              </w:rPr>
              <w:t>exceso</w:t>
            </w:r>
            <w:r>
              <w:rPr>
                <w:sz w:val="50"/>
              </w:rPr>
              <w:t xml:space="preserve"> (art. 35)</w:t>
            </w:r>
          </w:p>
        </w:tc>
      </w:tr>
    </w:tbl>
    <w:p>
      <w:pPr>
        <w:spacing w:before="120"/>
      </w:pPr>
      <w:r>
        <w:rPr>
          <w:i/>
          <w:color w:val="5A626E"/>
          <w:sz w:val="22"/>
        </w:rPr>
        <w:t>Doctrina «Casal» (Fallos 328:3399); «Leiva» (Fallos 334:1204).</w:t>
      </w:r>
    </w:p>
    <w:p>
      <w:pPr>
        <w:spacing w:after="0"/>
      </w:pPr>
      <w:r>
        <w:br w:type="page"/>
      </w: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22  ·  </w:t>
            </w:r>
            <w:r>
              <w:rPr>
                <w:b/>
                <w:color w:val="FFFFFF"/>
                <w:sz w:val="52"/>
              </w:rPr>
              <w:t>Checklist del litigante</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sz w:val="50"/>
              </w:rPr>
              <w:t xml:space="preserve">Documentar </w:t>
            </w:r>
            <w:r>
              <w:rPr>
                <w:b/>
                <w:sz w:val="50"/>
              </w:rPr>
              <w:t>lesiones</w:t>
            </w:r>
            <w:r>
              <w:rPr>
                <w:sz w:val="50"/>
              </w:rPr>
              <w:t xml:space="preserve"> de inmediato</w:t>
            </w:r>
          </w:p>
          <w:p>
            <w:pPr>
              <w:spacing w:after="240"/>
              <w:ind w:left="397" w:hanging="397"/>
            </w:pPr>
            <w:r>
              <w:rPr>
                <w:color w:val="007980"/>
                <w:sz w:val="38"/>
              </w:rPr>
              <w:t xml:space="preserve">■  </w:t>
            </w:r>
            <w:r>
              <w:rPr>
                <w:sz w:val="50"/>
              </w:rPr>
              <w:t xml:space="preserve">Reunir </w:t>
            </w:r>
            <w:r>
              <w:rPr>
                <w:b/>
                <w:sz w:val="50"/>
              </w:rPr>
              <w:t>denuncias, mensajes y testigos</w:t>
            </w:r>
            <w:r>
              <w:rPr>
                <w:sz w:val="50"/>
              </w:rPr>
              <w:t xml:space="preserve"> del contexto</w:t>
            </w:r>
          </w:p>
          <w:p>
            <w:pPr>
              <w:spacing w:after="240"/>
              <w:ind w:left="397" w:hanging="397"/>
            </w:pPr>
            <w:r>
              <w:rPr>
                <w:color w:val="007980"/>
                <w:sz w:val="38"/>
              </w:rPr>
              <w:t xml:space="preserve">■  </w:t>
            </w:r>
            <w:r>
              <w:rPr>
                <w:sz w:val="50"/>
              </w:rPr>
              <w:t xml:space="preserve">Pedir </w:t>
            </w:r>
            <w:r>
              <w:rPr>
                <w:b/>
                <w:sz w:val="50"/>
              </w:rPr>
              <w:t>peritajes</w:t>
            </w:r>
            <w:r>
              <w:rPr>
                <w:sz w:val="50"/>
              </w:rPr>
              <w:t xml:space="preserve"> de trayectoria y dinámica</w:t>
            </w:r>
          </w:p>
          <w:p>
            <w:pPr>
              <w:spacing w:after="240"/>
              <w:ind w:left="397" w:hanging="397"/>
            </w:pPr>
            <w:r>
              <w:rPr>
                <w:color w:val="007980"/>
                <w:sz w:val="38"/>
              </w:rPr>
              <w:t xml:space="preserve">■  </w:t>
            </w:r>
            <w:r>
              <w:rPr>
                <w:sz w:val="50"/>
              </w:rPr>
              <w:t xml:space="preserve">Cuidar la </w:t>
            </w:r>
            <w:r>
              <w:rPr>
                <w:b/>
                <w:sz w:val="50"/>
              </w:rPr>
              <w:t>primera declaración</w:t>
            </w:r>
          </w:p>
          <w:p>
            <w:pPr>
              <w:spacing w:after="240"/>
              <w:ind w:left="397" w:hanging="397"/>
            </w:pPr>
            <w:r>
              <w:rPr>
                <w:color w:val="007980"/>
                <w:sz w:val="38"/>
              </w:rPr>
              <w:t xml:space="preserve">■  </w:t>
            </w:r>
            <w:r>
              <w:rPr>
                <w:sz w:val="50"/>
              </w:rPr>
              <w:t xml:space="preserve">Definir </w:t>
            </w:r>
            <w:r>
              <w:rPr>
                <w:b/>
                <w:sz w:val="50"/>
              </w:rPr>
              <w:t>teoría principal y subsidiaria</w:t>
            </w:r>
            <w:r>
              <w:rPr>
                <w:sz w:val="50"/>
              </w:rPr>
              <w:t>: legítima defensa, exceso, error</w:t>
            </w:r>
          </w:p>
        </w:tc>
      </w:tr>
    </w:tbl>
    <w:p>
      <w:pPr>
        <w:spacing w:before="120"/>
      </w:pPr>
      <w:r>
        <w:rPr>
          <w:i/>
          <w:color w:val="5A626E"/>
          <w:sz w:val="22"/>
        </w:rPr>
        <w:t>Ver capítulo 11.5.</w:t>
      </w:r>
    </w:p>
    <w:p>
      <w:pPr>
        <w:sectPr>
          <w:pgSz w:w="16838" w:h="11906" w:orient="landscape"/>
          <w:pgMar w:top="624" w:right="737" w:bottom="680" w:left="737" w:header="454" w:footer="397" w:gutter="0"/>
          <w:cols w:space="720"/>
          <w:docGrid w:linePitch="360"/>
        </w:sectPr>
      </w:pPr>
    </w:p>
    <w:p>
      <w:pPr>
        <w:pStyle w:val="Heading1"/>
      </w:pPr>
      <w:r>
        <w:t>Capítulo 12. Reforma en curso y proyectos</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2F5F9"/>
            <w:tcBorders>
              <w:top w:val="single" w:sz="4" w:color="172B4D" w:space="0"/>
              <w:left w:val="single" w:sz="24" w:color="172B4D" w:space="0"/>
              <w:bottom w:val="single" w:sz="4" w:color="172B4D" w:space="0"/>
              <w:right w:val="single" w:sz="4" w:color="172B4D" w:space="0"/>
            </w:tcBorders>
            <w:tcMar>
              <w:top w:w="80" w:type="dxa"/>
              <w:left w:w="160" w:type="dxa"/>
              <w:bottom w:w="80" w:type="dxa"/>
              <w:right w:w="140" w:type="dxa"/>
            </w:tcMar>
          </w:tcPr>
          <w:p>
            <w:pPr>
              <w:spacing w:after="60"/>
            </w:pPr>
            <w:r>
              <w:rPr>
                <w:b/>
                <w:color w:val="172B4D"/>
                <w:sz w:val="21"/>
              </w:rPr>
              <w:t>Ficha del tema</w:t>
            </w:r>
          </w:p>
          <w:p>
            <w:pPr>
              <w:spacing w:after="50"/>
              <w:ind w:left="255" w:hanging="255"/>
              <w:jc w:val="both"/>
            </w:pPr>
            <w:r>
              <w:rPr>
                <w:sz w:val="20"/>
              </w:rPr>
              <w:t xml:space="preserve">•  </w:t>
            </w:r>
            <w:r>
              <w:rPr>
                <w:b/>
                <w:sz w:val="20"/>
              </w:rPr>
              <w:t>Sujetos:</w:t>
            </w:r>
            <w:r>
              <w:rPr>
                <w:sz w:val="20"/>
              </w:rPr>
              <w:t xml:space="preserve"> Poder Ejecutivo (Ministerio de Justicia); Congreso; legisladores autores de proyectos.</w:t>
            </w:r>
          </w:p>
          <w:p>
            <w:pPr>
              <w:spacing w:after="50"/>
              <w:ind w:left="255" w:hanging="255"/>
              <w:jc w:val="both"/>
            </w:pPr>
            <w:r>
              <w:rPr>
                <w:sz w:val="20"/>
              </w:rPr>
              <w:t xml:space="preserve">•  </w:t>
            </w:r>
            <w:r>
              <w:rPr>
                <w:b/>
                <w:sz w:val="20"/>
              </w:rPr>
              <w:t>Normativa vigente:</w:t>
            </w:r>
            <w:r>
              <w:rPr>
                <w:sz w:val="20"/>
              </w:rPr>
              <w:t xml:space="preserve"> art. 34, incs. 6 y 7, y art. 35 (sin modificar). </w:t>
            </w:r>
            <w:r>
              <w:rPr>
                <w:b/>
                <w:sz w:val="20"/>
              </w:rPr>
              <w:t>Proyectos:</w:t>
            </w:r>
            <w:r>
              <w:rPr>
                <w:sz w:val="20"/>
              </w:rPr>
              <w:t xml:space="preserve"> ver tabla.</w:t>
            </w:r>
          </w:p>
          <w:p>
            <w:pPr>
              <w:spacing w:after="50"/>
              <w:ind w:left="255" w:hanging="255"/>
              <w:jc w:val="both"/>
            </w:pPr>
            <w:r>
              <w:rPr>
                <w:sz w:val="20"/>
              </w:rPr>
              <w:t xml:space="preserve">•  </w:t>
            </w:r>
            <w:r>
              <w:rPr>
                <w:b/>
                <w:sz w:val="20"/>
              </w:rPr>
              <w:t>Elementos clave:</w:t>
            </w:r>
            <w:r>
              <w:rPr>
                <w:sz w:val="20"/>
              </w:rPr>
              <w:t xml:space="preserve"> presunciones; hogar sin nocturnidad; fuerzas de seguridad; violencia de género.</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ECEC"/>
            <w:tcBorders>
              <w:top w:val="single" w:sz="4" w:color="A83232" w:space="0"/>
              <w:left w:val="single" w:sz="24" w:color="A83232" w:space="0"/>
              <w:bottom w:val="single" w:sz="4" w:color="A83232" w:space="0"/>
              <w:right w:val="single" w:sz="4" w:color="A83232" w:space="0"/>
            </w:tcBorders>
            <w:tcMar>
              <w:top w:w="80" w:type="dxa"/>
              <w:left w:w="160" w:type="dxa"/>
              <w:bottom w:w="80" w:type="dxa"/>
              <w:right w:w="140" w:type="dxa"/>
            </w:tcMar>
          </w:tcPr>
          <w:p>
            <w:pPr>
              <w:spacing w:after="60"/>
            </w:pPr>
            <w:r>
              <w:rPr>
                <w:b/>
                <w:color w:val="A83232"/>
                <w:sz w:val="21"/>
              </w:rPr>
              <w:t>Estado informado (octubre de 2026) – A CONFIRMAR</w:t>
            </w:r>
          </w:p>
          <w:p>
            <w:pPr>
              <w:spacing w:after="50"/>
              <w:ind w:left="255" w:hanging="255"/>
              <w:jc w:val="both"/>
            </w:pPr>
            <w:r>
              <w:rPr>
                <w:sz w:val="20"/>
              </w:rPr>
              <w:t xml:space="preserve">•  Medios periodísticos de octubre de 2026 informan que el Poder Ejecutivo </w:t>
            </w:r>
            <w:r>
              <w:rPr>
                <w:b/>
                <w:sz w:val="20"/>
              </w:rPr>
              <w:t>enviaría</w:t>
            </w:r>
            <w:r>
              <w:rPr>
                <w:sz w:val="20"/>
              </w:rPr>
              <w:t xml:space="preserve"> al Congreso, antes de fin de año, una reforma integral del Código Penal, en un único proyecto, que incluiría cambios en la legítima defensa; no consta que haya sido remitida ni sancionada.</w:t>
            </w:r>
          </w:p>
          <w:p>
            <w:pPr>
              <w:spacing w:after="50"/>
              <w:ind w:left="255" w:hanging="255"/>
              <w:jc w:val="both"/>
            </w:pPr>
            <w:r>
              <w:rPr>
                <w:sz w:val="20"/>
              </w:rPr>
              <w:t xml:space="preserve">•  Según esas notas, el borrador favorecería a quien repele una agresión cuando haya dudas sobre la racionalidad del medio, extendería ese criterio a policías que usen la fuerza reglamentaria ante un peligro grave e inminente, y eliminaría la nocturnidad en ciertos ingresos violentos al domicilio. </w:t>
            </w:r>
            <w:r>
              <w:rPr>
                <w:b/>
                <w:sz w:val="20"/>
              </w:rPr>
              <w:t>No se pudo consultar el texto articulado.</w:t>
            </w:r>
            <w:r>
              <w:rPr>
                <w:sz w:val="20"/>
              </w:rPr>
              <w:t xml:space="preserve"> Otras notas hablan de idas y vueltas del texto (incluso de que habría sido congelado).</w:t>
            </w:r>
          </w:p>
          <w:p>
            <w:pPr>
              <w:spacing w:after="50"/>
              <w:ind w:left="255" w:hanging="255"/>
              <w:jc w:val="both"/>
            </w:pPr>
            <w:r>
              <w:rPr>
                <w:sz w:val="20"/>
              </w:rPr>
              <w:t xml:space="preserve">•  </w:t>
            </w:r>
            <w:r>
              <w:rPr>
                <w:b/>
                <w:sz w:val="20"/>
              </w:rPr>
              <w:t>Qué hacer antes de la conferencia:</w:t>
            </w:r>
            <w:r>
              <w:rPr>
                <w:sz w:val="20"/>
              </w:rPr>
              <w:t xml:space="preserve"> consultar el sitio del Ministerio de Justicia, el Boletín Oficial y los portales de la Cámara de Diputados y del Senado.</w:t>
            </w:r>
          </w:p>
        </w:tc>
      </w:tr>
    </w:tbl>
    <w:p>
      <w:pPr>
        <w:spacing w:after="40" w:line="120" w:lineRule="auto"/>
      </w:pPr>
    </w:p>
    <w:p>
      <w:pPr>
        <w:pStyle w:val="Heading2"/>
      </w:pPr>
      <w:r>
        <w:t>12.1. Proyectos parlamentarios individuales</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154"/>
            <w:shd w:val="clear" w:color="auto" w:fill="172B4D"/>
            <w:tcMar>
              <w:top w:w="50" w:type="dxa"/>
              <w:left w:w="80" w:type="dxa"/>
              <w:bottom w:w="50" w:type="dxa"/>
              <w:right w:w="80" w:type="dxa"/>
            </w:tcMar>
          </w:tcPr>
          <w:p>
            <w:pPr>
              <w:spacing w:after="0"/>
            </w:pPr>
            <w:r>
              <w:rPr>
                <w:b/>
                <w:color w:val="FFFFFF"/>
                <w:sz w:val="18"/>
              </w:rPr>
              <w:t>Expediente</w:t>
            </w:r>
          </w:p>
        </w:tc>
        <w:tc>
          <w:tcPr>
            <w:tcW w:type="dxa" w:w="4762"/>
            <w:shd w:val="clear" w:color="auto" w:fill="172B4D"/>
            <w:tcMar>
              <w:top w:w="50" w:type="dxa"/>
              <w:left w:w="80" w:type="dxa"/>
              <w:bottom w:w="50" w:type="dxa"/>
              <w:right w:w="80" w:type="dxa"/>
            </w:tcMar>
          </w:tcPr>
          <w:p>
            <w:pPr>
              <w:spacing w:after="0"/>
            </w:pPr>
            <w:r>
              <w:rPr>
                <w:b/>
                <w:color w:val="FFFFFF"/>
                <w:sz w:val="18"/>
              </w:rPr>
              <w:t>Contenido (según el texto o el resumen consultado)</w:t>
            </w:r>
          </w:p>
        </w:tc>
        <w:tc>
          <w:tcPr>
            <w:tcW w:type="dxa" w:w="2494"/>
            <w:shd w:val="clear" w:color="auto" w:fill="172B4D"/>
            <w:tcMar>
              <w:top w:w="50" w:type="dxa"/>
              <w:left w:w="80" w:type="dxa"/>
              <w:bottom w:w="50" w:type="dxa"/>
              <w:right w:w="80" w:type="dxa"/>
            </w:tcMar>
          </w:tcPr>
          <w:p>
            <w:pPr>
              <w:spacing w:after="0"/>
            </w:pPr>
            <w:r>
              <w:rPr>
                <w:b/>
                <w:color w:val="FFFFFF"/>
                <w:sz w:val="18"/>
              </w:rPr>
              <w:t>Estado de verificación</w:t>
            </w:r>
          </w:p>
        </w:tc>
      </w:tr>
      <w:tr>
        <w:trPr>
          <w:cantSplit w:val="true"/>
        </w:trPr>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HCDN 1661-D-2024</w:t>
            </w:r>
          </w:p>
        </w:tc>
        <w:tc>
          <w:tcPr>
            <w:tcW w:type="dxa" w:w="476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Sustituye el inc. 6 del art. 34; incorpora un supuesto privilegiado para ataques físicos en violencia de género intrafamiliar</w:t>
            </w:r>
          </w:p>
        </w:tc>
        <w:tc>
          <w:tcPr>
            <w:tcW w:type="dxa" w:w="249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VERIFICADO – resumen; leer el texto del proyecto</w:t>
            </w:r>
          </w:p>
        </w:tc>
      </w:tr>
      <w:tr>
        <w:trPr>
          <w:cantSplit w:val="true"/>
        </w:trPr>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HCDN 0791-D-2021</w:t>
            </w:r>
          </w:p>
        </w:tc>
        <w:tc>
          <w:tcPr>
            <w:tcW w:type="dxa" w:w="476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Derogaría los incs. 4, 6 y 7 del art. 34 y crearía un art. 34 bis</w:t>
            </w:r>
          </w:p>
        </w:tc>
        <w:tc>
          <w:tcPr>
            <w:tcW w:type="dxa" w:w="249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VERIFICADO – resumen; leer el texto del proyecto</w:t>
            </w:r>
          </w:p>
        </w:tc>
      </w:tr>
      <w:tr>
        <w:trPr>
          <w:cantSplit w:val="true"/>
        </w:trPr>
        <w:tc>
          <w:tcPr>
            <w:tcW w:type="dxa" w:w="215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HCDN 0616-D-2024 y 2647-D-2023</w:t>
            </w:r>
          </w:p>
        </w:tc>
        <w:tc>
          <w:tcPr>
            <w:tcW w:type="dxa" w:w="4762"/>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Modifican el inc. 6 (según la búsqueda efectuada)</w:t>
            </w:r>
          </w:p>
        </w:tc>
        <w:tc>
          <w:tcPr>
            <w:tcW w:type="dxa" w:w="249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A CONFIRMAR</w:t>
            </w:r>
          </w:p>
        </w:tc>
      </w:tr>
    </w:tbl>
    <w:p>
      <w:pPr>
        <w:spacing w:after="60"/>
      </w:pPr>
    </w:p>
    <w:p>
      <w:pPr>
        <w:pStyle w:val="Heading2"/>
      </w:pPr>
      <w:r>
        <w:t>12.2. Perspectivas de análisis</w:t>
      </w:r>
    </w:p>
    <w:p>
      <w:pPr>
        <w:spacing w:after="50"/>
        <w:ind w:left="595" w:hanging="255"/>
        <w:jc w:val="both"/>
      </w:pPr>
      <w:r>
        <w:t xml:space="preserve">•  </w:t>
      </w:r>
      <w:r>
        <w:rPr>
          <w:b/>
        </w:rPr>
        <w:t>A favor de ampliar presunciones:</w:t>
      </w:r>
      <w:r>
        <w:t xml:space="preserve"> mayor seguridad jurídica para quien se defiende, reducción de procesamientos en casos claros, protección del hogar.</w:t>
      </w:r>
    </w:p>
    <w:p>
      <w:pPr>
        <w:spacing w:after="50"/>
        <w:ind w:left="595" w:hanging="255"/>
        <w:jc w:val="both"/>
      </w:pPr>
      <w:r>
        <w:t xml:space="preserve">•  </w:t>
      </w:r>
      <w:r>
        <w:rPr>
          <w:b/>
        </w:rPr>
        <w:t>En contra:</w:t>
      </w:r>
      <w:r>
        <w:t xml:space="preserve"> riesgo de inversión de la carga de la prueba y de autorizar respuestas desproporcionadas; compatibilidad con los estándares internacionales sobre el derecho a la vida y sobre el uso de la fuerza.</w:t>
      </w:r>
    </w:p>
    <w:p>
      <w:pPr>
        <w:spacing w:after="50"/>
        <w:ind w:left="595" w:hanging="255"/>
        <w:jc w:val="both"/>
      </w:pPr>
      <w:r>
        <w:t xml:space="preserve">•  </w:t>
      </w:r>
      <w:r>
        <w:rPr>
          <w:b/>
        </w:rPr>
        <w:t>Cuestión técnica:</w:t>
      </w:r>
      <w:r>
        <w:t xml:space="preserve"> eliminar la nocturnidad extiende la presunción a situaciones menos indefensas; la expresión «cualquiera que sea el daño» exige repensar el límite de racionalidad.</w:t>
      </w:r>
    </w:p>
    <w:p>
      <w:pPr>
        <w:spacing w:after="50"/>
        <w:ind w:left="595" w:hanging="255"/>
        <w:jc w:val="both"/>
      </w:pPr>
      <w:r>
        <w:t xml:space="preserve">•  </w:t>
      </w:r>
      <w:r>
        <w:rPr>
          <w:b/>
        </w:rPr>
        <w:t>Para una conferencia:</w:t>
      </w:r>
      <w:r>
        <w:t xml:space="preserve"> presentar las propuestas con neutralidad y remitir al texto del proyecto, no a las notas de prensa.</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AF3F4"/>
            <w:tcBorders>
              <w:top w:val="single" w:sz="4" w:color="007980" w:space="0"/>
              <w:left w:val="single" w:sz="24" w:color="007980" w:space="0"/>
              <w:bottom w:val="single" w:sz="4" w:color="007980" w:space="0"/>
              <w:right w:val="single" w:sz="4" w:color="007980" w:space="0"/>
            </w:tcBorders>
            <w:tcMar>
              <w:top w:w="80" w:type="dxa"/>
              <w:left w:w="160" w:type="dxa"/>
              <w:bottom w:w="80" w:type="dxa"/>
              <w:right w:w="140" w:type="dxa"/>
            </w:tcMar>
          </w:tcPr>
          <w:p>
            <w:pPr>
              <w:spacing w:after="60"/>
            </w:pPr>
            <w:r>
              <w:rPr>
                <w:b/>
                <w:color w:val="007980"/>
                <w:sz w:val="21"/>
              </w:rPr>
              <w:t>Resumen del capítulo 12</w:t>
            </w:r>
          </w:p>
          <w:p>
            <w:pPr>
              <w:spacing w:after="50"/>
              <w:ind w:left="255" w:hanging="255"/>
              <w:jc w:val="both"/>
            </w:pPr>
            <w:r>
              <w:rPr>
                <w:sz w:val="20"/>
              </w:rPr>
              <w:t>•  El régimen vigente no ha cambiado: arts. 34, incs. 6 y 7, y 35.</w:t>
            </w:r>
          </w:p>
          <w:p>
            <w:pPr>
              <w:spacing w:after="50"/>
              <w:ind w:left="255" w:hanging="255"/>
              <w:jc w:val="both"/>
            </w:pPr>
            <w:r>
              <w:rPr>
                <w:sz w:val="20"/>
              </w:rPr>
              <w:t>•  Existe un proyecto del Ejecutivo informado por la prensa (octubre de 2026), no confirmado en su texto y estado.</w:t>
            </w:r>
          </w:p>
          <w:p>
            <w:pPr>
              <w:spacing w:after="50"/>
              <w:ind w:left="255" w:hanging="255"/>
              <w:jc w:val="both"/>
            </w:pPr>
            <w:r>
              <w:rPr>
                <w:sz w:val="20"/>
              </w:rPr>
              <w:t>•  Hay proyectos parlamentarios previos (2021–2024) sobre el inc. 6.</w:t>
            </w:r>
          </w:p>
          <w:p>
            <w:pPr>
              <w:spacing w:after="50"/>
              <w:ind w:left="255" w:hanging="255"/>
              <w:jc w:val="both"/>
            </w:pPr>
            <w:r>
              <w:rPr>
                <w:sz w:val="20"/>
              </w:rPr>
              <w:t>•  Reverificar el estado el día de la conferencia.</w:t>
            </w:r>
          </w:p>
        </w:tc>
      </w:tr>
    </w:tbl>
    <w:p>
      <w:pPr>
        <w:spacing w:after="40" w:line="120" w:lineRule="auto"/>
      </w:pPr>
    </w:p>
    <w:p>
      <w:pPr>
        <w:sectPr>
          <w:pgSz w:w="11906" w:h="16838"/>
          <w:pgMar w:top="1134" w:right="1247" w:bottom="1077" w:left="1247" w:header="454" w:footer="397" w:gutter="0"/>
          <w:cols w:space="720"/>
          <w:docGrid w:linePitch="360"/>
        </w:sectPr>
      </w:pP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23  ·  </w:t>
            </w:r>
            <w:r>
              <w:rPr>
                <w:b/>
                <w:color w:val="FFFFFF"/>
                <w:sz w:val="52"/>
              </w:rPr>
              <w:t>Reforma: qué dice la prensa (y qué no sabemos)</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sz w:val="50"/>
              </w:rPr>
              <w:t xml:space="preserve">Régimen </w:t>
            </w:r>
            <w:r>
              <w:rPr>
                <w:b/>
                <w:sz w:val="50"/>
              </w:rPr>
              <w:t>vigente</w:t>
            </w:r>
            <w:r>
              <w:rPr>
                <w:sz w:val="50"/>
              </w:rPr>
              <w:t>: arts. 34, incs. 6 y 7, y 35 — sin cambios</w:t>
            </w:r>
          </w:p>
          <w:p>
            <w:pPr>
              <w:spacing w:after="240"/>
              <w:ind w:left="397" w:hanging="397"/>
            </w:pPr>
            <w:r>
              <w:rPr>
                <w:color w:val="007980"/>
                <w:sz w:val="38"/>
              </w:rPr>
              <w:t xml:space="preserve">■  </w:t>
            </w:r>
            <w:r>
              <w:rPr>
                <w:sz w:val="50"/>
              </w:rPr>
              <w:t xml:space="preserve">Prensa (oct. 2026): el Ejecutivo </w:t>
            </w:r>
            <w:r>
              <w:rPr>
                <w:b/>
                <w:sz w:val="50"/>
              </w:rPr>
              <w:t>enviaría</w:t>
            </w:r>
            <w:r>
              <w:rPr>
                <w:sz w:val="50"/>
              </w:rPr>
              <w:t xml:space="preserve"> una reforma integral antes de fin de año</w:t>
            </w:r>
          </w:p>
          <w:p>
            <w:pPr>
              <w:spacing w:after="240"/>
              <w:ind w:left="397" w:hanging="397"/>
            </w:pPr>
            <w:r>
              <w:rPr>
                <w:color w:val="007980"/>
                <w:sz w:val="38"/>
              </w:rPr>
              <w:t xml:space="preserve">■  </w:t>
            </w:r>
            <w:r>
              <w:rPr>
                <w:sz w:val="50"/>
              </w:rPr>
              <w:t>Ejes informados: duda sobre racionalidad · policías · hogar sin nocturnidad</w:t>
            </w:r>
          </w:p>
          <w:p>
            <w:pPr>
              <w:spacing w:after="240"/>
              <w:ind w:left="397" w:hanging="397"/>
            </w:pPr>
            <w:r>
              <w:rPr>
                <w:color w:val="007980"/>
                <w:sz w:val="38"/>
              </w:rPr>
              <w:t xml:space="preserve">■  </w:t>
            </w:r>
            <w:r>
              <w:rPr>
                <w:b/>
                <w:sz w:val="50"/>
              </w:rPr>
              <w:t>No consta</w:t>
            </w:r>
            <w:r>
              <w:rPr>
                <w:sz w:val="50"/>
              </w:rPr>
              <w:t xml:space="preserve"> envío, texto articulado ni sanción</w:t>
            </w:r>
          </w:p>
          <w:p>
            <w:pPr>
              <w:spacing w:after="240"/>
              <w:ind w:left="397" w:hanging="397"/>
            </w:pPr>
            <w:r>
              <w:rPr>
                <w:color w:val="007980"/>
                <w:sz w:val="38"/>
              </w:rPr>
              <w:t xml:space="preserve">■  </w:t>
            </w:r>
            <w:r>
              <w:rPr>
                <w:sz w:val="50"/>
              </w:rPr>
              <w:t>Proyectos parlamentarios: HCDN 1661-D-2024 · 0791-D-2021</w:t>
            </w:r>
          </w:p>
        </w:tc>
      </w:tr>
    </w:tbl>
    <w:p>
      <w:pPr>
        <w:spacing w:before="120"/>
      </w:pPr>
      <w:r>
        <w:rPr>
          <w:i/>
          <w:color w:val="5A626E"/>
          <w:sz w:val="22"/>
        </w:rPr>
        <w:t>A CONFIRMAR: reverificar el día de la conferencia en fuentes oficiales.</w:t>
      </w:r>
    </w:p>
    <w:p>
      <w:pPr>
        <w:sectPr>
          <w:pgSz w:w="16838" w:h="11906" w:orient="landscape"/>
          <w:pgMar w:top="624" w:right="737" w:bottom="680" w:left="737" w:header="454" w:footer="397" w:gutter="0"/>
          <w:cols w:space="720"/>
          <w:docGrid w:linePitch="360"/>
        </w:sectPr>
      </w:pPr>
    </w:p>
    <w:p>
      <w:pPr>
        <w:pStyle w:val="Heading1"/>
      </w:pPr>
      <w:r>
        <w:t>Capítulo 13. Casos prácticos para la conferencia</w:t>
      </w:r>
    </w:p>
    <w:p>
      <w:pPr>
        <w:jc w:val="both"/>
      </w:pPr>
      <w:r>
        <w:t xml:space="preserve">Los casos son </w:t>
      </w:r>
      <w:r>
        <w:rPr>
          <w:b/>
        </w:rPr>
        <w:t>hipotéticos</w:t>
      </w:r>
      <w:r>
        <w:t xml:space="preserve"> y tienen finalidad didáctica. Cada uno incluye un análisis sugerido, que no pretende cerrar la discusión: puede usarse como ejercicio de votación con el auditorio.</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Caso 1. El intruso nocturno (apertura)</w:t>
            </w:r>
          </w:p>
          <w:p>
            <w:pPr>
              <w:spacing w:after="50"/>
              <w:ind w:left="255" w:hanging="255"/>
              <w:jc w:val="both"/>
            </w:pPr>
            <w:r>
              <w:rPr>
                <w:sz w:val="20"/>
              </w:rPr>
              <w:t xml:space="preserve">•  </w:t>
            </w:r>
            <w:r>
              <w:rPr>
                <w:b/>
                <w:sz w:val="20"/>
              </w:rPr>
              <w:t>Hechos.</w:t>
            </w:r>
            <w:r>
              <w:rPr>
                <w:sz w:val="20"/>
              </w:rPr>
              <w:t xml:space="preserve"> A las 3:10 de la madrugada, Marcos despierta por un ruido de vidrios. Baja y encuentra a un hombre que acaba de romper la ventana del living y que, al verlo, avanza con una barra de hierro. Marcos dispara con su arma registrada y lo mata.</w:t>
            </w:r>
          </w:p>
          <w:p>
            <w:pPr>
              <w:spacing w:after="50"/>
              <w:ind w:left="255" w:hanging="255"/>
              <w:jc w:val="both"/>
            </w:pPr>
            <w:r>
              <w:rPr>
                <w:sz w:val="20"/>
              </w:rPr>
              <w:t xml:space="preserve">•  </w:t>
            </w:r>
            <w:r>
              <w:rPr>
                <w:b/>
                <w:sz w:val="20"/>
              </w:rPr>
              <w:t>Análisis sugerido.</w:t>
            </w:r>
            <w:r>
              <w:rPr>
                <w:sz w:val="20"/>
              </w:rPr>
              <w:t xml:space="preserve"> Hay escalamiento o fractura nocturna sobre una morada habitada y resistencia: opera la presunción del art. 34, inc. 6 (párrafos 2.º y 3.º). Es relativa: debe verificarse que no hubo persecución, que el intruso no estaba rendido y que Marcos actuó con finalidad defensiva. Probable sobreseimiento o absolución.</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Caso 2. El ladrón que huye</w:t>
            </w:r>
          </w:p>
          <w:p>
            <w:pPr>
              <w:spacing w:after="50"/>
              <w:ind w:left="255" w:hanging="255"/>
              <w:jc w:val="both"/>
            </w:pPr>
            <w:r>
              <w:rPr>
                <w:sz w:val="20"/>
              </w:rPr>
              <w:t xml:space="preserve">•  </w:t>
            </w:r>
            <w:r>
              <w:rPr>
                <w:b/>
                <w:sz w:val="20"/>
              </w:rPr>
              <w:t>Hechos.</w:t>
            </w:r>
            <w:r>
              <w:rPr>
                <w:sz w:val="20"/>
              </w:rPr>
              <w:t xml:space="preserve"> Un ladrón arranca el teléfono a una persona en la calle y huye a 20 metros. La víctima, que lleva un arma, le dispara por la espalda y lo hiere.</w:t>
            </w:r>
          </w:p>
          <w:p>
            <w:pPr>
              <w:spacing w:after="50"/>
              <w:ind w:left="255" w:hanging="255"/>
              <w:jc w:val="both"/>
            </w:pPr>
            <w:r>
              <w:rPr>
                <w:sz w:val="20"/>
              </w:rPr>
              <w:t xml:space="preserve">•  </w:t>
            </w:r>
            <w:r>
              <w:rPr>
                <w:b/>
                <w:sz w:val="20"/>
              </w:rPr>
              <w:t>Análisis sugerido.</w:t>
            </w:r>
            <w:r>
              <w:rPr>
                <w:sz w:val="20"/>
              </w:rPr>
              <w:t xml:space="preserve"> La agresión cesó: el ladrón huye. No hay legítima defensa; el disparo por la espalda sobre un bien de escaso valor es irracional. Puede haber lesiones u homicidio doloso. Parte de la doctrina admite defender mientras dure la agresión (delito flagrante), pero la racionalidad no se cumple.</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Caso 3. La riña que escala</w:t>
            </w:r>
          </w:p>
          <w:p>
            <w:pPr>
              <w:spacing w:after="50"/>
              <w:ind w:left="255" w:hanging="255"/>
              <w:jc w:val="both"/>
            </w:pPr>
            <w:r>
              <w:rPr>
                <w:sz w:val="20"/>
              </w:rPr>
              <w:t xml:space="preserve">•  </w:t>
            </w:r>
            <w:r>
              <w:rPr>
                <w:b/>
                <w:sz w:val="20"/>
              </w:rPr>
              <w:t>Hechos.</w:t>
            </w:r>
            <w:r>
              <w:rPr>
                <w:sz w:val="20"/>
              </w:rPr>
              <w:t xml:space="preserve"> Dos amigos discuten y se golpean con los puños. Uno de ellos saca un cuchillo y apuñala al otro, que había quedado desarmado.</w:t>
            </w:r>
          </w:p>
          <w:p>
            <w:pPr>
              <w:spacing w:after="50"/>
              <w:ind w:left="255" w:hanging="255"/>
              <w:jc w:val="both"/>
            </w:pPr>
            <w:r>
              <w:rPr>
                <w:sz w:val="20"/>
              </w:rPr>
              <w:t xml:space="preserve">•  </w:t>
            </w:r>
            <w:r>
              <w:rPr>
                <w:b/>
                <w:sz w:val="20"/>
              </w:rPr>
              <w:t>Análisis sugerido.</w:t>
            </w:r>
            <w:r>
              <w:rPr>
                <w:sz w:val="20"/>
              </w:rPr>
              <w:t xml:space="preserve"> Los contendientes eran voluntarios, pero la escalada con un arma blanca es una agresión imprevisible que habilita la defensa del segundo. Quien saca el cuchillo no puede invocarla. Si el segundo lo desarma y lo hiere gravemente, se analizará la racionalidad del medio.</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Caso 4. La mujer golpeada que se defiende</w:t>
            </w:r>
          </w:p>
          <w:p>
            <w:pPr>
              <w:spacing w:after="50"/>
              <w:ind w:left="255" w:hanging="255"/>
              <w:jc w:val="both"/>
            </w:pPr>
            <w:r>
              <w:rPr>
                <w:sz w:val="20"/>
              </w:rPr>
              <w:t xml:space="preserve">•  </w:t>
            </w:r>
            <w:r>
              <w:rPr>
                <w:b/>
                <w:sz w:val="20"/>
              </w:rPr>
              <w:t>Hechos.</w:t>
            </w:r>
            <w:r>
              <w:rPr>
                <w:sz w:val="20"/>
              </w:rPr>
              <w:t xml:space="preserve"> Durante una golpiza, Laura toma un cuchillo de la cocina y hiere a su pareja, que muere. Tiene hematomas recientes y existen denuncias previas.</w:t>
            </w:r>
          </w:p>
          <w:p>
            <w:pPr>
              <w:spacing w:after="50"/>
              <w:ind w:left="255" w:hanging="255"/>
              <w:jc w:val="both"/>
            </w:pPr>
            <w:r>
              <w:rPr>
                <w:sz w:val="20"/>
              </w:rPr>
              <w:t xml:space="preserve">•  </w:t>
            </w:r>
            <w:r>
              <w:rPr>
                <w:b/>
                <w:sz w:val="20"/>
              </w:rPr>
              <w:t>Análisis sugerido.</w:t>
            </w:r>
            <w:r>
              <w:rPr>
                <w:sz w:val="20"/>
              </w:rPr>
              <w:t xml:space="preserve"> Hay agresión actual, desigualdad de fuerzas y medio al alcance. La permanencia en el hogar no es «sometimiento voluntario» (</w:t>
            </w:r>
            <w:r>
              <w:rPr>
                <w:i/>
                <w:sz w:val="20"/>
              </w:rPr>
              <w:t>Leiva</w:t>
            </w:r>
            <w:r>
              <w:rPr>
                <w:sz w:val="20"/>
              </w:rPr>
              <w:t>). Prueba clave: lesiones, denuncias y contexto. Solución probable: legítima defensa; subsidiariamente, exceso.</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Caso 5. La mujer y el agresor dormido</w:t>
            </w:r>
          </w:p>
          <w:p>
            <w:pPr>
              <w:spacing w:after="50"/>
              <w:ind w:left="255" w:hanging="255"/>
              <w:jc w:val="both"/>
            </w:pPr>
            <w:r>
              <w:rPr>
                <w:sz w:val="20"/>
              </w:rPr>
              <w:t xml:space="preserve">•  </w:t>
            </w:r>
            <w:r>
              <w:rPr>
                <w:b/>
                <w:sz w:val="20"/>
              </w:rPr>
              <w:t>Hechos.</w:t>
            </w:r>
            <w:r>
              <w:rPr>
                <w:sz w:val="20"/>
              </w:rPr>
              <w:t xml:space="preserve"> Tras años de violencia, Sandra mata a su pareja mientras duerme, después de una golpiza la noche anterior.</w:t>
            </w:r>
          </w:p>
          <w:p>
            <w:pPr>
              <w:spacing w:after="50"/>
              <w:ind w:left="255" w:hanging="255"/>
              <w:jc w:val="both"/>
            </w:pPr>
            <w:r>
              <w:rPr>
                <w:sz w:val="20"/>
              </w:rPr>
              <w:t xml:space="preserve">•  </w:t>
            </w:r>
            <w:r>
              <w:rPr>
                <w:b/>
                <w:sz w:val="20"/>
              </w:rPr>
              <w:t>Análisis sugerido.</w:t>
            </w:r>
            <w:r>
              <w:rPr>
                <w:sz w:val="20"/>
              </w:rPr>
              <w:t xml:space="preserve"> No hay agresión actual en sentido estricto. Se discute si la «inminencia» puede apreciarse en el ciclo de violencia. Opciones: legítima defensa por agresión continuada (si no había otra salida), estado de necesidad exculpante, inexigibilidad o, en el peor de los casos, homicidio calificado por el vínculo. Exige prueba pericial de contexto.</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Caso 6. El policía de franco</w:t>
            </w:r>
          </w:p>
          <w:p>
            <w:pPr>
              <w:spacing w:after="50"/>
              <w:ind w:left="255" w:hanging="255"/>
              <w:jc w:val="both"/>
            </w:pPr>
            <w:r>
              <w:rPr>
                <w:sz w:val="20"/>
              </w:rPr>
              <w:t xml:space="preserve">•  </w:t>
            </w:r>
            <w:r>
              <w:rPr>
                <w:b/>
                <w:sz w:val="20"/>
              </w:rPr>
              <w:t>Hechos.</w:t>
            </w:r>
            <w:r>
              <w:rPr>
                <w:sz w:val="20"/>
              </w:rPr>
              <w:t xml:space="preserve"> Un policía fuera de servicio presencia un asalto a un kiosco. Ordena detenerse al asaltante, que se gira apuntándole con un arma, y dispara.</w:t>
            </w:r>
          </w:p>
          <w:p>
            <w:pPr>
              <w:spacing w:after="50"/>
              <w:ind w:left="255" w:hanging="255"/>
              <w:jc w:val="both"/>
            </w:pPr>
            <w:r>
              <w:rPr>
                <w:sz w:val="20"/>
              </w:rPr>
              <w:t xml:space="preserve">•  </w:t>
            </w:r>
            <w:r>
              <w:rPr>
                <w:b/>
                <w:sz w:val="20"/>
              </w:rPr>
              <w:t>Análisis sugerido.</w:t>
            </w:r>
            <w:r>
              <w:rPr>
                <w:sz w:val="20"/>
              </w:rPr>
              <w:t xml:space="preserve"> Concurren legítima defensa propia y cumplimiento del deber (inc. 4). Se analizará si hubo advertencia, la amenaza efectiva y la proporcionalidad. Si el asaltante huía sin amenaza, se examinará el exceso (art. 35).</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Caso 7. La defensa del hermano</w:t>
            </w:r>
          </w:p>
          <w:p>
            <w:pPr>
              <w:spacing w:after="50"/>
              <w:ind w:left="255" w:hanging="255"/>
              <w:jc w:val="both"/>
            </w:pPr>
            <w:r>
              <w:rPr>
                <w:sz w:val="20"/>
              </w:rPr>
              <w:t xml:space="preserve">•  </w:t>
            </w:r>
            <w:r>
              <w:rPr>
                <w:b/>
                <w:sz w:val="20"/>
              </w:rPr>
              <w:t>Hechos.</w:t>
            </w:r>
            <w:r>
              <w:rPr>
                <w:sz w:val="20"/>
              </w:rPr>
              <w:t xml:space="preserve"> Pablo ve que un desconocido golpea a su hermano en la calle y lo empuja contra un auto. Pablo lo golpea con una barra, fracturándole un brazo.</w:t>
            </w:r>
          </w:p>
          <w:p>
            <w:pPr>
              <w:spacing w:after="50"/>
              <w:ind w:left="255" w:hanging="255"/>
              <w:jc w:val="both"/>
            </w:pPr>
            <w:r>
              <w:rPr>
                <w:sz w:val="20"/>
              </w:rPr>
              <w:t xml:space="preserve">•  </w:t>
            </w:r>
            <w:r>
              <w:rPr>
                <w:b/>
                <w:sz w:val="20"/>
              </w:rPr>
              <w:t>Análisis sugerido.</w:t>
            </w:r>
            <w:r>
              <w:rPr>
                <w:sz w:val="20"/>
              </w:rPr>
              <w:t xml:space="preserve"> Defensa de terceros (inc. 7): agresión ilegítima y medio necesario. Debe analizarse que el hermano no haya provocado, o que Pablo no haya participado de la provocación. La barra puede ser racional frente a una agresión grave; no si era un empujón.</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Caso 8. El error del vecino</w:t>
            </w:r>
          </w:p>
          <w:p>
            <w:pPr>
              <w:spacing w:after="50"/>
              <w:ind w:left="255" w:hanging="255"/>
              <w:jc w:val="both"/>
            </w:pPr>
            <w:r>
              <w:rPr>
                <w:sz w:val="20"/>
              </w:rPr>
              <w:t xml:space="preserve">•  </w:t>
            </w:r>
            <w:r>
              <w:rPr>
                <w:b/>
                <w:sz w:val="20"/>
              </w:rPr>
              <w:t>Hechos.</w:t>
            </w:r>
            <w:r>
              <w:rPr>
                <w:sz w:val="20"/>
              </w:rPr>
              <w:t xml:space="preserve"> Un vecino ve a un joven forzando una puerta, cree que es un ladrón y lo reduce a golpes; el joven era el dueño que había olvidado las llaves.</w:t>
            </w:r>
          </w:p>
          <w:p>
            <w:pPr>
              <w:spacing w:after="50"/>
              <w:ind w:left="255" w:hanging="255"/>
              <w:jc w:val="both"/>
            </w:pPr>
            <w:r>
              <w:rPr>
                <w:sz w:val="20"/>
              </w:rPr>
              <w:t xml:space="preserve">•  </w:t>
            </w:r>
            <w:r>
              <w:rPr>
                <w:b/>
                <w:sz w:val="20"/>
              </w:rPr>
              <w:t>Análisis sugerido.</w:t>
            </w:r>
            <w:r>
              <w:rPr>
                <w:sz w:val="20"/>
              </w:rPr>
              <w:t xml:space="preserve"> Defensa putativa: error sobre los presupuestos. Si, en las circunstancias, el error era invencible (hora, aspecto, vecindad), no hay culpabilidad; si era vencible, se discute pena culposa de lesiones.</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Caso 9. El cerco electrificado</w:t>
            </w:r>
          </w:p>
          <w:p>
            <w:pPr>
              <w:spacing w:after="50"/>
              <w:ind w:left="255" w:hanging="255"/>
              <w:jc w:val="both"/>
            </w:pPr>
            <w:r>
              <w:rPr>
                <w:sz w:val="20"/>
              </w:rPr>
              <w:t xml:space="preserve">•  </w:t>
            </w:r>
            <w:r>
              <w:rPr>
                <w:b/>
                <w:sz w:val="20"/>
              </w:rPr>
              <w:t>Hechos.</w:t>
            </w:r>
            <w:r>
              <w:rPr>
                <w:sz w:val="20"/>
              </w:rPr>
              <w:t xml:space="preserve"> El dueño de una casa instala un cerco con electricidad de alta tensión en el muro; un intruso que intenta trepar muere electrocutado.</w:t>
            </w:r>
          </w:p>
          <w:p>
            <w:pPr>
              <w:spacing w:after="50"/>
              <w:ind w:left="255" w:hanging="255"/>
              <w:jc w:val="both"/>
            </w:pPr>
            <w:r>
              <w:rPr>
                <w:sz w:val="20"/>
              </w:rPr>
              <w:t xml:space="preserve">•  </w:t>
            </w:r>
            <w:r>
              <w:rPr>
                <w:b/>
                <w:sz w:val="20"/>
              </w:rPr>
              <w:t>Análisis sugerido.</w:t>
            </w:r>
            <w:r>
              <w:rPr>
                <w:sz w:val="20"/>
              </w:rPr>
              <w:t xml:space="preserve"> Es un dispositivo predispuesto (ofendículo). Si es letal y no advierte, es irracional; no se admite como defensa legítima (arts. 79 o 84, según el caso). Un dispositivo no letal, visible y proporcionado sí podría admitirse.</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Caso 10. La agresión del niño</w:t>
            </w:r>
          </w:p>
          <w:p>
            <w:pPr>
              <w:spacing w:after="50"/>
              <w:ind w:left="255" w:hanging="255"/>
              <w:jc w:val="both"/>
            </w:pPr>
            <w:r>
              <w:rPr>
                <w:sz w:val="20"/>
              </w:rPr>
              <w:t xml:space="preserve">•  </w:t>
            </w:r>
            <w:r>
              <w:rPr>
                <w:b/>
                <w:sz w:val="20"/>
              </w:rPr>
              <w:t>Hechos.</w:t>
            </w:r>
            <w:r>
              <w:rPr>
                <w:sz w:val="20"/>
              </w:rPr>
              <w:t xml:space="preserve"> Un niño de 10 años arroja piedras al auto de un vecino. El vecino lo golpea con un palo y le fractura una pierna.</w:t>
            </w:r>
          </w:p>
          <w:p>
            <w:pPr>
              <w:spacing w:after="50"/>
              <w:ind w:left="255" w:hanging="255"/>
              <w:jc w:val="both"/>
            </w:pPr>
            <w:r>
              <w:rPr>
                <w:sz w:val="20"/>
              </w:rPr>
              <w:t xml:space="preserve">•  </w:t>
            </w:r>
            <w:r>
              <w:rPr>
                <w:b/>
                <w:sz w:val="20"/>
              </w:rPr>
              <w:t>Análisis sugerido.</w:t>
            </w:r>
            <w:r>
              <w:rPr>
                <w:sz w:val="20"/>
              </w:rPr>
              <w:t xml:space="preserve"> La agresión de un niño es ilegítima, pero la defensa está restringida (límites ético-sociales): corresponde eludir o contener. El medio es irracional y puede haber lesiones dolosas o exceso.</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Caso 11. El forcejeo y el golpe de gracia</w:t>
            </w:r>
          </w:p>
          <w:p>
            <w:pPr>
              <w:spacing w:after="50"/>
              <w:ind w:left="255" w:hanging="255"/>
              <w:jc w:val="both"/>
            </w:pPr>
            <w:r>
              <w:rPr>
                <w:sz w:val="20"/>
              </w:rPr>
              <w:t xml:space="preserve">•  </w:t>
            </w:r>
            <w:r>
              <w:rPr>
                <w:b/>
                <w:sz w:val="20"/>
              </w:rPr>
              <w:t>Hechos.</w:t>
            </w:r>
            <w:r>
              <w:rPr>
                <w:sz w:val="20"/>
              </w:rPr>
              <w:t xml:space="preserve"> Un hombre es atacado con un cuchillo en un bar. Logra desarmar al atacante, lo derriba y le da cinco puñaladas.</w:t>
            </w:r>
          </w:p>
          <w:p>
            <w:pPr>
              <w:spacing w:after="50"/>
              <w:ind w:left="255" w:hanging="255"/>
              <w:jc w:val="both"/>
            </w:pPr>
            <w:r>
              <w:rPr>
                <w:sz w:val="20"/>
              </w:rPr>
              <w:t xml:space="preserve">•  </w:t>
            </w:r>
            <w:r>
              <w:rPr>
                <w:b/>
                <w:sz w:val="20"/>
              </w:rPr>
              <w:t>Análisis sugerido.</w:t>
            </w:r>
            <w:r>
              <w:rPr>
                <w:sz w:val="20"/>
              </w:rPr>
              <w:t xml:space="preserve"> Al desarmarlo cesó el peligro: las puñaladas posteriores no son defensa. Discutible si hay exceso extensivo o un hecho nuevo (según la persistencia del estado de miedo). Cf. SAIJ SUG0034562 («dos momentos»).</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Caso 12. La provocación previa</w:t>
            </w:r>
          </w:p>
          <w:p>
            <w:pPr>
              <w:spacing w:after="50"/>
              <w:ind w:left="255" w:hanging="255"/>
              <w:jc w:val="both"/>
            </w:pPr>
            <w:r>
              <w:rPr>
                <w:sz w:val="20"/>
              </w:rPr>
              <w:t xml:space="preserve">•  </w:t>
            </w:r>
            <w:r>
              <w:rPr>
                <w:b/>
                <w:sz w:val="20"/>
              </w:rPr>
              <w:t>Hechos.</w:t>
            </w:r>
            <w:r>
              <w:rPr>
                <w:sz w:val="20"/>
              </w:rPr>
              <w:t xml:space="preserve"> Un cliente insulta, escupe y empuja al encargado de un local para que lo saque. El encargado lo hace, el cliente saca un cuchillo y el encargado le dispara.</w:t>
            </w:r>
          </w:p>
          <w:p>
            <w:pPr>
              <w:spacing w:after="50"/>
              <w:ind w:left="255" w:hanging="255"/>
              <w:jc w:val="both"/>
            </w:pPr>
            <w:r>
              <w:rPr>
                <w:sz w:val="20"/>
              </w:rPr>
              <w:t xml:space="preserve">•  </w:t>
            </w:r>
            <w:r>
              <w:rPr>
                <w:b/>
                <w:sz w:val="20"/>
              </w:rPr>
              <w:t>Análisis sugerido.</w:t>
            </w:r>
            <w:r>
              <w:rPr>
                <w:sz w:val="20"/>
              </w:rPr>
              <w:t xml:space="preserve"> Si el cliente provocó suficientemente y el encargado se limitó a lo razonable, la provocación no es del defensor. La situación se invierte si el encargado hubiera provocado. La clave es quién generó el conflicto y quién superó la violencia.</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Caso 13. La defensa de la propiedad</w:t>
            </w:r>
          </w:p>
          <w:p>
            <w:pPr>
              <w:spacing w:after="50"/>
              <w:ind w:left="255" w:hanging="255"/>
              <w:jc w:val="both"/>
            </w:pPr>
            <w:r>
              <w:rPr>
                <w:sz w:val="20"/>
              </w:rPr>
              <w:t xml:space="preserve">•  </w:t>
            </w:r>
            <w:r>
              <w:rPr>
                <w:b/>
                <w:sz w:val="20"/>
              </w:rPr>
              <w:t>Hechos.</w:t>
            </w:r>
            <w:r>
              <w:rPr>
                <w:sz w:val="20"/>
              </w:rPr>
              <w:t xml:space="preserve"> Dos hombres rompen el vidrio de un auto y se llevan una mochila. El dueño sube a otro auto, los persigue y los embiste, hiriéndolos gravemente.</w:t>
            </w:r>
          </w:p>
          <w:p>
            <w:pPr>
              <w:spacing w:after="50"/>
              <w:ind w:left="255" w:hanging="255"/>
              <w:jc w:val="both"/>
            </w:pPr>
            <w:r>
              <w:rPr>
                <w:sz w:val="20"/>
              </w:rPr>
              <w:t xml:space="preserve">•  </w:t>
            </w:r>
            <w:r>
              <w:rPr>
                <w:b/>
                <w:sz w:val="20"/>
              </w:rPr>
              <w:t>Análisis sugerido.</w:t>
            </w:r>
            <w:r>
              <w:rPr>
                <w:sz w:val="20"/>
              </w:rPr>
              <w:t xml:space="preserve"> No hay legítima defensa: la agresión ya cesó, la persecución con un vehículo es irracional frente a un bien de escaso valor. Probablemente lesiones dolosas o culposas, según el dolo.</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F5E6"/>
            <w:tcBorders>
              <w:top w:val="single" w:sz="4" w:color="C99628" w:space="0"/>
              <w:left w:val="single" w:sz="24" w:color="C99628" w:space="0"/>
              <w:bottom w:val="single" w:sz="4" w:color="C99628" w:space="0"/>
              <w:right w:val="single" w:sz="4" w:color="C99628" w:space="0"/>
            </w:tcBorders>
            <w:tcMar>
              <w:top w:w="80" w:type="dxa"/>
              <w:left w:w="160" w:type="dxa"/>
              <w:bottom w:w="80" w:type="dxa"/>
              <w:right w:w="140" w:type="dxa"/>
            </w:tcMar>
          </w:tcPr>
          <w:p>
            <w:pPr>
              <w:spacing w:after="60"/>
            </w:pPr>
            <w:r>
              <w:rPr>
                <w:b/>
                <w:color w:val="C99628"/>
                <w:sz w:val="21"/>
              </w:rPr>
              <w:t>Caso 14. El policía y la vivienda (tomado de sumario SAIJ SUR0022804, parcial)</w:t>
            </w:r>
          </w:p>
          <w:p>
            <w:pPr>
              <w:spacing w:after="50"/>
              <w:ind w:left="255" w:hanging="255"/>
              <w:jc w:val="both"/>
            </w:pPr>
            <w:r>
              <w:rPr>
                <w:sz w:val="20"/>
              </w:rPr>
              <w:t xml:space="preserve">•  </w:t>
            </w:r>
            <w:r>
              <w:rPr>
                <w:b/>
                <w:sz w:val="20"/>
              </w:rPr>
              <w:t>Hechos.</w:t>
            </w:r>
            <w:r>
              <w:rPr>
                <w:sz w:val="20"/>
              </w:rPr>
              <w:t xml:space="preserve"> Un funcionario policial es imputado por lesiones graves con exceso en la legítima defensa tras efectuar varios disparos contra un hombre que ingresó a su vivienda para sustraer una bicicleta y otras pertenencias del patio.</w:t>
            </w:r>
          </w:p>
          <w:p>
            <w:pPr>
              <w:spacing w:after="50"/>
              <w:ind w:left="255" w:hanging="255"/>
              <w:jc w:val="both"/>
            </w:pPr>
            <w:r>
              <w:rPr>
                <w:sz w:val="20"/>
              </w:rPr>
              <w:t xml:space="preserve">•  </w:t>
            </w:r>
            <w:r>
              <w:rPr>
                <w:b/>
                <w:sz w:val="20"/>
              </w:rPr>
              <w:t>Análisis sugerido.</w:t>
            </w:r>
            <w:r>
              <w:rPr>
                <w:sz w:val="20"/>
              </w:rPr>
              <w:t xml:space="preserve"> El sumario recuperado informa un sobreseimiento. Se debate si, aun en un caso de intrusión, la reacción con varios disparos por un bien de escaso valor fue racional; es un buen caso para discutir la presunción del hogar y su límite.</w:t>
            </w:r>
          </w:p>
        </w:tc>
      </w:tr>
    </w:tbl>
    <w:p>
      <w:pPr>
        <w:spacing w:after="40" w:line="120" w:lineRule="auto"/>
      </w:pP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AF3F4"/>
            <w:tcBorders>
              <w:top w:val="single" w:sz="4" w:color="007980" w:space="0"/>
              <w:left w:val="single" w:sz="24" w:color="007980" w:space="0"/>
              <w:bottom w:val="single" w:sz="4" w:color="007980" w:space="0"/>
              <w:right w:val="single" w:sz="4" w:color="007980" w:space="0"/>
            </w:tcBorders>
            <w:tcMar>
              <w:top w:w="80" w:type="dxa"/>
              <w:left w:w="160" w:type="dxa"/>
              <w:bottom w:w="80" w:type="dxa"/>
              <w:right w:w="140" w:type="dxa"/>
            </w:tcMar>
          </w:tcPr>
          <w:p>
            <w:pPr>
              <w:spacing w:after="60"/>
            </w:pPr>
            <w:r>
              <w:rPr>
                <w:b/>
                <w:color w:val="007980"/>
                <w:sz w:val="21"/>
              </w:rPr>
              <w:t>Resumen del capítulo 13</w:t>
            </w:r>
          </w:p>
          <w:p>
            <w:pPr>
              <w:spacing w:after="50"/>
              <w:ind w:left="255" w:hanging="255"/>
              <w:jc w:val="both"/>
            </w:pPr>
            <w:r>
              <w:rPr>
                <w:sz w:val="20"/>
              </w:rPr>
              <w:t>•  Hogar: la presunción cubre el rechazo del ingreso, no la persecución.</w:t>
            </w:r>
          </w:p>
          <w:p>
            <w:pPr>
              <w:spacing w:after="50"/>
              <w:ind w:left="255" w:hanging="255"/>
              <w:jc w:val="both"/>
            </w:pPr>
            <w:r>
              <w:rPr>
                <w:sz w:val="20"/>
              </w:rPr>
              <w:t>•  Violencia de género: inminencia y contexto; valorar la prueba con perspectiva de género.</w:t>
            </w:r>
          </w:p>
          <w:p>
            <w:pPr>
              <w:spacing w:after="50"/>
              <w:ind w:left="255" w:hanging="255"/>
              <w:jc w:val="both"/>
            </w:pPr>
            <w:r>
              <w:rPr>
                <w:sz w:val="20"/>
              </w:rPr>
              <w:t>•  Fuerzas de seguridad: cumplimiento del deber con límites estrictos.</w:t>
            </w:r>
          </w:p>
          <w:p>
            <w:pPr>
              <w:spacing w:after="50"/>
              <w:ind w:left="255" w:hanging="255"/>
              <w:jc w:val="both"/>
            </w:pPr>
            <w:r>
              <w:rPr>
                <w:sz w:val="20"/>
              </w:rPr>
              <w:t xml:space="preserve">•  Siempre: analizar </w:t>
            </w:r>
            <w:r>
              <w:rPr>
                <w:b/>
                <w:sz w:val="20"/>
              </w:rPr>
              <w:t>cuándo</w:t>
            </w:r>
            <w:r>
              <w:rPr>
                <w:sz w:val="20"/>
              </w:rPr>
              <w:t xml:space="preserve"> cesó la agresión y </w:t>
            </w:r>
            <w:r>
              <w:rPr>
                <w:b/>
                <w:sz w:val="20"/>
              </w:rPr>
              <w:t>qué medios</w:t>
            </w:r>
            <w:r>
              <w:rPr>
                <w:sz w:val="20"/>
              </w:rPr>
              <w:t xml:space="preserve"> se usaron.</w:t>
            </w:r>
          </w:p>
        </w:tc>
      </w:tr>
    </w:tbl>
    <w:p>
      <w:pPr>
        <w:spacing w:after="40" w:line="120" w:lineRule="auto"/>
      </w:pPr>
    </w:p>
    <w:p>
      <w:pPr>
        <w:sectPr>
          <w:pgSz w:w="11906" w:h="16838"/>
          <w:pgMar w:top="1134" w:right="1247" w:bottom="1077" w:left="1247" w:header="454" w:footer="397" w:gutter="0"/>
          <w:cols w:space="720"/>
          <w:docGrid w:linePitch="360"/>
        </w:sectPr>
      </w:pP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24  ·  </w:t>
            </w:r>
            <w:r>
              <w:rPr>
                <w:b/>
                <w:color w:val="FFFFFF"/>
                <w:sz w:val="52"/>
              </w:rPr>
              <w:t>Casos para debatir (1/2)</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b/>
                <w:sz w:val="50"/>
              </w:rPr>
              <w:t>Caso 1:</w:t>
            </w:r>
            <w:r>
              <w:rPr>
                <w:sz w:val="50"/>
              </w:rPr>
              <w:t xml:space="preserve"> intruso nocturno que rompe la ventana — ¿presunción?</w:t>
            </w:r>
          </w:p>
          <w:p>
            <w:pPr>
              <w:spacing w:after="240"/>
              <w:ind w:left="397" w:hanging="397"/>
            </w:pPr>
            <w:r>
              <w:rPr>
                <w:color w:val="007980"/>
                <w:sz w:val="38"/>
              </w:rPr>
              <w:t xml:space="preserve">■  </w:t>
            </w:r>
            <w:r>
              <w:rPr>
                <w:b/>
                <w:sz w:val="50"/>
              </w:rPr>
              <w:t>Caso 2:</w:t>
            </w:r>
            <w:r>
              <w:rPr>
                <w:sz w:val="50"/>
              </w:rPr>
              <w:t xml:space="preserve"> el ladrón que huye con el celular — ¿defensa?</w:t>
            </w:r>
          </w:p>
          <w:p>
            <w:pPr>
              <w:spacing w:after="240"/>
              <w:ind w:left="397" w:hanging="397"/>
            </w:pPr>
            <w:r>
              <w:rPr>
                <w:color w:val="007980"/>
                <w:sz w:val="38"/>
              </w:rPr>
              <w:t xml:space="preserve">■  </w:t>
            </w:r>
            <w:r>
              <w:rPr>
                <w:b/>
                <w:sz w:val="50"/>
              </w:rPr>
              <w:t>Caso 4:</w:t>
            </w:r>
            <w:r>
              <w:rPr>
                <w:sz w:val="50"/>
              </w:rPr>
              <w:t xml:space="preserve"> mujer golpeada y cuchillo de cocina — ¿</w:t>
            </w:r>
            <w:r>
              <w:rPr>
                <w:i/>
                <w:sz w:val="50"/>
              </w:rPr>
              <w:t>Leiva</w:t>
            </w:r>
            <w:r>
              <w:rPr>
                <w:sz w:val="50"/>
              </w:rPr>
              <w:t>?</w:t>
            </w:r>
          </w:p>
          <w:p>
            <w:pPr>
              <w:spacing w:after="240"/>
              <w:ind w:left="397" w:hanging="397"/>
            </w:pPr>
            <w:r>
              <w:rPr>
                <w:color w:val="007980"/>
                <w:sz w:val="38"/>
              </w:rPr>
              <w:t xml:space="preserve">■  </w:t>
            </w:r>
            <w:r>
              <w:rPr>
                <w:b/>
                <w:sz w:val="50"/>
              </w:rPr>
              <w:t>Caso 5:</w:t>
            </w:r>
            <w:r>
              <w:rPr>
                <w:sz w:val="50"/>
              </w:rPr>
              <w:t xml:space="preserve"> mujer y agresor dormido — ¿inminencia?</w:t>
            </w:r>
          </w:p>
          <w:p>
            <w:pPr>
              <w:spacing w:after="240"/>
              <w:ind w:left="397" w:hanging="397"/>
            </w:pPr>
            <w:r>
              <w:rPr>
                <w:color w:val="007980"/>
                <w:sz w:val="38"/>
              </w:rPr>
              <w:t xml:space="preserve">■  </w:t>
            </w:r>
            <w:r>
              <w:rPr>
                <w:b/>
                <w:sz w:val="50"/>
              </w:rPr>
              <w:t>Caso 6:</w:t>
            </w:r>
            <w:r>
              <w:rPr>
                <w:sz w:val="50"/>
              </w:rPr>
              <w:t xml:space="preserve"> policía de franco ante un asalto</w:t>
            </w:r>
          </w:p>
        </w:tc>
      </w:tr>
    </w:tbl>
    <w:p>
      <w:pPr>
        <w:spacing w:before="120"/>
      </w:pPr>
      <w:r>
        <w:rPr>
          <w:i/>
          <w:color w:val="5A626E"/>
          <w:sz w:val="22"/>
        </w:rPr>
        <w:t>Votación con el auditorio: ¿legítima defensa, exceso o delito?</w:t>
      </w:r>
    </w:p>
    <w:p>
      <w:pPr>
        <w:spacing w:after="0"/>
      </w:pPr>
      <w:r>
        <w:br w:type="page"/>
      </w: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25  ·  </w:t>
            </w:r>
            <w:r>
              <w:rPr>
                <w:b/>
                <w:color w:val="FFFFFF"/>
                <w:sz w:val="52"/>
              </w:rPr>
              <w:t>Casos para debatir (2/2)</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b/>
                <w:sz w:val="50"/>
              </w:rPr>
              <w:t>Caso 8:</w:t>
            </w:r>
            <w:r>
              <w:rPr>
                <w:sz w:val="50"/>
              </w:rPr>
              <w:t xml:space="preserve"> el vecino que reduce al dueño de casa — defensa putativa</w:t>
            </w:r>
          </w:p>
          <w:p>
            <w:pPr>
              <w:spacing w:after="240"/>
              <w:ind w:left="397" w:hanging="397"/>
            </w:pPr>
            <w:r>
              <w:rPr>
                <w:color w:val="007980"/>
                <w:sz w:val="38"/>
              </w:rPr>
              <w:t xml:space="preserve">■  </w:t>
            </w:r>
            <w:r>
              <w:rPr>
                <w:b/>
                <w:sz w:val="50"/>
              </w:rPr>
              <w:t>Caso 9:</w:t>
            </w:r>
            <w:r>
              <w:rPr>
                <w:sz w:val="50"/>
              </w:rPr>
              <w:t xml:space="preserve"> cerco electrificado — ofendículo letal</w:t>
            </w:r>
          </w:p>
          <w:p>
            <w:pPr>
              <w:spacing w:after="240"/>
              <w:ind w:left="397" w:hanging="397"/>
            </w:pPr>
            <w:r>
              <w:rPr>
                <w:color w:val="007980"/>
                <w:sz w:val="38"/>
              </w:rPr>
              <w:t xml:space="preserve">■  </w:t>
            </w:r>
            <w:r>
              <w:rPr>
                <w:b/>
                <w:sz w:val="50"/>
              </w:rPr>
              <w:t>Caso 11:</w:t>
            </w:r>
            <w:r>
              <w:rPr>
                <w:sz w:val="50"/>
              </w:rPr>
              <w:t xml:space="preserve"> la puñalada de más — exceso o hecho nuevo</w:t>
            </w:r>
          </w:p>
          <w:p>
            <w:pPr>
              <w:spacing w:after="240"/>
              <w:ind w:left="397" w:hanging="397"/>
            </w:pPr>
            <w:r>
              <w:rPr>
                <w:color w:val="007980"/>
                <w:sz w:val="38"/>
              </w:rPr>
              <w:t xml:space="preserve">■  </w:t>
            </w:r>
            <w:r>
              <w:rPr>
                <w:b/>
                <w:sz w:val="50"/>
              </w:rPr>
              <w:t>Caso 13:</w:t>
            </w:r>
            <w:r>
              <w:rPr>
                <w:sz w:val="50"/>
              </w:rPr>
              <w:t xml:space="preserve"> persecución en auto — la agresión ya cesó</w:t>
            </w:r>
          </w:p>
        </w:tc>
      </w:tr>
    </w:tbl>
    <w:p>
      <w:pPr>
        <w:spacing w:before="120"/>
      </w:pPr>
      <w:r>
        <w:rPr>
          <w:i/>
          <w:color w:val="5A626E"/>
          <w:sz w:val="22"/>
        </w:rPr>
        <w:t>Análisis sugerido: capítulo 13.</w:t>
      </w:r>
    </w:p>
    <w:p>
      <w:pPr>
        <w:sectPr>
          <w:pgSz w:w="16838" w:h="11906" w:orient="landscape"/>
          <w:pgMar w:top="624" w:right="737" w:bottom="680" w:left="737" w:header="454" w:footer="397" w:gutter="0"/>
          <w:cols w:space="720"/>
          <w:docGrid w:linePitch="360"/>
        </w:sectPr>
      </w:pPr>
    </w:p>
    <w:p>
      <w:pPr>
        <w:pStyle w:val="Heading1"/>
      </w:pPr>
      <w:r>
        <w:t>Capítulo 14. Jurisprudencia: tabla de referencia</w:t>
      </w:r>
    </w:p>
    <w:p>
      <w:pPr>
        <w:jc w:val="both"/>
      </w:pPr>
      <w:r>
        <w:t xml:space="preserve">Resumen de las decisiones citadas, ordenadas por tribunal. Las URLs completas están en el capítulo 16. Recuérdese que </w:t>
      </w:r>
      <w:r>
        <w:rPr>
          <w:b/>
        </w:rPr>
        <w:t>los sumarios del SAIJ recuperados no identifican el tribunal</w:t>
      </w:r>
      <w:r>
        <w:t>: completar la ficha en la fuente antes de citar.</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4025"/>
            <w:shd w:val="clear" w:color="auto" w:fill="172B4D"/>
            <w:tcMar>
              <w:top w:w="50" w:type="dxa"/>
              <w:left w:w="80" w:type="dxa"/>
              <w:bottom w:w="50" w:type="dxa"/>
              <w:right w:w="80" w:type="dxa"/>
            </w:tcMar>
          </w:tcPr>
          <w:p>
            <w:pPr>
              <w:spacing w:after="0"/>
            </w:pPr>
            <w:r>
              <w:rPr>
                <w:b/>
                <w:color w:val="FFFFFF"/>
                <w:sz w:val="16"/>
              </w:rPr>
              <w:t>Tribunal / fuente</w:t>
            </w:r>
          </w:p>
        </w:tc>
        <w:tc>
          <w:tcPr>
            <w:tcW w:type="dxa" w:w="1531"/>
            <w:shd w:val="clear" w:color="auto" w:fill="172B4D"/>
            <w:tcMar>
              <w:top w:w="50" w:type="dxa"/>
              <w:left w:w="80" w:type="dxa"/>
              <w:bottom w:w="50" w:type="dxa"/>
              <w:right w:w="80" w:type="dxa"/>
            </w:tcMar>
          </w:tcPr>
          <w:p>
            <w:pPr>
              <w:spacing w:after="0"/>
            </w:pPr>
            <w:r>
              <w:rPr>
                <w:b/>
                <w:color w:val="FFFFFF"/>
                <w:sz w:val="16"/>
              </w:rPr>
              <w:t>Fecha</w:t>
            </w:r>
          </w:p>
        </w:tc>
        <w:tc>
          <w:tcPr>
            <w:tcW w:type="dxa" w:w="2665"/>
            <w:shd w:val="clear" w:color="auto" w:fill="172B4D"/>
            <w:tcMar>
              <w:top w:w="50" w:type="dxa"/>
              <w:left w:w="80" w:type="dxa"/>
              <w:bottom w:w="50" w:type="dxa"/>
              <w:right w:w="80" w:type="dxa"/>
            </w:tcMar>
          </w:tcPr>
          <w:p>
            <w:pPr>
              <w:spacing w:after="0"/>
            </w:pPr>
            <w:r>
              <w:rPr>
                <w:b/>
                <w:color w:val="FFFFFF"/>
                <w:sz w:val="16"/>
              </w:rPr>
              <w:t>Tema</w:t>
            </w:r>
          </w:p>
        </w:tc>
        <w:tc>
          <w:tcPr>
            <w:tcW w:type="dxa" w:w="1191"/>
            <w:shd w:val="clear" w:color="auto" w:fill="172B4D"/>
            <w:tcMar>
              <w:top w:w="50" w:type="dxa"/>
              <w:left w:w="80" w:type="dxa"/>
              <w:bottom w:w="50" w:type="dxa"/>
              <w:right w:w="80" w:type="dxa"/>
            </w:tcMar>
          </w:tcPr>
          <w:p>
            <w:pPr>
              <w:spacing w:after="0"/>
            </w:pPr>
            <w:r>
              <w:rPr>
                <w:b/>
                <w:color w:val="FFFFFF"/>
                <w:sz w:val="16"/>
              </w:rPr>
              <w:t>Estado</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b/>
                <w:sz w:val="16"/>
              </w:rPr>
              <w:t>CSJN – «Leiva, María Cecilia s/ homicidio simple»</w:t>
            </w:r>
            <w:r>
              <w:rPr>
                <w:sz w:val="16"/>
              </w:rPr>
              <w:t xml:space="preserve"> (Fallos 334:1204)</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01/11/2011</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Género; revisión amplia de condena; valoración de prueba de legítima defensa</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VERIFICADO – oficial</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b/>
                <w:sz w:val="16"/>
              </w:rPr>
              <w:t>CSJN – «San Roque, Melina s/ exceso en la legítima defensa»</w:t>
            </w:r>
            <w:r>
              <w:rPr>
                <w:sz w:val="16"/>
              </w:rPr>
              <w:t xml:space="preserve"> (CSJ 496/2026/RH1)</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02/07/2026</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Queja desestimada por incumplimiento de intimación</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VERIFICADO – oficial (parcial)</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CSJN – «Casal» (Fallos 328:3399) y «Salto» (Fallos 329:530)</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 xml:space="preserve">Citados en el sumario oficial de </w:t>
            </w:r>
            <w:r>
              <w:rPr>
                <w:i/>
                <w:sz w:val="16"/>
              </w:rPr>
              <w:t>Leiva</w:t>
            </w:r>
            <w:r>
              <w:rPr>
                <w:sz w:val="16"/>
              </w:rPr>
              <w:t xml:space="preserve"> (revisión de condenas)</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Citados en fuente oficial</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TSJ Córdoba, Sala Penal – sent. 507, «L., A. Q. y otro»</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12/11/2020</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 xml:space="preserve">Defensa de terceros; género; </w:t>
            </w:r>
            <w:r>
              <w:rPr>
                <w:i/>
                <w:sz w:val="16"/>
              </w:rPr>
              <w:t>in dubio</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A CONFIRMAR</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TSJ Córdoba – sent. 313, «Molina, Omar Eduardo»</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17/11/2008</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Arma de fuego; reacción irracional</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A CONFIRMAR</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TSJ Córdoba – sent. 207, «Palma, J. C.»</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13/08/2008</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Art. 34 o 35</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A CONFIRMAR</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TSJ Córdoba – «Ocanto» (prensa)</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2026</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Homicidio simple → exceso; pena de 8 a 3 años</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A CONFIRMAR</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Cámara Nacional de Casación – «Chocobar»</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05/2024</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Exceso en el cumplimiento del deber; nuevo juicio</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A CONFIRMAR</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SAIJ SUL0006724</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21/03/2023</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Absolución por defensa propia y de terceros; arbitrariedad</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VERIFICADO – sumario (fragmento)</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SAIJ SUB0962927</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25/03/2022</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Violación grupal; absolución</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VERIFICADO – sumario</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SAIJ SUR0022636</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24/11/2021</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Hogar; presunción iuris tantum</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VERIFICADO – sumario</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SAIJ SUG0034562</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20/09/2023</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Dos momentos; no hay defensa en el segundo</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VERIFICADO – sumario</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SAIJ SUJ0050383</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20/09/2022</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Exceso exige finalidad defensiva inicial</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VERIFICADO – sumario</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SAIJ SUF0085447 / SUF0085448</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06/02/2023</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Provocación suficiente; abuso vs. exceso</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VERIFICADO – sumario (parcial)</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SAIJ SUB0962926</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16/03/2022</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Policía; deber y defensa propia</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VERIFICADO – sumario</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SAIJ SUG0034931</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15/05/2024</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Fuerzas de seguridad; no hay agresión ilegítima</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VERIFICADO – sumario (fragmento)</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SAIJ SUR0022804</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19/04/2023</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Policía en su vivienda; exceso</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VERIFICADO – sumario (fragmento)</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SAIJ SUR0023870</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01/08/2025</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Policía de tránsito; exceso</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VERIFICADO – sumario (fragmento)</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SAIJ SUG0035447</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09/05/2025</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Homicidio simple; justificante o exceso</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VERIFICADO – sumario (fragmento)</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SAIJ SUG0035635</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25/07/2025</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Exceso; disidencia por legítima defensa</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VERIFICADO – sumario (fragmento)</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SAIJ SUG0035674</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04/09/2025</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Exceso; pareja; estándares CSJN y Corte IDH</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VERIFICADO – sumario (fragmento)</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SAIJ SUW0003151</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06/06/2023</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Género; medio al alcance de la mano</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VERIFICADO – sumario</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SAIJ SUA0083365 / SUA0083366</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23/02/2023</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Género; sentencia arbitraria; discapacidad; abuso sexual</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VERIFICADO – sumario (fragmento)</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SAIJ SUU0014956</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30/12/2024</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Género; inminencia no como instante</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VERIFICADO – sumario (fragmento)</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SAIJ SUH0006470 / SU20007522</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26/08/2021; 06/06/2024</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Límites de la perspectiva de género</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VERIFICADO – sumario (fragmento)</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SAIJ SUJ0050957 / SUJ0053723 / SUJ0053705</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29/11/2022; 19/11/2024; 26/11/2024</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Arbitrariedad; absolución por duda; exceso</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6"/>
              </w:rPr>
              <w:t>VERIFICADO – sumario (fragmento)</w:t>
            </w:r>
          </w:p>
        </w:tc>
      </w:tr>
      <w:tr>
        <w:trPr>
          <w:cantSplit w:val="true"/>
        </w:trPr>
        <w:tc>
          <w:tcPr>
            <w:tcW w:type="dxa" w:w="402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SAIJ SUJ0052532</w:t>
            </w:r>
          </w:p>
        </w:tc>
        <w:tc>
          <w:tcPr>
            <w:tcW w:type="dxa" w:w="153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05/03/2024</w:t>
            </w:r>
          </w:p>
        </w:tc>
        <w:tc>
          <w:tcPr>
            <w:tcW w:type="dxa" w:w="2665"/>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Error de prohibición / defensa</w:t>
            </w:r>
          </w:p>
        </w:tc>
        <w:tc>
          <w:tcPr>
            <w:tcW w:type="dxa" w:w="1191"/>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6"/>
              </w:rPr>
              <w:t>VERIFICADO – sumario (fragmento)</w:t>
            </w:r>
          </w:p>
        </w:tc>
      </w:tr>
    </w:tbl>
    <w:p>
      <w:pPr>
        <w:spacing w:after="60"/>
      </w:pPr>
    </w:p>
    <w:p>
      <w:pPr>
        <w:sectPr>
          <w:pgSz w:w="11906" w:h="16838"/>
          <w:pgMar w:top="1134" w:right="1247" w:bottom="1077" w:left="1247" w:header="454" w:footer="397" w:gutter="0"/>
          <w:cols w:space="720"/>
          <w:docGrid w:linePitch="360"/>
        </w:sectPr>
      </w:pP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26  ·  </w:t>
            </w:r>
            <w:r>
              <w:rPr>
                <w:b/>
                <w:color w:val="FFFFFF"/>
                <w:sz w:val="52"/>
              </w:rPr>
              <w:t>Jurisprudencia de referencia</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b/>
                <w:sz w:val="50"/>
              </w:rPr>
              <w:t>CSJN, «Leiva» (Fallos 334:1204, 2011)</w:t>
            </w:r>
            <w:r>
              <w:rPr>
                <w:sz w:val="50"/>
              </w:rPr>
              <w:t xml:space="preserve"> — género y valoración de la prueba · </w:t>
            </w:r>
            <w:r>
              <w:rPr>
                <w:i/>
                <w:sz w:val="50"/>
              </w:rPr>
              <w:t>oficial</w:t>
            </w:r>
          </w:p>
          <w:p>
            <w:pPr>
              <w:spacing w:after="240"/>
              <w:ind w:left="397" w:hanging="397"/>
            </w:pPr>
            <w:r>
              <w:rPr>
                <w:color w:val="007980"/>
                <w:sz w:val="38"/>
              </w:rPr>
              <w:t xml:space="preserve">■  </w:t>
            </w:r>
            <w:r>
              <w:rPr>
                <w:b/>
                <w:sz w:val="50"/>
              </w:rPr>
              <w:t>CSJN, «San Roque» (CSJ 496/2026/RH1)</w:t>
            </w:r>
            <w:r>
              <w:rPr>
                <w:sz w:val="50"/>
              </w:rPr>
              <w:t xml:space="preserve"> — exceso; queja desestimada por defecto formal · </w:t>
            </w:r>
            <w:r>
              <w:rPr>
                <w:i/>
                <w:sz w:val="50"/>
              </w:rPr>
              <w:t>oficial</w:t>
            </w:r>
          </w:p>
          <w:p>
            <w:pPr>
              <w:spacing w:after="240"/>
              <w:ind w:left="397" w:hanging="397"/>
            </w:pPr>
            <w:r>
              <w:rPr>
                <w:color w:val="007980"/>
                <w:sz w:val="38"/>
              </w:rPr>
              <w:t xml:space="preserve">■  </w:t>
            </w:r>
            <w:r>
              <w:rPr>
                <w:b/>
                <w:sz w:val="50"/>
              </w:rPr>
              <w:t>TSJ Córdoba, sent. 507/2020</w:t>
            </w:r>
            <w:r>
              <w:rPr>
                <w:sz w:val="50"/>
              </w:rPr>
              <w:t xml:space="preserve"> — defensa de terceros, género, </w:t>
            </w:r>
            <w:r>
              <w:rPr>
                <w:i/>
                <w:sz w:val="50"/>
              </w:rPr>
              <w:t>in dubio</w:t>
            </w:r>
            <w:r>
              <w:rPr>
                <w:sz w:val="50"/>
              </w:rPr>
              <w:t xml:space="preserve"> · </w:t>
            </w:r>
            <w:r>
              <w:rPr>
                <w:i/>
                <w:sz w:val="50"/>
              </w:rPr>
              <w:t>a confirmar</w:t>
            </w:r>
          </w:p>
          <w:p>
            <w:pPr>
              <w:spacing w:after="240"/>
              <w:ind w:left="397" w:hanging="397"/>
            </w:pPr>
            <w:r>
              <w:rPr>
                <w:color w:val="007980"/>
                <w:sz w:val="38"/>
              </w:rPr>
              <w:t xml:space="preserve">■  </w:t>
            </w:r>
            <w:r>
              <w:rPr>
                <w:b/>
                <w:sz w:val="50"/>
              </w:rPr>
              <w:t>SAIJ SUR0022636</w:t>
            </w:r>
            <w:r>
              <w:rPr>
                <w:sz w:val="50"/>
              </w:rPr>
              <w:t xml:space="preserve"> — hogar: presunción iuris tantum</w:t>
            </w:r>
          </w:p>
          <w:p>
            <w:pPr>
              <w:spacing w:after="240"/>
              <w:ind w:left="397" w:hanging="397"/>
            </w:pPr>
            <w:r>
              <w:rPr>
                <w:color w:val="007980"/>
                <w:sz w:val="38"/>
              </w:rPr>
              <w:t xml:space="preserve">■  </w:t>
            </w:r>
            <w:r>
              <w:rPr>
                <w:b/>
                <w:sz w:val="50"/>
              </w:rPr>
              <w:t>SAIJ SUB0962926</w:t>
            </w:r>
            <w:r>
              <w:rPr>
                <w:sz w:val="50"/>
              </w:rPr>
              <w:t xml:space="preserve"> — policía: deber y defensa propia</w:t>
            </w:r>
          </w:p>
        </w:tc>
      </w:tr>
    </w:tbl>
    <w:p>
      <w:pPr>
        <w:spacing w:before="120"/>
      </w:pPr>
      <w:r>
        <w:rPr>
          <w:i/>
          <w:color w:val="5A626E"/>
          <w:sz w:val="22"/>
        </w:rPr>
        <w:t>Los sumarios SAIJ recuperados no identifican el tribunal: completar la ficha en la fuente.</w:t>
      </w:r>
    </w:p>
    <w:p>
      <w:pPr>
        <w:sectPr>
          <w:pgSz w:w="16838" w:h="11906" w:orient="landscape"/>
          <w:pgMar w:top="624" w:right="737" w:bottom="680" w:left="737" w:header="454" w:footer="397" w:gutter="0"/>
          <w:cols w:space="720"/>
          <w:docGrid w:linePitch="360"/>
        </w:sectPr>
      </w:pPr>
    </w:p>
    <w:p>
      <w:pPr>
        <w:pStyle w:val="Heading1"/>
      </w:pPr>
      <w:r>
        <w:t>Capítulo 17. Herramientas de trabajo</w:t>
      </w:r>
    </w:p>
    <w:p>
      <w:pPr>
        <w:pStyle w:val="Heading2"/>
      </w:pPr>
      <w:r>
        <w:t>17.1. Glosario</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494"/>
            <w:shd w:val="clear" w:color="auto" w:fill="172B4D"/>
            <w:tcMar>
              <w:top w:w="50" w:type="dxa"/>
              <w:left w:w="80" w:type="dxa"/>
              <w:bottom w:w="50" w:type="dxa"/>
              <w:right w:w="80" w:type="dxa"/>
            </w:tcMar>
          </w:tcPr>
          <w:p>
            <w:pPr>
              <w:spacing w:after="0"/>
            </w:pPr>
            <w:r>
              <w:rPr>
                <w:b/>
                <w:color w:val="FFFFFF"/>
                <w:sz w:val="18"/>
              </w:rPr>
              <w:t>Término</w:t>
            </w:r>
          </w:p>
        </w:tc>
        <w:tc>
          <w:tcPr>
            <w:tcW w:type="dxa" w:w="6917"/>
            <w:shd w:val="clear" w:color="auto" w:fill="172B4D"/>
            <w:tcMar>
              <w:top w:w="50" w:type="dxa"/>
              <w:left w:w="80" w:type="dxa"/>
              <w:bottom w:w="50" w:type="dxa"/>
              <w:right w:w="80" w:type="dxa"/>
            </w:tcMar>
          </w:tcPr>
          <w:p>
            <w:pPr>
              <w:spacing w:after="0"/>
            </w:pPr>
            <w:r>
              <w:rPr>
                <w:b/>
                <w:color w:val="FFFFFF"/>
                <w:sz w:val="18"/>
              </w:rPr>
              <w:t>Significado</w:t>
            </w:r>
          </w:p>
        </w:tc>
      </w:tr>
      <w:tr>
        <w:trPr>
          <w:cantSplit w:val="true"/>
        </w:trPr>
        <w:tc>
          <w:tcPr>
            <w:tcW w:type="dxa" w:w="249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Agresión ilegítima</w:t>
            </w:r>
          </w:p>
        </w:tc>
        <w:tc>
          <w:tcPr>
            <w:tcW w:type="dxa" w:w="6917"/>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Conducta humana antijurídica que lesiona o pone en peligro un bien jurídico, actual o inminente.</w:t>
            </w:r>
          </w:p>
        </w:tc>
      </w:tr>
      <w:tr>
        <w:trPr>
          <w:cantSplit w:val="true"/>
        </w:trPr>
        <w:tc>
          <w:tcPr>
            <w:tcW w:type="dxa" w:w="249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Animus defendendi</w:t>
            </w:r>
          </w:p>
        </w:tc>
        <w:tc>
          <w:tcPr>
            <w:tcW w:type="dxa" w:w="6917"/>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Voluntad de defensa: conocimiento de la situación y finalidad de repeler.</w:t>
            </w:r>
          </w:p>
        </w:tc>
      </w:tr>
      <w:tr>
        <w:trPr>
          <w:cantSplit w:val="true"/>
        </w:trPr>
        <w:tc>
          <w:tcPr>
            <w:tcW w:type="dxa" w:w="249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Causa de justificación</w:t>
            </w:r>
          </w:p>
        </w:tc>
        <w:tc>
          <w:tcPr>
            <w:tcW w:type="dxa" w:w="6917"/>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Circunstancia que vuelve lícito un hecho típico (arts. 34, incs. 3, 4, 6 y 7).</w:t>
            </w:r>
          </w:p>
        </w:tc>
      </w:tr>
      <w:tr>
        <w:trPr>
          <w:cantSplit w:val="true"/>
        </w:trPr>
        <w:tc>
          <w:tcPr>
            <w:tcW w:type="dxa" w:w="249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Defensa putativa</w:t>
            </w:r>
          </w:p>
        </w:tc>
        <w:tc>
          <w:tcPr>
            <w:tcW w:type="dxa" w:w="6917"/>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Defensa frente a una agresión que no existe y que el sujeto cree real.</w:t>
            </w:r>
          </w:p>
        </w:tc>
      </w:tr>
      <w:tr>
        <w:trPr>
          <w:cantSplit w:val="true"/>
        </w:trPr>
        <w:tc>
          <w:tcPr>
            <w:tcW w:type="dxa" w:w="249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Exceso intensivo / extensivo</w:t>
            </w:r>
          </w:p>
        </w:tc>
        <w:tc>
          <w:tcPr>
            <w:tcW w:type="dxa" w:w="6917"/>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Superación de la necesidad durante la agresión / prolongación de la defensa después de cesada.</w:t>
            </w:r>
          </w:p>
        </w:tc>
      </w:tr>
      <w:tr>
        <w:trPr>
          <w:cantSplit w:val="true"/>
        </w:trPr>
        <w:tc>
          <w:tcPr>
            <w:tcW w:type="dxa" w:w="249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Ex ante / ex post</w:t>
            </w:r>
          </w:p>
        </w:tc>
        <w:tc>
          <w:tcPr>
            <w:tcW w:type="dxa" w:w="6917"/>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Juicio desde la situación del autor al actuar / juicio con el conocimiento posterior del resultado.</w:t>
            </w:r>
          </w:p>
        </w:tc>
      </w:tr>
      <w:tr>
        <w:trPr>
          <w:cantSplit w:val="true"/>
        </w:trPr>
        <w:tc>
          <w:tcPr>
            <w:tcW w:type="dxa" w:w="249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Iuris tantum / iure et de iure</w:t>
            </w:r>
          </w:p>
        </w:tc>
        <w:tc>
          <w:tcPr>
            <w:tcW w:type="dxa" w:w="6917"/>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Presunción que admite / no admite prueba en contrario.</w:t>
            </w:r>
          </w:p>
        </w:tc>
      </w:tr>
      <w:tr>
        <w:trPr>
          <w:cantSplit w:val="true"/>
        </w:trPr>
        <w:tc>
          <w:tcPr>
            <w:tcW w:type="dxa" w:w="249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Legítima defensa privilegiada</w:t>
            </w:r>
          </w:p>
        </w:tc>
        <w:tc>
          <w:tcPr>
            <w:tcW w:type="dxa" w:w="6917"/>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Los supuestos de presunción del art. 34, inc. 6, párrafos 2.º y 3.º.</w:t>
            </w:r>
          </w:p>
        </w:tc>
      </w:tr>
      <w:tr>
        <w:trPr>
          <w:cantSplit w:val="true"/>
        </w:trPr>
        <w:tc>
          <w:tcPr>
            <w:tcW w:type="dxa" w:w="249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Ofendículo</w:t>
            </w:r>
          </w:p>
        </w:tc>
        <w:tc>
          <w:tcPr>
            <w:tcW w:type="dxa" w:w="6917"/>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Dispositivo predispuesto para impedir el acceso ilegítimo (alambres, vidrios, perros).</w:t>
            </w:r>
          </w:p>
        </w:tc>
      </w:tr>
      <w:tr>
        <w:trPr>
          <w:cantSplit w:val="true"/>
        </w:trPr>
        <w:tc>
          <w:tcPr>
            <w:tcW w:type="dxa" w:w="249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Provocación suficiente</w:t>
            </w:r>
          </w:p>
        </w:tc>
        <w:tc>
          <w:tcPr>
            <w:tcW w:type="dxa" w:w="6917"/>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shd w:val="clear" w:color="auto" w:fill="F4F6FA"/>
          </w:tcPr>
          <w:p>
            <w:pPr>
              <w:spacing w:after="0"/>
            </w:pPr>
            <w:r>
              <w:rPr>
                <w:sz w:val="18"/>
              </w:rPr>
              <w:t>Conducta previa del defensor adecuada para motivar la agresión.</w:t>
            </w:r>
          </w:p>
        </w:tc>
      </w:tr>
      <w:tr>
        <w:trPr>
          <w:cantSplit w:val="true"/>
        </w:trPr>
        <w:tc>
          <w:tcPr>
            <w:tcW w:type="dxa" w:w="2494"/>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Riña</w:t>
            </w:r>
          </w:p>
        </w:tc>
        <w:tc>
          <w:tcPr>
            <w:tcW w:type="dxa" w:w="6917"/>
            <w:tcMar>
              <w:top w:w="40" w:type="dxa"/>
              <w:left w:w="80" w:type="dxa"/>
              <w:bottom w:w="40" w:type="dxa"/>
              <w:right w:w="80" w:type="dxa"/>
            </w:tcMar>
            <w:tcBorders>
              <w:top w:val="single" w:sz="4" w:color="BFC6D1" w:space="0"/>
              <w:left w:val="single" w:sz="4" w:color="BFC6D1" w:space="0"/>
              <w:bottom w:val="single" w:sz="4" w:color="BFC6D1" w:space="0"/>
              <w:right w:val="single" w:sz="4" w:color="BFC6D1" w:space="0"/>
            </w:tcBorders>
          </w:tcPr>
          <w:p>
            <w:pPr>
              <w:spacing w:after="0"/>
            </w:pPr>
            <w:r>
              <w:rPr>
                <w:sz w:val="18"/>
              </w:rPr>
              <w:t>Contienda mutua y voluntaria entre varios (arts. 95 y 96 C.P.).</w:t>
            </w:r>
          </w:p>
        </w:tc>
      </w:tr>
    </w:tbl>
    <w:p>
      <w:pPr>
        <w:spacing w:after="60"/>
      </w:pPr>
    </w:p>
    <w:p>
      <w:pPr>
        <w:pStyle w:val="Heading2"/>
      </w:pPr>
      <w:r>
        <w:t>17.2. Derecho comparado (referencia breve)</w:t>
      </w:r>
    </w:p>
    <w:p>
      <w:pPr>
        <w:jc w:val="both"/>
      </w:pPr>
      <w:r>
        <w:t>A modo de contraste, para quien quiera ampliar la exposición (</w:t>
      </w:r>
      <w:r>
        <w:rPr>
          <w:b/>
        </w:rPr>
        <w:t>verificar los textos antes de citar</w:t>
      </w:r>
      <w:r>
        <w:t>):</w:t>
      </w:r>
    </w:p>
    <w:p>
      <w:pPr>
        <w:spacing w:after="50"/>
        <w:ind w:left="595" w:hanging="255"/>
        <w:jc w:val="both"/>
      </w:pPr>
      <w:r>
        <w:t xml:space="preserve">•  </w:t>
      </w:r>
      <w:r>
        <w:rPr>
          <w:b/>
        </w:rPr>
        <w:t>Alemania:</w:t>
      </w:r>
      <w:r>
        <w:t xml:space="preserve"> el StGB distingue la legítima defensa (§ 32, </w:t>
      </w:r>
      <w:r>
        <w:rPr>
          <w:i/>
        </w:rPr>
        <w:t>Notwehr</w:t>
      </w:r>
      <w:r>
        <w:t>) y el exceso por confusión, miedo o terror (§ 33), que deja impune al autor. Argentina no tiene una cláusula expresa equivalente.</w:t>
      </w:r>
    </w:p>
    <w:p>
      <w:pPr>
        <w:spacing w:after="50"/>
        <w:ind w:left="595" w:hanging="255"/>
        <w:jc w:val="both"/>
      </w:pPr>
      <w:r>
        <w:t xml:space="preserve">•  </w:t>
      </w:r>
      <w:r>
        <w:rPr>
          <w:b/>
        </w:rPr>
        <w:t>España:</w:t>
      </w:r>
      <w:r>
        <w:t xml:space="preserve"> el art. 20, núm. 4, del Código Penal regula la defensa como eximente con los mismos tres requisitos (agresión ilegítima, necesidad racional del medio y falta de provocación suficiente), y prevé la eximente incompleta; la redacción argentina es muy cercana en su estructura (</w:t>
      </w:r>
      <w:r>
        <w:rPr>
          <w:b/>
        </w:rPr>
        <w:t>verificar texto vigente</w:t>
      </w:r>
      <w:r>
        <w:t>).</w:t>
      </w:r>
    </w:p>
    <w:p>
      <w:pPr>
        <w:spacing w:after="50"/>
        <w:ind w:left="595" w:hanging="255"/>
        <w:jc w:val="both"/>
      </w:pPr>
      <w:r>
        <w:t xml:space="preserve">•  </w:t>
      </w:r>
      <w:r>
        <w:rPr>
          <w:b/>
        </w:rPr>
        <w:t>Estándares interamericanos:</w:t>
      </w:r>
      <w:r>
        <w:t xml:space="preserve"> el uso de la fuerza letal por agentes del Estado se evalúa con los criterios de legalidad, necesidad y proporcionalidad (Corte IDH; verificar citas).</w:t>
      </w:r>
    </w:p>
    <w:p>
      <w:pPr>
        <w:pStyle w:val="Heading2"/>
      </w:pPr>
      <w:r>
        <w:t>17.3. Modelo de planteo en un escrito</w:t>
      </w:r>
    </w:p>
    <w:p>
      <w:pPr>
        <w:jc w:val="both"/>
      </w:pPr>
      <w:r>
        <w:t>Esquema orientativo para fundar la legítima defensa en una presentación (oposición a la elevación a juicio, alegato o casación). Debe adaptarse a la prueba concreta:</w:t>
      </w:r>
    </w:p>
    <w:p>
      <w:pPr>
        <w:spacing w:after="50"/>
        <w:ind w:left="567" w:hanging="340"/>
        <w:jc w:val="both"/>
      </w:pPr>
      <w:r>
        <w:t xml:space="preserve">1.  </w:t>
      </w:r>
      <w:r>
        <w:rPr>
          <w:b/>
        </w:rPr>
        <w:t>Hecho.</w:t>
      </w:r>
      <w:r>
        <w:t xml:space="preserve"> Relato cronológico, con hora y lugar, de la agresión y de la reacción, separando los momentos.</w:t>
      </w:r>
    </w:p>
    <w:p>
      <w:pPr>
        <w:spacing w:after="50"/>
        <w:ind w:left="567" w:hanging="340"/>
        <w:jc w:val="both"/>
      </w:pPr>
      <w:r>
        <w:t xml:space="preserve">2.  </w:t>
      </w:r>
      <w:r>
        <w:rPr>
          <w:b/>
        </w:rPr>
        <w:t>Agresión ilegítima.</w:t>
      </w:r>
      <w:r>
        <w:t xml:space="preserve"> Qué hizo el agresor, con qué medios, contra qué bien; prueba de la actualidad (lesiones, testigos, registros).</w:t>
      </w:r>
    </w:p>
    <w:p>
      <w:pPr>
        <w:spacing w:after="50"/>
        <w:ind w:left="567" w:hanging="340"/>
        <w:jc w:val="both"/>
      </w:pPr>
      <w:r>
        <w:t xml:space="preserve">3.  </w:t>
      </w:r>
      <w:r>
        <w:rPr>
          <w:b/>
        </w:rPr>
        <w:t>Necesidad racional.</w:t>
      </w:r>
      <w:r>
        <w:t xml:space="preserve"> Medios disponibles de cada uno; imposibilidad de otra reacción menos lesiva; desigualdad de fuerzas; estado emocional. No proporción estricta, sino ausencia de desproporción manifiesta.</w:t>
      </w:r>
    </w:p>
    <w:p>
      <w:pPr>
        <w:spacing w:after="50"/>
        <w:ind w:left="567" w:hanging="340"/>
        <w:jc w:val="both"/>
      </w:pPr>
      <w:r>
        <w:t xml:space="preserve">4.  </w:t>
      </w:r>
      <w:r>
        <w:rPr>
          <w:b/>
        </w:rPr>
        <w:t>Falta de provocación suficiente.</w:t>
      </w:r>
      <w:r>
        <w:t xml:space="preserve"> Antecedentes de la relación; ausencia de conducta previa adecuada para motivar la agresión.</w:t>
      </w:r>
    </w:p>
    <w:p>
      <w:pPr>
        <w:spacing w:after="50"/>
        <w:ind w:left="567" w:hanging="340"/>
        <w:jc w:val="both"/>
      </w:pPr>
      <w:r>
        <w:t xml:space="preserve">5.  </w:t>
      </w:r>
      <w:r>
        <w:rPr>
          <w:b/>
        </w:rPr>
        <w:t>Voluntad de defensa.</w:t>
      </w:r>
      <w:r>
        <w:t xml:space="preserve"> Declaración, conducta posterior (llamó al 911, auxilió a la víctima, se entregó).</w:t>
      </w:r>
    </w:p>
    <w:p>
      <w:pPr>
        <w:spacing w:after="50"/>
        <w:ind w:left="567" w:hanging="340"/>
        <w:jc w:val="both"/>
      </w:pPr>
      <w:r>
        <w:t xml:space="preserve">6.  </w:t>
      </w:r>
      <w:r>
        <w:rPr>
          <w:b/>
        </w:rPr>
        <w:t>Presunción del hogar,</w:t>
      </w:r>
      <w:r>
        <w:t xml:space="preserve"> si corresponde: acreditar los hechos base (noche, escalamiento o fractura, extraño, resistencia).</w:t>
      </w:r>
    </w:p>
    <w:p>
      <w:pPr>
        <w:spacing w:after="50"/>
        <w:ind w:left="567" w:hanging="340"/>
        <w:jc w:val="both"/>
      </w:pPr>
      <w:r>
        <w:t xml:space="preserve">7.  </w:t>
      </w:r>
      <w:r>
        <w:rPr>
          <w:b/>
        </w:rPr>
        <w:t>Subsidiariamente.</w:t>
      </w:r>
      <w:r>
        <w:t xml:space="preserve"> Exceso (art. 35), defensa putativa o error (art. 34, inc. 1), duda razonable.</w:t>
      </w:r>
    </w:p>
    <w:p>
      <w:pPr>
        <w:spacing w:after="50"/>
        <w:ind w:left="567" w:hanging="340"/>
        <w:jc w:val="both"/>
      </w:pPr>
      <w:r>
        <w:t xml:space="preserve">8.  </w:t>
      </w:r>
      <w:r>
        <w:rPr>
          <w:b/>
        </w:rPr>
        <w:t>Perspectiva de género,</w:t>
      </w:r>
      <w:r>
        <w:t xml:space="preserve"> si corresponde: contexto, amplitud probatoria y estándares de Belém do Pará (</w:t>
      </w:r>
      <w:r>
        <w:rPr>
          <w:i/>
        </w:rPr>
        <w:t>Leiva</w:t>
      </w:r>
      <w:r>
        <w:t>).</w:t>
      </w:r>
    </w:p>
    <w:p>
      <w:pPr>
        <w:spacing w:after="50"/>
        <w:ind w:left="567" w:hanging="340"/>
        <w:jc w:val="both"/>
      </w:pPr>
      <w:r>
        <w:t xml:space="preserve">9.  </w:t>
      </w:r>
      <w:r>
        <w:rPr>
          <w:b/>
        </w:rPr>
        <w:t>Petitorio.</w:t>
      </w:r>
      <w:r>
        <w:t xml:space="preserve"> Sobreseimiento, absolución o, subsidiariamente, calificación como exceso.</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EAF3F4"/>
            <w:tcBorders>
              <w:top w:val="single" w:sz="4" w:color="007980" w:space="0"/>
              <w:left w:val="single" w:sz="24" w:color="007980" w:space="0"/>
              <w:bottom w:val="single" w:sz="4" w:color="007980" w:space="0"/>
              <w:right w:val="single" w:sz="4" w:color="007980" w:space="0"/>
            </w:tcBorders>
            <w:tcMar>
              <w:top w:w="80" w:type="dxa"/>
              <w:left w:w="160" w:type="dxa"/>
              <w:bottom w:w="80" w:type="dxa"/>
              <w:right w:w="140" w:type="dxa"/>
            </w:tcMar>
          </w:tcPr>
          <w:p>
            <w:pPr>
              <w:spacing w:after="60"/>
            </w:pPr>
            <w:r>
              <w:rPr>
                <w:b/>
                <w:color w:val="007980"/>
                <w:sz w:val="21"/>
              </w:rPr>
              <w:t>Resumen del capítulo 17</w:t>
            </w:r>
          </w:p>
          <w:p>
            <w:pPr>
              <w:spacing w:after="50"/>
              <w:ind w:left="255" w:hanging="255"/>
              <w:jc w:val="both"/>
            </w:pPr>
            <w:r>
              <w:rPr>
                <w:sz w:val="20"/>
              </w:rPr>
              <w:t>•  El glosario unifica el vocabulario de la exposición.</w:t>
            </w:r>
          </w:p>
          <w:p>
            <w:pPr>
              <w:spacing w:after="50"/>
              <w:ind w:left="255" w:hanging="255"/>
              <w:jc w:val="both"/>
            </w:pPr>
            <w:r>
              <w:rPr>
                <w:sz w:val="20"/>
              </w:rPr>
              <w:t>•  El derecho comparado permite contrastar la cláusula de exceso emocional (StGB § 33) y la eximente incompleta española.</w:t>
            </w:r>
          </w:p>
          <w:p>
            <w:pPr>
              <w:spacing w:after="50"/>
              <w:ind w:left="255" w:hanging="255"/>
              <w:jc w:val="both"/>
            </w:pPr>
            <w:r>
              <w:rPr>
                <w:sz w:val="20"/>
              </w:rPr>
              <w:t>•  El esquema de escrito ordena los argumentos de la defensa en nueve pasos.</w:t>
            </w:r>
          </w:p>
        </w:tc>
      </w:tr>
    </w:tbl>
    <w:p>
      <w:pPr>
        <w:spacing w:after="40" w:line="120" w:lineRule="auto"/>
      </w:pPr>
    </w:p>
    <w:p>
      <w:pPr>
        <w:sectPr>
          <w:pgSz w:w="11906" w:h="16838"/>
          <w:pgMar w:top="1134" w:right="1247" w:bottom="1077" w:left="1247" w:header="454" w:footer="397" w:gutter="0"/>
          <w:cols w:space="720"/>
          <w:docGrid w:linePitch="360"/>
        </w:sectPr>
      </w:pP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27  ·  </w:t>
            </w:r>
            <w:r>
              <w:rPr>
                <w:b/>
                <w:color w:val="FFFFFF"/>
                <w:sz w:val="52"/>
              </w:rPr>
              <w:t>Modelo de planteo: nueve pasos</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sz w:val="50"/>
              </w:rPr>
              <w:t xml:space="preserve">Hecho por momentos → </w:t>
            </w:r>
            <w:r>
              <w:rPr>
                <w:b/>
                <w:sz w:val="50"/>
              </w:rPr>
              <w:t>agresión</w:t>
            </w:r>
            <w:r>
              <w:rPr>
                <w:sz w:val="50"/>
              </w:rPr>
              <w:t xml:space="preserve"> → </w:t>
            </w:r>
            <w:r>
              <w:rPr>
                <w:b/>
                <w:sz w:val="50"/>
              </w:rPr>
              <w:t>necesidad racional</w:t>
            </w:r>
          </w:p>
          <w:p>
            <w:pPr>
              <w:spacing w:after="240"/>
              <w:ind w:left="397" w:hanging="397"/>
            </w:pPr>
            <w:r>
              <w:rPr>
                <w:color w:val="007980"/>
                <w:sz w:val="38"/>
              </w:rPr>
              <w:t xml:space="preserve">■  </w:t>
            </w:r>
            <w:r>
              <w:rPr>
                <w:b/>
                <w:sz w:val="50"/>
              </w:rPr>
              <w:t>Falta de provocación</w:t>
            </w:r>
            <w:r>
              <w:rPr>
                <w:sz w:val="50"/>
              </w:rPr>
              <w:t xml:space="preserve"> → </w:t>
            </w:r>
            <w:r>
              <w:rPr>
                <w:b/>
                <w:sz w:val="50"/>
              </w:rPr>
              <w:t>voluntad de defensa</w:t>
            </w:r>
          </w:p>
          <w:p>
            <w:pPr>
              <w:spacing w:after="240"/>
              <w:ind w:left="397" w:hanging="397"/>
            </w:pPr>
            <w:r>
              <w:rPr>
                <w:color w:val="007980"/>
                <w:sz w:val="38"/>
              </w:rPr>
              <w:t xml:space="preserve">■  </w:t>
            </w:r>
            <w:r>
              <w:rPr>
                <w:sz w:val="50"/>
              </w:rPr>
              <w:t xml:space="preserve">Presunción del </w:t>
            </w:r>
            <w:r>
              <w:rPr>
                <w:b/>
                <w:sz w:val="50"/>
              </w:rPr>
              <w:t>hogar</w:t>
            </w:r>
            <w:r>
              <w:rPr>
                <w:sz w:val="50"/>
              </w:rPr>
              <w:t xml:space="preserve"> (si corresponde)</w:t>
            </w:r>
          </w:p>
          <w:p>
            <w:pPr>
              <w:spacing w:after="240"/>
              <w:ind w:left="397" w:hanging="397"/>
            </w:pPr>
            <w:r>
              <w:rPr>
                <w:color w:val="007980"/>
                <w:sz w:val="38"/>
              </w:rPr>
              <w:t xml:space="preserve">■  </w:t>
            </w:r>
            <w:r>
              <w:rPr>
                <w:sz w:val="50"/>
              </w:rPr>
              <w:t xml:space="preserve">Subsidiario: </w:t>
            </w:r>
            <w:r>
              <w:rPr>
                <w:b/>
                <w:sz w:val="50"/>
              </w:rPr>
              <w:t>exceso</w:t>
            </w:r>
            <w:r>
              <w:rPr>
                <w:sz w:val="50"/>
              </w:rPr>
              <w:t xml:space="preserve">, </w:t>
            </w:r>
            <w:r>
              <w:rPr>
                <w:b/>
                <w:sz w:val="50"/>
              </w:rPr>
              <w:t>error</w:t>
            </w:r>
            <w:r>
              <w:rPr>
                <w:sz w:val="50"/>
              </w:rPr>
              <w:t xml:space="preserve">, </w:t>
            </w:r>
            <w:r>
              <w:rPr>
                <w:b/>
                <w:sz w:val="50"/>
              </w:rPr>
              <w:t>duda razonable</w:t>
            </w:r>
          </w:p>
          <w:p>
            <w:pPr>
              <w:spacing w:after="240"/>
              <w:ind w:left="397" w:hanging="397"/>
            </w:pPr>
            <w:r>
              <w:rPr>
                <w:color w:val="007980"/>
                <w:sz w:val="38"/>
              </w:rPr>
              <w:t xml:space="preserve">■  </w:t>
            </w:r>
            <w:r>
              <w:rPr>
                <w:sz w:val="50"/>
              </w:rPr>
              <w:t xml:space="preserve">Perspectiva de </w:t>
            </w:r>
            <w:r>
              <w:rPr>
                <w:b/>
                <w:sz w:val="50"/>
              </w:rPr>
              <w:t>género</w:t>
            </w:r>
            <w:r>
              <w:rPr>
                <w:sz w:val="50"/>
              </w:rPr>
              <w:t xml:space="preserve"> (si corresponde)</w:t>
            </w:r>
          </w:p>
          <w:p>
            <w:pPr>
              <w:spacing w:after="240"/>
              <w:ind w:left="397" w:hanging="397"/>
            </w:pPr>
            <w:r>
              <w:rPr>
                <w:color w:val="007980"/>
                <w:sz w:val="38"/>
              </w:rPr>
              <w:t xml:space="preserve">■  </w:t>
            </w:r>
            <w:r>
              <w:rPr>
                <w:sz w:val="50"/>
              </w:rPr>
              <w:t>Petitorio: sobreseimiento / absolución / exceso</w:t>
            </w:r>
          </w:p>
        </w:tc>
      </w:tr>
    </w:tbl>
    <w:p>
      <w:pPr>
        <w:spacing w:before="120"/>
      </w:pPr>
      <w:r>
        <w:rPr>
          <w:i/>
          <w:color w:val="5A626E"/>
          <w:sz w:val="22"/>
        </w:rPr>
        <w:t>Ver capítulo 17.3.</w:t>
      </w:r>
    </w:p>
    <w:p>
      <w:pPr>
        <w:sectPr>
          <w:pgSz w:w="16838" w:h="11906" w:orient="landscape"/>
          <w:pgMar w:top="624" w:right="737" w:bottom="680" w:left="737" w:header="454" w:footer="397" w:gutter="0"/>
          <w:cols w:space="720"/>
          <w:docGrid w:linePitch="360"/>
        </w:sectPr>
      </w:pPr>
    </w:p>
    <w:p>
      <w:pPr>
        <w:pStyle w:val="Heading1"/>
      </w:pPr>
      <w:r>
        <w:t>Capítulo 15. Preguntas frecuentes y cierre</w:t>
      </w:r>
    </w:p>
    <w:p>
      <w:pPr>
        <w:pStyle w:val="Heading2"/>
      </w:pPr>
      <w:r>
        <w:t>15.1. Preguntas que suele hacer el auditorio</w:t>
      </w:r>
    </w:p>
    <w:p>
      <w:pPr>
        <w:spacing w:after="80"/>
        <w:jc w:val="both"/>
      </w:pPr>
      <w:r>
        <w:rPr>
          <w:b/>
        </w:rPr>
        <w:t>¿Puedo disparar a quien entra a mi casa?</w:t>
      </w:r>
      <w:r>
        <w:t xml:space="preserve"> Depende. Si es de noche, escala o fractura y hay resistencia, o si encuentra a un extraño en su hogar que resiste, el Código presume que concurren los requisitos (art. 34, inc. 6, párrafos 2.º y 3.º). La presunción se aplica al rechazo del ingreso: no a la persecución ni a quien ya está rendido. Y la voluntad de defensa debe existir.</w:t>
      </w:r>
    </w:p>
    <w:p>
      <w:pPr>
        <w:spacing w:after="80"/>
        <w:jc w:val="both"/>
      </w:pPr>
      <w:r>
        <w:rPr>
          <w:b/>
        </w:rPr>
        <w:t>¿Hace falta que haya un arma del otro lado?</w:t>
      </w:r>
      <w:r>
        <w:t xml:space="preserve"> No. Lo que importa es la agresión y la racionalidad del medio. Una agresión con las manos, ejercida por muchos o contra una persona mucho más débil, puede justificar un medio más intenso.</w:t>
      </w:r>
    </w:p>
    <w:p>
      <w:pPr>
        <w:spacing w:after="80"/>
        <w:jc w:val="both"/>
      </w:pPr>
      <w:r>
        <w:rPr>
          <w:b/>
        </w:rPr>
        <w:t>¿Se exige proporción entre el daño y la agresión?</w:t>
      </w:r>
      <w:r>
        <w:t xml:space="preserve"> No de forma estricta. Pero una desproporción manifiesta hace irracional el medio.</w:t>
      </w:r>
    </w:p>
    <w:p>
      <w:pPr>
        <w:spacing w:after="80"/>
        <w:jc w:val="both"/>
      </w:pPr>
      <w:r>
        <w:rPr>
          <w:b/>
        </w:rPr>
        <w:t>¿Qué pasa si me excedí?</w:t>
      </w:r>
      <w:r>
        <w:t xml:space="preserve"> Se aplica el art. 35: pena del delito culposo, si existe tipo culposo. Si hubo venganza, el hecho es doloso.</w:t>
      </w:r>
    </w:p>
    <w:p>
      <w:pPr>
        <w:spacing w:after="80"/>
        <w:jc w:val="both"/>
      </w:pPr>
      <w:r>
        <w:rPr>
          <w:b/>
        </w:rPr>
        <w:t>¿Hay legítima defensa contra la policía?</w:t>
      </w:r>
      <w:r>
        <w:t xml:space="preserve"> Solo contra una agresión ilegítima. Contra un acto legítimo de la autoridad no cabe defensa. La resistencia al arresto ilegal es una cuestión discutida y de extrema cautela.</w:t>
      </w:r>
    </w:p>
    <w:p>
      <w:pPr>
        <w:spacing w:after="80"/>
        <w:jc w:val="both"/>
      </w:pPr>
      <w:r>
        <w:rPr>
          <w:b/>
        </w:rPr>
        <w:t>¿Y si me equivoco y creo que me atacan?</w:t>
      </w:r>
      <w:r>
        <w:t xml:space="preserve"> Defensa putativa: si el error era invencible, no hay culpabilidad; si era vencible, se discute pena culposa.</w:t>
      </w:r>
    </w:p>
    <w:p>
      <w:pPr>
        <w:spacing w:after="80"/>
        <w:jc w:val="both"/>
      </w:pPr>
      <w:r>
        <w:rPr>
          <w:b/>
        </w:rPr>
        <w:t>¿La mujer víctima de violencia puede invocar legítima defensa?</w:t>
      </w:r>
      <w:r>
        <w:t xml:space="preserve"> Sí, siempre que haya agresión actual o inminente, medio racional y falta de provocación suficiente. La perspectiva de género obliga a valorar el contexto y la prueba, no a presumir la legítima defensa (CSJN, </w:t>
      </w:r>
      <w:r>
        <w:rPr>
          <w:i/>
        </w:rPr>
        <w:t>Leiva</w:t>
      </w:r>
      <w:r>
        <w:t>).</w:t>
      </w:r>
    </w:p>
    <w:p>
      <w:pPr>
        <w:spacing w:after="80"/>
        <w:jc w:val="both"/>
      </w:pPr>
      <w:r>
        <w:rPr>
          <w:b/>
        </w:rPr>
        <w:t>¿La legítima defensa se prueba?</w:t>
      </w:r>
      <w:r>
        <w:t xml:space="preserve"> La defensa debe alegarla y aportar verosimilitud; la acusación debe desvirtuarla. La duda favorece al imputado.</w:t>
      </w:r>
    </w:p>
    <w:p>
      <w:pPr>
        <w:spacing w:after="80"/>
        <w:jc w:val="both"/>
      </w:pPr>
      <w:r>
        <w:rPr>
          <w:b/>
        </w:rPr>
        <w:t>¿Quién responde civilmente?</w:t>
      </w:r>
      <w:r>
        <w:t xml:space="preserve"> El hecho justificado no genera, en principio, deber de indemnizar al agresor (art. 1718, inc. b, CCyC); el exceso sí puede generarlo.</w:t>
      </w:r>
    </w:p>
    <w:p>
      <w:pPr>
        <w:spacing w:after="80"/>
        <w:jc w:val="both"/>
      </w:pPr>
      <w:r>
        <w:rPr>
          <w:b/>
        </w:rPr>
        <w:t>¿La reforma cambia algo hoy?</w:t>
      </w:r>
      <w:r>
        <w:t xml:space="preserve"> No. A octubre de 2026 el Código no fue modificado; hay un proyecto informado por la prensa y no verificado en su texto.</w:t>
      </w:r>
    </w:p>
    <w:p>
      <w:pPr>
        <w:pStyle w:val="Heading2"/>
      </w:pPr>
      <w:r>
        <w:t>15.2. Mensajes finales para la exposición</w:t>
      </w:r>
    </w:p>
    <w:p>
      <w:pPr>
        <w:spacing w:after="50"/>
        <w:ind w:left="567" w:hanging="340"/>
        <w:jc w:val="both"/>
      </w:pPr>
      <w:r>
        <w:t xml:space="preserve">1.  La legítima defensa es un </w:t>
      </w:r>
      <w:r>
        <w:rPr>
          <w:b/>
        </w:rPr>
        <w:t>derecho</w:t>
      </w:r>
      <w:r>
        <w:t>, no un favor: quien se defiende lícitamente no es un delincuente.</w:t>
      </w:r>
    </w:p>
    <w:p>
      <w:pPr>
        <w:spacing w:after="50"/>
        <w:ind w:left="567" w:hanging="340"/>
        <w:jc w:val="both"/>
      </w:pPr>
      <w:r>
        <w:t xml:space="preserve">2.  Pero no es una </w:t>
      </w:r>
      <w:r>
        <w:rPr>
          <w:b/>
        </w:rPr>
        <w:t>licencia</w:t>
      </w:r>
      <w:r>
        <w:t xml:space="preserve"> para castigar: la agresión debe existir, ser actual y el medio, racional.</w:t>
      </w:r>
    </w:p>
    <w:p>
      <w:pPr>
        <w:spacing w:after="50"/>
        <w:ind w:left="567" w:hanging="340"/>
        <w:jc w:val="both"/>
      </w:pPr>
      <w:r>
        <w:t xml:space="preserve">3.  La frontera entre </w:t>
      </w:r>
      <w:r>
        <w:rPr>
          <w:b/>
        </w:rPr>
        <w:t>defensa</w:t>
      </w:r>
      <w:r>
        <w:t xml:space="preserve">, </w:t>
      </w:r>
      <w:r>
        <w:rPr>
          <w:b/>
        </w:rPr>
        <w:t>exceso</w:t>
      </w:r>
      <w:r>
        <w:t xml:space="preserve"> y </w:t>
      </w:r>
      <w:r>
        <w:rPr>
          <w:b/>
        </w:rPr>
        <w:t>delito doloso</w:t>
      </w:r>
      <w:r>
        <w:t xml:space="preserve"> es la que más se discute en los tribunales.</w:t>
      </w:r>
    </w:p>
    <w:p>
      <w:pPr>
        <w:spacing w:after="50"/>
        <w:ind w:left="567" w:hanging="340"/>
        <w:jc w:val="both"/>
      </w:pPr>
      <w:r>
        <w:t xml:space="preserve">4.  La </w:t>
      </w:r>
      <w:r>
        <w:rPr>
          <w:b/>
        </w:rPr>
        <w:t>prueba</w:t>
      </w:r>
      <w:r>
        <w:t xml:space="preserve"> y el </w:t>
      </w:r>
      <w:r>
        <w:rPr>
          <w:b/>
        </w:rPr>
        <w:t>contexto</w:t>
      </w:r>
      <w:r>
        <w:t xml:space="preserve"> definen los casos; no el rótulo.</w:t>
      </w:r>
    </w:p>
    <w:p>
      <w:pPr>
        <w:spacing w:after="50"/>
        <w:ind w:left="567" w:hanging="340"/>
        <w:jc w:val="both"/>
      </w:pPr>
      <w:r>
        <w:t xml:space="preserve">5.  El caso de las mujeres víctimas de violencia mostró que juzgar con perspectiva de género es una exigencia de </w:t>
      </w:r>
      <w:r>
        <w:rPr>
          <w:b/>
        </w:rPr>
        <w:t>valoración probatoria</w:t>
      </w:r>
      <w:r>
        <w:t>.</w:t>
      </w:r>
    </w:p>
    <w:p>
      <w:pPr>
        <w:sectPr>
          <w:pgSz w:w="11906" w:h="16838"/>
          <w:pgMar w:top="1134" w:right="1247" w:bottom="1077" w:left="1247" w:header="454" w:footer="397" w:gutter="0"/>
          <w:cols w:space="720"/>
          <w:docGrid w:linePitch="360"/>
        </w:sectPr>
      </w:pP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28  ·  </w:t>
            </w:r>
            <w:r>
              <w:rPr>
                <w:b/>
                <w:color w:val="FFFFFF"/>
                <w:sz w:val="52"/>
              </w:rPr>
              <w:t>Mensajes para llevarse</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sz w:val="50"/>
              </w:rPr>
              <w:t xml:space="preserve">Es un </w:t>
            </w:r>
            <w:r>
              <w:rPr>
                <w:b/>
                <w:sz w:val="50"/>
              </w:rPr>
              <w:t>derecho</w:t>
            </w:r>
            <w:r>
              <w:rPr>
                <w:sz w:val="50"/>
              </w:rPr>
              <w:t>, no un favor</w:t>
            </w:r>
          </w:p>
          <w:p>
            <w:pPr>
              <w:spacing w:after="240"/>
              <w:ind w:left="397" w:hanging="397"/>
            </w:pPr>
            <w:r>
              <w:rPr>
                <w:color w:val="007980"/>
                <w:sz w:val="38"/>
              </w:rPr>
              <w:t xml:space="preserve">■  </w:t>
            </w:r>
            <w:r>
              <w:rPr>
                <w:sz w:val="50"/>
              </w:rPr>
              <w:t xml:space="preserve">No es una </w:t>
            </w:r>
            <w:r>
              <w:rPr>
                <w:b/>
                <w:sz w:val="50"/>
              </w:rPr>
              <w:t>licencia</w:t>
            </w:r>
            <w:r>
              <w:rPr>
                <w:sz w:val="50"/>
              </w:rPr>
              <w:t>: agresión real, actual; medio racional</w:t>
            </w:r>
          </w:p>
          <w:p>
            <w:pPr>
              <w:spacing w:after="240"/>
              <w:ind w:left="397" w:hanging="397"/>
            </w:pPr>
            <w:r>
              <w:rPr>
                <w:color w:val="007980"/>
                <w:sz w:val="38"/>
              </w:rPr>
              <w:t xml:space="preserve">■  </w:t>
            </w:r>
            <w:r>
              <w:rPr>
                <w:sz w:val="50"/>
              </w:rPr>
              <w:t xml:space="preserve">Defensa · exceso · delito doloso: la </w:t>
            </w:r>
            <w:r>
              <w:rPr>
                <w:b/>
                <w:sz w:val="50"/>
              </w:rPr>
              <w:t>frontera</w:t>
            </w:r>
            <w:r>
              <w:rPr>
                <w:sz w:val="50"/>
              </w:rPr>
              <w:t xml:space="preserve"> se discute en la prueba</w:t>
            </w:r>
          </w:p>
          <w:p>
            <w:pPr>
              <w:spacing w:after="240"/>
              <w:ind w:left="397" w:hanging="397"/>
            </w:pPr>
            <w:r>
              <w:rPr>
                <w:color w:val="007980"/>
                <w:sz w:val="38"/>
              </w:rPr>
              <w:t xml:space="preserve">■  </w:t>
            </w:r>
            <w:r>
              <w:rPr>
                <w:sz w:val="50"/>
              </w:rPr>
              <w:t xml:space="preserve">En el hogar, la presunción </w:t>
            </w:r>
            <w:r>
              <w:rPr>
                <w:b/>
                <w:sz w:val="50"/>
              </w:rPr>
              <w:t>no cubre</w:t>
            </w:r>
            <w:r>
              <w:rPr>
                <w:sz w:val="50"/>
              </w:rPr>
              <w:t xml:space="preserve"> la persecución</w:t>
            </w:r>
          </w:p>
          <w:p>
            <w:pPr>
              <w:spacing w:after="240"/>
              <w:ind w:left="397" w:hanging="397"/>
            </w:pPr>
            <w:r>
              <w:rPr>
                <w:color w:val="007980"/>
                <w:sz w:val="38"/>
              </w:rPr>
              <w:t xml:space="preserve">■  </w:t>
            </w:r>
            <w:r>
              <w:rPr>
                <w:sz w:val="50"/>
              </w:rPr>
              <w:t xml:space="preserve">Género: </w:t>
            </w:r>
            <w:r>
              <w:rPr>
                <w:b/>
                <w:sz w:val="50"/>
              </w:rPr>
              <w:t>contexto y prueba</w:t>
            </w:r>
            <w:r>
              <w:rPr>
                <w:sz w:val="50"/>
              </w:rPr>
              <w:t>, no rótulos</w:t>
            </w:r>
          </w:p>
        </w:tc>
      </w:tr>
    </w:tbl>
    <w:p>
      <w:pPr>
        <w:spacing w:before="120"/>
      </w:pPr>
      <w:r>
        <w:rPr>
          <w:i/>
          <w:color w:val="5A626E"/>
          <w:sz w:val="22"/>
        </w:rPr>
        <w:t>Cierre de la conferencia.</w:t>
      </w:r>
    </w:p>
    <w:p>
      <w:pPr>
        <w:spacing w:after="0"/>
      </w:pPr>
      <w:r>
        <w:br w:type="page"/>
      </w:r>
    </w:p>
    <w:tbl>
      <w:tblPr>
        <w:tblW w:type="auto" w:w="0"/>
        <w:jc w:val="center"/>
        <w:tblLayout w:type="fixed"/>
        <w:tblLook w:firstColumn="1" w:firstRow="1" w:lastColumn="0" w:lastRow="0" w:noHBand="0" w:noVBand="1" w:val="04A0"/>
      </w:tblPr>
      <w:tblGrid>
        <w:gridCol w:w="15364"/>
      </w:tblGrid>
      <w:tr>
        <w:tc>
          <w:tcPr>
            <w:tcW w:type="dxa" w:w="15364"/>
            <w:shd w:val="clear" w:color="auto" w:fill="172B4D"/>
            <w:tcMar>
              <w:top w:w="140" w:type="dxa"/>
              <w:left w:w="300" w:type="dxa"/>
              <w:bottom w:w="140" w:type="dxa"/>
              <w:right w:w="300" w:type="dxa"/>
            </w:tcMar>
          </w:tcPr>
          <w:p>
            <w:pPr>
              <w:spacing w:after="0"/>
            </w:pPr>
            <w:r>
              <w:rPr>
                <w:b/>
                <w:color w:val="C99628"/>
                <w:sz w:val="22"/>
              </w:rPr>
              <w:t xml:space="preserve">FILMINA 29  ·  </w:t>
            </w:r>
            <w:r>
              <w:rPr>
                <w:b/>
                <w:color w:val="FFFFFF"/>
                <w:sz w:val="52"/>
              </w:rPr>
              <w:t>Preguntas</w:t>
            </w:r>
          </w:p>
        </w:tc>
      </w:tr>
    </w:tbl>
    <w:p>
      <w:pPr>
        <w:spacing w:after="80" w:line="144" w:lineRule="auto"/>
      </w:pPr>
    </w:p>
    <w:tbl>
      <w:tblPr>
        <w:tblW w:type="auto" w:w="0"/>
        <w:jc w:val="center"/>
        <w:tblLayout w:type="fixed"/>
        <w:tblLook w:firstColumn="1" w:firstRow="1" w:lastColumn="0" w:lastRow="0" w:noHBand="0" w:noVBand="1" w:val="04A0"/>
      </w:tblPr>
      <w:tblGrid>
        <w:gridCol w:w="15364"/>
      </w:tblGrid>
      <w:tr>
        <w:tc>
          <w:tcPr>
            <w:tcW w:type="dxa" w:w="15364"/>
            <w:tcMar>
              <w:top w:w="60" w:type="dxa"/>
              <w:left w:w="300" w:type="dxa"/>
              <w:bottom w:w="60" w:type="dxa"/>
              <w:right w:w="200" w:type="dxa"/>
            </w:tcMar>
          </w:tcPr>
          <w:p>
            <w:pPr>
              <w:spacing w:after="240"/>
              <w:ind w:left="397" w:hanging="397"/>
            </w:pPr>
            <w:r>
              <w:rPr>
                <w:color w:val="007980"/>
                <w:sz w:val="38"/>
              </w:rPr>
              <w:t xml:space="preserve">■  </w:t>
            </w:r>
            <w:r>
              <w:rPr>
                <w:sz w:val="50"/>
              </w:rPr>
              <w:t>¿Dudas sobre un caso concreto?</w:t>
            </w:r>
          </w:p>
          <w:p>
            <w:pPr>
              <w:spacing w:after="240"/>
              <w:ind w:left="397" w:hanging="397"/>
            </w:pPr>
            <w:r>
              <w:rPr>
                <w:color w:val="007980"/>
                <w:sz w:val="38"/>
              </w:rPr>
              <w:t xml:space="preserve">■  </w:t>
            </w:r>
            <w:r>
              <w:rPr>
                <w:sz w:val="50"/>
              </w:rPr>
              <w:t>Casos prácticos: capítulo 13</w:t>
            </w:r>
          </w:p>
          <w:p>
            <w:pPr>
              <w:spacing w:after="240"/>
              <w:ind w:left="397" w:hanging="397"/>
            </w:pPr>
            <w:r>
              <w:rPr>
                <w:color w:val="007980"/>
                <w:sz w:val="38"/>
              </w:rPr>
              <w:t xml:space="preserve">■  </w:t>
            </w:r>
            <w:r>
              <w:rPr>
                <w:sz w:val="50"/>
              </w:rPr>
              <w:t>Bibliografía y verificación: capítulo 16</w:t>
            </w:r>
          </w:p>
        </w:tc>
      </w:tr>
    </w:tbl>
    <w:p>
      <w:pPr>
        <w:spacing w:before="120"/>
      </w:pPr>
      <w:r>
        <w:rPr>
          <w:i/>
          <w:color w:val="5A626E"/>
          <w:sz w:val="22"/>
        </w:rPr>
        <w:t>Gracias.</w:t>
      </w:r>
    </w:p>
    <w:p>
      <w:pPr>
        <w:sectPr>
          <w:pgSz w:w="16838" w:h="11906" w:orient="landscape"/>
          <w:pgMar w:top="624" w:right="737" w:bottom="680" w:left="737" w:header="454" w:footer="397" w:gutter="0"/>
          <w:cols w:space="720"/>
          <w:docGrid w:linePitch="360"/>
        </w:sectPr>
      </w:pPr>
    </w:p>
    <w:p>
      <w:pPr>
        <w:pStyle w:val="Heading1"/>
      </w:pPr>
      <w:r>
        <w:t>Capítulo 16. Bibliografía, fuentes y lista de verificación</w:t>
      </w:r>
    </w:p>
    <w:p>
      <w:pPr>
        <w:pStyle w:val="Heading2"/>
      </w:pPr>
      <w:r>
        <w:t>16.1. Normativa</w:t>
      </w:r>
    </w:p>
    <w:p>
      <w:pPr>
        <w:spacing w:after="50"/>
        <w:ind w:left="595" w:hanging="255"/>
        <w:jc w:val="both"/>
      </w:pPr>
      <w:r>
        <w:rPr>
          <w:sz w:val="20"/>
        </w:rPr>
        <w:t xml:space="preserve">•  </w:t>
      </w:r>
      <w:r>
        <w:rPr>
          <w:b/>
          <w:sz w:val="20"/>
        </w:rPr>
        <w:t>Código Penal de la Nación (Ley 11.179)</w:t>
      </w:r>
      <w:r>
        <w:rPr>
          <w:sz w:val="20"/>
        </w:rPr>
        <w:t>, arts. 34, 35, 84, 94, 95 y 96. InfoLEG: servicios.infoleg.gob.ar/infolegInternet/anexos/15000-19999/16546/norma.htm (texto original) y texact.htm (texto actualizado).</w:t>
      </w:r>
    </w:p>
    <w:p>
      <w:pPr>
        <w:spacing w:after="50"/>
        <w:ind w:left="595" w:hanging="255"/>
        <w:jc w:val="both"/>
      </w:pPr>
      <w:r>
        <w:rPr>
          <w:sz w:val="20"/>
        </w:rPr>
        <w:t xml:space="preserve">•  </w:t>
      </w:r>
      <w:r>
        <w:rPr>
          <w:b/>
          <w:sz w:val="20"/>
        </w:rPr>
        <w:t>Código Civil y Comercial de la Nación</w:t>
      </w:r>
      <w:r>
        <w:rPr>
          <w:sz w:val="20"/>
        </w:rPr>
        <w:t>, art. 1718 y arts. 1774 y ss.</w:t>
      </w:r>
    </w:p>
    <w:p>
      <w:pPr>
        <w:spacing w:after="50"/>
        <w:ind w:left="595" w:hanging="255"/>
        <w:jc w:val="both"/>
      </w:pPr>
      <w:r>
        <w:rPr>
          <w:sz w:val="20"/>
        </w:rPr>
        <w:t xml:space="preserve">•  </w:t>
      </w:r>
      <w:r>
        <w:rPr>
          <w:b/>
          <w:sz w:val="20"/>
        </w:rPr>
        <w:t>Constitución Nacional</w:t>
      </w:r>
      <w:r>
        <w:rPr>
          <w:sz w:val="20"/>
        </w:rPr>
        <w:t>, arts. 18, 19 y 75, inc. 22.</w:t>
      </w:r>
    </w:p>
    <w:p>
      <w:pPr>
        <w:spacing w:after="50"/>
        <w:ind w:left="595" w:hanging="255"/>
        <w:jc w:val="both"/>
      </w:pPr>
      <w:r>
        <w:rPr>
          <w:sz w:val="20"/>
        </w:rPr>
        <w:t xml:space="preserve">•  </w:t>
      </w:r>
      <w:r>
        <w:rPr>
          <w:b/>
          <w:sz w:val="20"/>
        </w:rPr>
        <w:t>Ley 24.632</w:t>
      </w:r>
      <w:r>
        <w:rPr>
          <w:sz w:val="20"/>
        </w:rPr>
        <w:t xml:space="preserve"> (Convención de Belém do Pará); </w:t>
      </w:r>
      <w:r>
        <w:rPr>
          <w:b/>
          <w:sz w:val="20"/>
        </w:rPr>
        <w:t>Ley 26.485</w:t>
      </w:r>
      <w:r>
        <w:rPr>
          <w:sz w:val="20"/>
        </w:rPr>
        <w:t xml:space="preserve"> y decreto 1011/2010.</w:t>
      </w:r>
    </w:p>
    <w:p>
      <w:pPr>
        <w:spacing w:after="50"/>
        <w:ind w:left="595" w:hanging="255"/>
        <w:jc w:val="both"/>
      </w:pPr>
      <w:r>
        <w:rPr>
          <w:sz w:val="20"/>
        </w:rPr>
        <w:t xml:space="preserve">•  </w:t>
      </w:r>
      <w:r>
        <w:rPr>
          <w:b/>
          <w:sz w:val="20"/>
        </w:rPr>
        <w:t>Provincia de Córdoba:</w:t>
      </w:r>
      <w:r>
        <w:rPr>
          <w:sz w:val="20"/>
        </w:rPr>
        <w:t xml:space="preserve"> Código Procesal Penal (Ley 8123); Ley 9182 (jurados) — </w:t>
      </w:r>
      <w:r>
        <w:rPr>
          <w:b/>
          <w:sz w:val="20"/>
        </w:rPr>
        <w:t>verificar vigencia y alcance</w:t>
      </w:r>
      <w:r>
        <w:rPr>
          <w:sz w:val="20"/>
        </w:rPr>
        <w:t>.</w:t>
      </w:r>
    </w:p>
    <w:p>
      <w:pPr>
        <w:spacing w:after="50"/>
        <w:ind w:left="595" w:hanging="255"/>
        <w:jc w:val="both"/>
      </w:pPr>
      <w:r>
        <w:rPr>
          <w:sz w:val="20"/>
        </w:rPr>
        <w:t xml:space="preserve">•  </w:t>
      </w:r>
      <w:r>
        <w:rPr>
          <w:b/>
          <w:sz w:val="20"/>
        </w:rPr>
        <w:t>ONU:</w:t>
      </w:r>
      <w:r>
        <w:rPr>
          <w:sz w:val="20"/>
        </w:rPr>
        <w:t xml:space="preserve"> Principios Básicos sobre el empleo de la fuerza y de armas de fuego (1990); Código de conducta para funcionarios encargados de hacer cumplir la ley (resolución 34/169, 1979) — </w:t>
      </w:r>
      <w:r>
        <w:rPr>
          <w:b/>
          <w:sz w:val="20"/>
        </w:rPr>
        <w:t>verificar citas</w:t>
      </w:r>
      <w:r>
        <w:rPr>
          <w:sz w:val="20"/>
        </w:rPr>
        <w:t>.</w:t>
      </w:r>
    </w:p>
    <w:p>
      <w:pPr>
        <w:pStyle w:val="Heading2"/>
      </w:pPr>
      <w:r>
        <w:t>16.2. Doctrina (verificar edición y página antes de citar)</w:t>
      </w:r>
    </w:p>
    <w:p>
      <w:pPr>
        <w:spacing w:after="50"/>
        <w:ind w:left="595" w:hanging="255"/>
        <w:jc w:val="both"/>
      </w:pPr>
      <w:r>
        <w:rPr>
          <w:sz w:val="20"/>
        </w:rPr>
        <w:t xml:space="preserve">•  Soler, Sebastián: </w:t>
      </w:r>
      <w:r>
        <w:rPr>
          <w:i/>
          <w:sz w:val="20"/>
        </w:rPr>
        <w:t>Derecho Penal Argentino</w:t>
      </w:r>
      <w:r>
        <w:rPr>
          <w:sz w:val="20"/>
        </w:rPr>
        <w:t xml:space="preserve"> (tomo I), TEA.</w:t>
      </w:r>
    </w:p>
    <w:p>
      <w:pPr>
        <w:spacing w:after="50"/>
        <w:ind w:left="595" w:hanging="255"/>
        <w:jc w:val="both"/>
      </w:pPr>
      <w:r>
        <w:rPr>
          <w:sz w:val="20"/>
        </w:rPr>
        <w:t xml:space="preserve">•  Núñez, Ricardo C.: </w:t>
      </w:r>
      <w:r>
        <w:rPr>
          <w:i/>
          <w:sz w:val="20"/>
        </w:rPr>
        <w:t>Tratado de Derecho Penal</w:t>
      </w:r>
      <w:r>
        <w:rPr>
          <w:sz w:val="20"/>
        </w:rPr>
        <w:t xml:space="preserve"> y </w:t>
      </w:r>
      <w:r>
        <w:rPr>
          <w:i/>
          <w:sz w:val="20"/>
        </w:rPr>
        <w:t>Manual de Derecho Penal. Parte General</w:t>
      </w:r>
      <w:r>
        <w:rPr>
          <w:sz w:val="20"/>
        </w:rPr>
        <w:t>, Marcos Lerner (Córdoba).</w:t>
      </w:r>
    </w:p>
    <w:p>
      <w:pPr>
        <w:spacing w:after="50"/>
        <w:ind w:left="595" w:hanging="255"/>
        <w:jc w:val="both"/>
      </w:pPr>
      <w:r>
        <w:rPr>
          <w:sz w:val="20"/>
        </w:rPr>
        <w:t xml:space="preserve">•  Fontán Balestra, Carlos: </w:t>
      </w:r>
      <w:r>
        <w:rPr>
          <w:i/>
          <w:sz w:val="20"/>
        </w:rPr>
        <w:t>Tratado de Derecho Penal</w:t>
      </w:r>
      <w:r>
        <w:rPr>
          <w:sz w:val="20"/>
        </w:rPr>
        <w:t>, Abeledo-Perrot.</w:t>
      </w:r>
    </w:p>
    <w:p>
      <w:pPr>
        <w:spacing w:after="50"/>
        <w:ind w:left="595" w:hanging="255"/>
        <w:jc w:val="both"/>
      </w:pPr>
      <w:r>
        <w:rPr>
          <w:sz w:val="20"/>
        </w:rPr>
        <w:t xml:space="preserve">•  Creus, Carlos: </w:t>
      </w:r>
      <w:r>
        <w:rPr>
          <w:i/>
          <w:sz w:val="20"/>
        </w:rPr>
        <w:t>Derecho Penal. Parte General</w:t>
      </w:r>
      <w:r>
        <w:rPr>
          <w:sz w:val="20"/>
        </w:rPr>
        <w:t>, Astrea.</w:t>
      </w:r>
    </w:p>
    <w:p>
      <w:pPr>
        <w:spacing w:after="50"/>
        <w:ind w:left="595" w:hanging="255"/>
        <w:jc w:val="both"/>
      </w:pPr>
      <w:r>
        <w:rPr>
          <w:sz w:val="20"/>
        </w:rPr>
        <w:t xml:space="preserve">•  Zaffaroni, E. R.; Alagia, A.; Slokar, A.: </w:t>
      </w:r>
      <w:r>
        <w:rPr>
          <w:i/>
          <w:sz w:val="20"/>
        </w:rPr>
        <w:t>Derecho Penal. Parte General</w:t>
      </w:r>
      <w:r>
        <w:rPr>
          <w:sz w:val="20"/>
        </w:rPr>
        <w:t xml:space="preserve"> y </w:t>
      </w:r>
      <w:r>
        <w:rPr>
          <w:i/>
          <w:sz w:val="20"/>
        </w:rPr>
        <w:t>Manual de Derecho Penal. Parte General</w:t>
      </w:r>
      <w:r>
        <w:rPr>
          <w:sz w:val="20"/>
        </w:rPr>
        <w:t xml:space="preserve">, Ediar. (Un registro bibliográfico consigna </w:t>
      </w:r>
      <w:r>
        <w:rPr>
          <w:i/>
          <w:sz w:val="20"/>
        </w:rPr>
        <w:t>Manual</w:t>
      </w:r>
      <w:r>
        <w:rPr>
          <w:sz w:val="20"/>
        </w:rPr>
        <w:t>, 2.ª ed., 5.ª reimpr., 2010, 788 pp.)</w:t>
      </w:r>
    </w:p>
    <w:p>
      <w:pPr>
        <w:spacing w:after="50"/>
        <w:ind w:left="595" w:hanging="255"/>
        <w:jc w:val="both"/>
      </w:pPr>
      <w:r>
        <w:rPr>
          <w:sz w:val="20"/>
        </w:rPr>
        <w:t xml:space="preserve">•  Donna, Edgardo A.: </w:t>
      </w:r>
      <w:r>
        <w:rPr>
          <w:i/>
          <w:sz w:val="20"/>
        </w:rPr>
        <w:t>Derecho Penal. Parte General</w:t>
      </w:r>
      <w:r>
        <w:rPr>
          <w:sz w:val="20"/>
        </w:rPr>
        <w:t>, Rubinzal-Culzoni.</w:t>
      </w:r>
    </w:p>
    <w:p>
      <w:pPr>
        <w:spacing w:after="50"/>
        <w:ind w:left="595" w:hanging="255"/>
        <w:jc w:val="both"/>
      </w:pPr>
      <w:r>
        <w:rPr>
          <w:sz w:val="20"/>
        </w:rPr>
        <w:t xml:space="preserve">•  Righi, Esteban: </w:t>
      </w:r>
      <w:r>
        <w:rPr>
          <w:i/>
          <w:sz w:val="20"/>
        </w:rPr>
        <w:t>Derecho Penal. Parte General</w:t>
      </w:r>
      <w:r>
        <w:rPr>
          <w:sz w:val="20"/>
        </w:rPr>
        <w:t>, Abeledo-Perrot.</w:t>
      </w:r>
    </w:p>
    <w:p>
      <w:pPr>
        <w:spacing w:after="50"/>
        <w:ind w:left="595" w:hanging="255"/>
        <w:jc w:val="both"/>
      </w:pPr>
      <w:r>
        <w:rPr>
          <w:sz w:val="20"/>
        </w:rPr>
        <w:t xml:space="preserve">•  Roxin, Claus: </w:t>
      </w:r>
      <w:r>
        <w:rPr>
          <w:i/>
          <w:sz w:val="20"/>
        </w:rPr>
        <w:t>Derecho Penal. Parte General</w:t>
      </w:r>
      <w:r>
        <w:rPr>
          <w:sz w:val="20"/>
        </w:rPr>
        <w:t>, tomo I, § 15 (legítima defensa), Civitas.</w:t>
      </w:r>
    </w:p>
    <w:p>
      <w:pPr>
        <w:spacing w:after="50"/>
        <w:ind w:left="595" w:hanging="255"/>
        <w:jc w:val="both"/>
      </w:pPr>
      <w:r>
        <w:rPr>
          <w:sz w:val="20"/>
        </w:rPr>
        <w:t xml:space="preserve">•  Walker, Lenore: </w:t>
      </w:r>
      <w:r>
        <w:rPr>
          <w:i/>
          <w:sz w:val="20"/>
        </w:rPr>
        <w:t>The Battered Woman Syndrome</w:t>
      </w:r>
      <w:r>
        <w:rPr>
          <w:sz w:val="20"/>
        </w:rPr>
        <w:t xml:space="preserve"> (síndrome de la mujer golpeada).</w:t>
      </w:r>
    </w:p>
    <w:p>
      <w:pPr>
        <w:spacing w:after="50"/>
        <w:ind w:left="595" w:hanging="255"/>
        <w:jc w:val="both"/>
      </w:pPr>
      <w:r>
        <w:rPr>
          <w:sz w:val="20"/>
        </w:rPr>
        <w:t>•  Welzel, Hans; Jakobs, Günther: textos de referencia sobre la estructura de las causas de justificación (consultar edición en castellano).</w:t>
      </w:r>
    </w:p>
    <w:p>
      <w:pPr>
        <w:spacing w:after="50"/>
        <w:ind w:left="595" w:hanging="255"/>
        <w:jc w:val="both"/>
      </w:pPr>
      <w:r>
        <w:rPr>
          <w:sz w:val="20"/>
        </w:rPr>
        <w:t>•  Notas a fallo consultadas sobre sentencias del TSJ de Córdoba (repositorio de la Universidad Siglo 21, Palabras del Derecho, Diario Judicial): utilizar solo para ubicar el fallo, no como sustituto de su lectura.</w:t>
      </w:r>
    </w:p>
    <w:p>
      <w:pPr>
        <w:pStyle w:val="Heading2"/>
      </w:pPr>
      <w:r>
        <w:t>16.3. Fuentes jurisprudenciales y enlaces</w:t>
      </w:r>
    </w:p>
    <w:p>
      <w:pPr>
        <w:jc w:val="both"/>
      </w:pPr>
      <w:r>
        <w:rPr>
          <w:sz w:val="18"/>
        </w:rPr>
        <w:t>Enlaces utilizados al preparar el material. Muchos sitios oficiales no estaban accesibles desde el entorno de trabajo: los datos se obtuvieron a través de una base de consulta (Legal Data Hunter), con los textos que esa base reproduce de InfoLEG, de la CSJN y del SAIJ.</w:t>
      </w:r>
    </w:p>
    <w:p>
      <w:pPr>
        <w:spacing w:after="30"/>
      </w:pPr>
      <w:r>
        <w:rPr>
          <w:b/>
          <w:sz w:val="15"/>
        </w:rPr>
        <w:t>CSJN, Leiva:</w:t>
      </w:r>
      <w:r>
        <w:rPr>
          <w:sz w:val="15"/>
        </w:rPr>
        <w:t xml:space="preserve"> </w:t>
      </w:r>
      <w:r>
        <w:rPr>
          <w:color w:val="5A626E"/>
          <w:sz w:val="14"/>
        </w:rPr>
        <w:t>https://sjconsulta.csjn.gov.ar/sjconsulta/documentos/verDocumentoByIdLinks498.html?idAnalisis=9749</w:t>
      </w:r>
    </w:p>
    <w:p>
      <w:pPr>
        <w:spacing w:after="30"/>
      </w:pPr>
      <w:r>
        <w:rPr>
          <w:b/>
          <w:sz w:val="15"/>
        </w:rPr>
        <w:t>CSJN, San Roque:</w:t>
      </w:r>
      <w:r>
        <w:rPr>
          <w:sz w:val="15"/>
        </w:rPr>
        <w:t xml:space="preserve"> </w:t>
      </w:r>
      <w:r>
        <w:rPr>
          <w:color w:val="5A626E"/>
          <w:sz w:val="14"/>
        </w:rPr>
        <w:t>https://sjconsulta.csjn.gov.ar/sjconsulta/documentos/verDocumentoByIdLinks498.html?idAnalisis=829852</w:t>
      </w:r>
    </w:p>
    <w:p>
      <w:pPr>
        <w:spacing w:after="30"/>
      </w:pPr>
      <w:r>
        <w:rPr>
          <w:b/>
          <w:sz w:val="15"/>
        </w:rPr>
        <w:t>Leiva, dictamen (Pensamiento Penal):</w:t>
      </w:r>
      <w:r>
        <w:rPr>
          <w:sz w:val="15"/>
        </w:rPr>
        <w:t xml:space="preserve"> </w:t>
      </w:r>
      <w:r>
        <w:rPr>
          <w:color w:val="5A626E"/>
          <w:sz w:val="14"/>
        </w:rPr>
        <w:t>https://pensamientopenal.com.ar/fallos/35407-csjn-leiva-maria-cecilia-1112011-dictamen-del-procurador-sentencia-arbitraria</w:t>
      </w:r>
    </w:p>
    <w:p>
      <w:pPr>
        <w:spacing w:after="30"/>
      </w:pPr>
      <w:r>
        <w:rPr>
          <w:b/>
          <w:sz w:val="15"/>
        </w:rPr>
        <w:t>SAIJ SUL0006724:</w:t>
      </w:r>
      <w:r>
        <w:rPr>
          <w:sz w:val="15"/>
        </w:rPr>
        <w:t xml:space="preserve"> </w:t>
      </w:r>
      <w:r>
        <w:rPr>
          <w:color w:val="5A626E"/>
          <w:sz w:val="14"/>
        </w:rPr>
        <w:t>https://www.saij.gob.ar/sumario/homicidio-calificado-legitima-defensa-sul0006724</w:t>
      </w:r>
    </w:p>
    <w:p>
      <w:pPr>
        <w:spacing w:after="30"/>
      </w:pPr>
      <w:r>
        <w:rPr>
          <w:b/>
          <w:sz w:val="15"/>
        </w:rPr>
        <w:t>SAIJ SUB0962927:</w:t>
      </w:r>
      <w:r>
        <w:rPr>
          <w:sz w:val="15"/>
        </w:rPr>
        <w:t xml:space="preserve"> </w:t>
      </w:r>
      <w:r>
        <w:rPr>
          <w:color w:val="5A626E"/>
          <w:sz w:val="14"/>
        </w:rPr>
        <w:t>https://www.saij.gob.ar/sumario/homicidio-legitima-defensa-sub0962927</w:t>
      </w:r>
    </w:p>
    <w:p>
      <w:pPr>
        <w:spacing w:after="30"/>
      </w:pPr>
      <w:r>
        <w:rPr>
          <w:b/>
          <w:sz w:val="15"/>
        </w:rPr>
        <w:t>SAIJ SUB0962926:</w:t>
      </w:r>
      <w:r>
        <w:rPr>
          <w:sz w:val="15"/>
        </w:rPr>
        <w:t xml:space="preserve"> </w:t>
      </w:r>
      <w:r>
        <w:rPr>
          <w:color w:val="5A626E"/>
          <w:sz w:val="14"/>
        </w:rPr>
        <w:t>https://www.saij.gob.ar/sumario/homicidio-legitima-defensa-sub0962926</w:t>
      </w:r>
    </w:p>
    <w:p>
      <w:pPr>
        <w:spacing w:after="30"/>
      </w:pPr>
      <w:r>
        <w:rPr>
          <w:b/>
          <w:sz w:val="15"/>
        </w:rPr>
        <w:t>SAIJ SUR0022636:</w:t>
      </w:r>
      <w:r>
        <w:rPr>
          <w:sz w:val="15"/>
        </w:rPr>
        <w:t xml:space="preserve"> </w:t>
      </w:r>
      <w:r>
        <w:rPr>
          <w:color w:val="5A626E"/>
          <w:sz w:val="14"/>
        </w:rPr>
        <w:t>https://www.saij.gob.ar/sumario/legitima-defensa-sur0022636</w:t>
      </w:r>
    </w:p>
    <w:p>
      <w:pPr>
        <w:spacing w:after="30"/>
      </w:pPr>
      <w:r>
        <w:rPr>
          <w:b/>
          <w:sz w:val="15"/>
        </w:rPr>
        <w:t>SAIJ SUG0034562:</w:t>
      </w:r>
      <w:r>
        <w:rPr>
          <w:sz w:val="15"/>
        </w:rPr>
        <w:t xml:space="preserve"> </w:t>
      </w:r>
      <w:r>
        <w:rPr>
          <w:color w:val="5A626E"/>
          <w:sz w:val="14"/>
        </w:rPr>
        <w:t>https://www.saij.gob.ar/sumario/homicidio-simple-legitima-defensa-exceso-legitima-defensa-sug0034562</w:t>
      </w:r>
    </w:p>
    <w:p>
      <w:pPr>
        <w:spacing w:after="30"/>
      </w:pPr>
      <w:r>
        <w:rPr>
          <w:b/>
          <w:sz w:val="15"/>
        </w:rPr>
        <w:t>SAIJ SUJ0050383:</w:t>
      </w:r>
      <w:r>
        <w:rPr>
          <w:sz w:val="15"/>
        </w:rPr>
        <w:t xml:space="preserve"> </w:t>
      </w:r>
      <w:r>
        <w:rPr>
          <w:color w:val="5A626E"/>
          <w:sz w:val="14"/>
        </w:rPr>
        <w:t>https://www.saij.gob.ar/sumario/recurso-inconstitucionalidad-recurso-queja-procesal-homicidio-prueba-legitima-defensa-suj0050383</w:t>
      </w:r>
    </w:p>
    <w:p>
      <w:pPr>
        <w:spacing w:after="30"/>
      </w:pPr>
      <w:r>
        <w:rPr>
          <w:b/>
          <w:sz w:val="15"/>
        </w:rPr>
        <w:t>SAIJ SUW0003151:</w:t>
      </w:r>
      <w:r>
        <w:rPr>
          <w:sz w:val="15"/>
        </w:rPr>
        <w:t xml:space="preserve"> </w:t>
      </w:r>
      <w:r>
        <w:rPr>
          <w:color w:val="5A626E"/>
          <w:sz w:val="14"/>
        </w:rPr>
        <w:t>https://www.saij.gob.ar/sumario/sentencia-absolutoria-legitima-defensa-violencia-genero-homicidio-suw0003151</w:t>
      </w:r>
    </w:p>
    <w:p>
      <w:pPr>
        <w:spacing w:after="30"/>
      </w:pPr>
      <w:r>
        <w:rPr>
          <w:b/>
          <w:sz w:val="15"/>
        </w:rPr>
        <w:t>SAIJ SUF0085447:</w:t>
      </w:r>
      <w:r>
        <w:rPr>
          <w:sz w:val="15"/>
        </w:rPr>
        <w:t xml:space="preserve"> </w:t>
      </w:r>
      <w:r>
        <w:rPr>
          <w:color w:val="5A626E"/>
          <w:sz w:val="14"/>
        </w:rPr>
        <w:t>https://www.saij.gob.ar/sumario/legitima-defensa-suf0085447</w:t>
      </w:r>
    </w:p>
    <w:p>
      <w:pPr>
        <w:spacing w:after="30"/>
      </w:pPr>
      <w:r>
        <w:rPr>
          <w:b/>
          <w:sz w:val="15"/>
        </w:rPr>
        <w:t>SAIJ SUF0085448:</w:t>
      </w:r>
      <w:r>
        <w:rPr>
          <w:sz w:val="15"/>
        </w:rPr>
        <w:t xml:space="preserve"> </w:t>
      </w:r>
      <w:r>
        <w:rPr>
          <w:color w:val="5A626E"/>
          <w:sz w:val="14"/>
        </w:rPr>
        <w:t>https://www.saij.gob.ar/sumario/legitima-defensa-suf0085448</w:t>
      </w:r>
    </w:p>
    <w:p>
      <w:pPr>
        <w:spacing w:after="30"/>
      </w:pPr>
      <w:r>
        <w:rPr>
          <w:b/>
          <w:sz w:val="15"/>
        </w:rPr>
        <w:t>SAIJ SUG0034931:</w:t>
      </w:r>
      <w:r>
        <w:rPr>
          <w:sz w:val="15"/>
        </w:rPr>
        <w:t xml:space="preserve"> </w:t>
      </w:r>
      <w:r>
        <w:rPr>
          <w:color w:val="5A626E"/>
          <w:sz w:val="14"/>
        </w:rPr>
        <w:t>https://www.saij.gob.ar/sumario/imputado-homicidio-preterintencional-procesamiento-fuerzas-seguridad-legitima-defensa-sug0034931</w:t>
      </w:r>
    </w:p>
    <w:p>
      <w:pPr>
        <w:spacing w:after="30"/>
      </w:pPr>
      <w:r>
        <w:rPr>
          <w:b/>
          <w:sz w:val="15"/>
        </w:rPr>
        <w:t>SAIJ SUU0014956:</w:t>
      </w:r>
      <w:r>
        <w:rPr>
          <w:sz w:val="15"/>
        </w:rPr>
        <w:t xml:space="preserve"> </w:t>
      </w:r>
      <w:r>
        <w:rPr>
          <w:color w:val="5A626E"/>
          <w:sz w:val="14"/>
        </w:rPr>
        <w:t>https://www.saij.gob.ar/sumario/legitima-defensa-violencia-genero-perspectiva-genero-causas-justificacion-suu0014956</w:t>
      </w:r>
    </w:p>
    <w:p>
      <w:pPr>
        <w:spacing w:after="30"/>
      </w:pPr>
      <w:r>
        <w:rPr>
          <w:b/>
          <w:sz w:val="15"/>
        </w:rPr>
        <w:t>SAIJ SUR0022804:</w:t>
      </w:r>
      <w:r>
        <w:rPr>
          <w:sz w:val="15"/>
        </w:rPr>
        <w:t xml:space="preserve"> </w:t>
      </w:r>
      <w:r>
        <w:rPr>
          <w:color w:val="5A626E"/>
          <w:sz w:val="14"/>
        </w:rPr>
        <w:t>https://www.saij.gob.ar/sumario/exceso-legitima-defensa-sur0022804</w:t>
      </w:r>
    </w:p>
    <w:p>
      <w:pPr>
        <w:spacing w:after="30"/>
      </w:pPr>
      <w:r>
        <w:rPr>
          <w:b/>
          <w:sz w:val="15"/>
        </w:rPr>
        <w:t>SAIJ SUR0023870:</w:t>
      </w:r>
      <w:r>
        <w:rPr>
          <w:sz w:val="15"/>
        </w:rPr>
        <w:t xml:space="preserve"> </w:t>
      </w:r>
      <w:r>
        <w:rPr>
          <w:color w:val="5A626E"/>
          <w:sz w:val="14"/>
        </w:rPr>
        <w:t>https://www.saij.gob.ar/sumario/causas-justificacion-codigo-penal-policia-transito-superior-tribunal-justicia-confirmacion-sentencia-jurisprudencia-aplicable-homicidio-calificado-exceso-legitima-defensa-sur0023870</w:t>
      </w:r>
    </w:p>
    <w:p>
      <w:pPr>
        <w:spacing w:after="30"/>
      </w:pPr>
      <w:r>
        <w:rPr>
          <w:b/>
          <w:sz w:val="15"/>
        </w:rPr>
        <w:t>SAIJ SUG0035447:</w:t>
      </w:r>
      <w:r>
        <w:rPr>
          <w:sz w:val="15"/>
        </w:rPr>
        <w:t xml:space="preserve"> </w:t>
      </w:r>
      <w:r>
        <w:rPr>
          <w:color w:val="5A626E"/>
          <w:sz w:val="14"/>
        </w:rPr>
        <w:t>https://www.saij.gob.ar/sumario/confirmacion-sentencia-homicidio-simple-exceso-legitima-defensa-procesamiento-sug0035447</w:t>
      </w:r>
    </w:p>
    <w:p>
      <w:pPr>
        <w:spacing w:after="30"/>
      </w:pPr>
      <w:r>
        <w:rPr>
          <w:b/>
          <w:sz w:val="15"/>
        </w:rPr>
        <w:t>SAIJ SUG0035635:</w:t>
      </w:r>
      <w:r>
        <w:rPr>
          <w:sz w:val="15"/>
        </w:rPr>
        <w:t xml:space="preserve"> </w:t>
      </w:r>
      <w:r>
        <w:rPr>
          <w:color w:val="5A626E"/>
          <w:sz w:val="14"/>
        </w:rPr>
        <w:t>https://www.saij.gob.ar/sumario/confirmacion-sentencia-exceso-legitima-defensa-sug0035635</w:t>
      </w:r>
    </w:p>
    <w:p>
      <w:pPr>
        <w:spacing w:after="30"/>
      </w:pPr>
      <w:r>
        <w:rPr>
          <w:b/>
          <w:sz w:val="15"/>
        </w:rPr>
        <w:t>SAIJ SUG0035674:</w:t>
      </w:r>
      <w:r>
        <w:rPr>
          <w:sz w:val="15"/>
        </w:rPr>
        <w:t xml:space="preserve"> </w:t>
      </w:r>
      <w:r>
        <w:rPr>
          <w:color w:val="5A626E"/>
          <w:sz w:val="14"/>
        </w:rPr>
        <w:t>https://www.saij.gob.ar/sumario/confirmacion-sentencia-homicidio-calificado-vinculo-exceso-legitima-defensa-procesamiento-sug0035674</w:t>
      </w:r>
    </w:p>
    <w:p>
      <w:pPr>
        <w:spacing w:after="30"/>
      </w:pPr>
      <w:r>
        <w:rPr>
          <w:b/>
          <w:sz w:val="15"/>
        </w:rPr>
        <w:t>SAIJ SUJ0053705:</w:t>
      </w:r>
      <w:r>
        <w:rPr>
          <w:sz w:val="15"/>
        </w:rPr>
        <w:t xml:space="preserve"> </w:t>
      </w:r>
      <w:r>
        <w:rPr>
          <w:color w:val="5A626E"/>
          <w:sz w:val="14"/>
        </w:rPr>
        <w:t>https://www.saij.gob.ar/sumario/recurso-inconstitucionalidad-prueba-doctrina-arbitrariedad-exceso-legitima-defensa-suj0053705</w:t>
      </w:r>
    </w:p>
    <w:p>
      <w:pPr>
        <w:spacing w:after="30"/>
      </w:pPr>
      <w:r>
        <w:rPr>
          <w:b/>
          <w:sz w:val="15"/>
        </w:rPr>
        <w:t>SAIJ SUJ0050957:</w:t>
      </w:r>
      <w:r>
        <w:rPr>
          <w:sz w:val="15"/>
        </w:rPr>
        <w:t xml:space="preserve"> </w:t>
      </w:r>
      <w:r>
        <w:rPr>
          <w:color w:val="5A626E"/>
          <w:sz w:val="14"/>
        </w:rPr>
        <w:t>https://www.saij.gob.ar/sumario/recurso-inconstitucionalidad-derivacion-razonada-derecho-vigente-cuestion-constitucional-prueba-homicidio-legitima-defensa-agresion-ilegitima-suj0050957</w:t>
      </w:r>
    </w:p>
    <w:p>
      <w:pPr>
        <w:spacing w:after="30"/>
      </w:pPr>
      <w:r>
        <w:rPr>
          <w:b/>
          <w:sz w:val="15"/>
        </w:rPr>
        <w:t>SAIJ SUJ0053723:</w:t>
      </w:r>
      <w:r>
        <w:rPr>
          <w:sz w:val="15"/>
        </w:rPr>
        <w:t xml:space="preserve"> </w:t>
      </w:r>
      <w:r>
        <w:rPr>
          <w:color w:val="5A626E"/>
          <w:sz w:val="14"/>
        </w:rPr>
        <w:t>https://www.saij.gob.ar/sumario/recurso-inconstitucionalidad-recurso-queja-procesal-prueba-proceso-penal-imputado-sentencia-absolutoria-legitima-defensa-suj0053723</w:t>
      </w:r>
    </w:p>
    <w:p>
      <w:pPr>
        <w:spacing w:after="30"/>
      </w:pPr>
      <w:r>
        <w:rPr>
          <w:b/>
          <w:sz w:val="15"/>
        </w:rPr>
        <w:t>SAIJ SUH0006470:</w:t>
      </w:r>
      <w:r>
        <w:rPr>
          <w:sz w:val="15"/>
        </w:rPr>
        <w:t xml:space="preserve"> </w:t>
      </w:r>
      <w:r>
        <w:rPr>
          <w:color w:val="5A626E"/>
          <w:sz w:val="14"/>
        </w:rPr>
        <w:t>https://www.saij.gob.ar/sumario/homicidio-calificado-vinculo-legitima-defensa-violencia-genero-apreciacion-prueba-confirmacion-sentencia-suh0006470</w:t>
      </w:r>
    </w:p>
    <w:p>
      <w:pPr>
        <w:spacing w:after="30"/>
      </w:pPr>
      <w:r>
        <w:rPr>
          <w:b/>
          <w:sz w:val="15"/>
        </w:rPr>
        <w:t>SAIJ SU20007522:</w:t>
      </w:r>
      <w:r>
        <w:rPr>
          <w:sz w:val="15"/>
        </w:rPr>
        <w:t xml:space="preserve"> </w:t>
      </w:r>
      <w:r>
        <w:rPr>
          <w:color w:val="5A626E"/>
          <w:sz w:val="14"/>
        </w:rPr>
        <w:t>https://www.saij.gob.ar/sumario/insuficiencia-agravio-homicidio-simple-perspectiva-genero-legitima-defensa-su20007522</w:t>
      </w:r>
    </w:p>
    <w:p>
      <w:pPr>
        <w:spacing w:after="30"/>
      </w:pPr>
      <w:r>
        <w:rPr>
          <w:b/>
          <w:sz w:val="15"/>
        </w:rPr>
        <w:t>SAIJ SUA0083365:</w:t>
      </w:r>
      <w:r>
        <w:rPr>
          <w:sz w:val="15"/>
        </w:rPr>
        <w:t xml:space="preserve"> </w:t>
      </w:r>
      <w:r>
        <w:rPr>
          <w:color w:val="5A626E"/>
          <w:sz w:val="14"/>
        </w:rPr>
        <w:t>https://www.saij.gob.ar/sumario/sentencia-condenatoria-homicidio-personas-discapacidad-violencia-genero-abuso-sexual-legitima-defensa-apreciacion-prueba-sentencia-arbitraria-sua0083365</w:t>
      </w:r>
    </w:p>
    <w:p>
      <w:pPr>
        <w:spacing w:after="30"/>
      </w:pPr>
      <w:r>
        <w:rPr>
          <w:b/>
          <w:sz w:val="15"/>
        </w:rPr>
        <w:t>SAIJ SUA0083366:</w:t>
      </w:r>
      <w:r>
        <w:rPr>
          <w:sz w:val="15"/>
        </w:rPr>
        <w:t xml:space="preserve"> </w:t>
      </w:r>
      <w:r>
        <w:rPr>
          <w:color w:val="5A626E"/>
          <w:sz w:val="14"/>
        </w:rPr>
        <w:t>https://www.saij.gob.ar/sumario/sentencia-condenatoria-homicidio-personas-discapacidad-violencia-genero-abuso-sexual-legitima-defensa-derecho-ser-oido-sentencia-arbitraria-sua0083366</w:t>
      </w:r>
    </w:p>
    <w:p>
      <w:pPr>
        <w:spacing w:after="30"/>
      </w:pPr>
      <w:r>
        <w:rPr>
          <w:b/>
          <w:sz w:val="15"/>
        </w:rPr>
        <w:t>SAIJ SUJ0052532:</w:t>
      </w:r>
      <w:r>
        <w:rPr>
          <w:sz w:val="15"/>
        </w:rPr>
        <w:t xml:space="preserve"> </w:t>
      </w:r>
      <w:r>
        <w:rPr>
          <w:color w:val="5A626E"/>
          <w:sz w:val="14"/>
        </w:rPr>
        <w:t>https://www.saij.gob.ar/sumario/recurso-inconstitucionalidad-recurso-queja-procesal-error-prohibicion-agresion-ilegitima-suj0052532</w:t>
      </w:r>
    </w:p>
    <w:p>
      <w:pPr>
        <w:spacing w:after="30"/>
      </w:pPr>
      <w:r>
        <w:rPr>
          <w:b/>
          <w:sz w:val="15"/>
        </w:rPr>
        <w:t>HCDN 1661-D-2024:</w:t>
      </w:r>
      <w:r>
        <w:rPr>
          <w:sz w:val="15"/>
        </w:rPr>
        <w:t xml:space="preserve"> </w:t>
      </w:r>
      <w:r>
        <w:rPr>
          <w:color w:val="5A626E"/>
          <w:sz w:val="14"/>
        </w:rPr>
        <w:t>https://www4.hcdn.gob.ar/dependencias/dsecretaria/Periodo2024/PDF2024/TP2024/1661-D-2024.pdf</w:t>
      </w:r>
    </w:p>
    <w:p>
      <w:pPr>
        <w:spacing w:after="30"/>
      </w:pPr>
      <w:r>
        <w:rPr>
          <w:b/>
          <w:sz w:val="15"/>
        </w:rPr>
        <w:t>HCDN 0791-D-2021:</w:t>
      </w:r>
      <w:r>
        <w:rPr>
          <w:sz w:val="15"/>
        </w:rPr>
        <w:t xml:space="preserve"> </w:t>
      </w:r>
      <w:r>
        <w:rPr>
          <w:color w:val="5A626E"/>
          <w:sz w:val="14"/>
        </w:rPr>
        <w:t>https://www4.hcdn.gob.ar/dependencias/dsecretaria/Periodo2021/PDF2021/TP2021/0791-D-2021.pdf</w:t>
      </w:r>
    </w:p>
    <w:p>
      <w:pPr>
        <w:spacing w:after="30"/>
      </w:pPr>
      <w:r>
        <w:rPr>
          <w:b/>
          <w:sz w:val="15"/>
        </w:rPr>
        <w:t>HCDN 2647-D-2023:</w:t>
      </w:r>
      <w:r>
        <w:rPr>
          <w:sz w:val="15"/>
        </w:rPr>
        <w:t xml:space="preserve"> </w:t>
      </w:r>
      <w:r>
        <w:rPr>
          <w:color w:val="5A626E"/>
          <w:sz w:val="14"/>
        </w:rPr>
        <w:t>https://www4.hcdn.gob.ar/dependencias/dsecretaria/Periodo2023/PDF2023/TP2023/2647-D-2023.pdf</w:t>
      </w:r>
    </w:p>
    <w:p>
      <w:pPr>
        <w:spacing w:after="30"/>
      </w:pPr>
      <w:r>
        <w:rPr>
          <w:b/>
          <w:sz w:val="15"/>
        </w:rPr>
        <w:t>HCDN 0616-D-2024:</w:t>
      </w:r>
      <w:r>
        <w:rPr>
          <w:sz w:val="15"/>
        </w:rPr>
        <w:t xml:space="preserve"> </w:t>
      </w:r>
      <w:r>
        <w:rPr>
          <w:color w:val="5A626E"/>
          <w:sz w:val="14"/>
        </w:rPr>
        <w:t>https://www4.hcdn.gob.ar/dependencias/dsecretaria/Periodo2024/PDF2024/TP2024/0616-D-2024.pdf</w:t>
      </w:r>
    </w:p>
    <w:p>
      <w:pPr>
        <w:spacing w:after="30"/>
      </w:pPr>
      <w:r>
        <w:rPr>
          <w:b/>
          <w:sz w:val="15"/>
        </w:rPr>
        <w:t>Prensa: reforma, 17/10/2026:</w:t>
      </w:r>
      <w:r>
        <w:rPr>
          <w:sz w:val="15"/>
        </w:rPr>
        <w:t xml:space="preserve"> </w:t>
      </w:r>
      <w:r>
        <w:rPr>
          <w:color w:val="5A626E"/>
          <w:sz w:val="14"/>
        </w:rPr>
        <w:t>https://www.canal26.com/politica/2026/10/17/reforma-del-codigo-penal-el-gobierno-busca-aumentar-las-penas-por-robos-narcotrafico-y-delitos-contra-menores/</w:t>
      </w:r>
    </w:p>
    <w:p>
      <w:pPr>
        <w:spacing w:after="30"/>
      </w:pPr>
      <w:r>
        <w:rPr>
          <w:b/>
          <w:sz w:val="15"/>
        </w:rPr>
        <w:t>Prensa: reforma (El Liberal):</w:t>
      </w:r>
      <w:r>
        <w:rPr>
          <w:sz w:val="15"/>
        </w:rPr>
        <w:t xml:space="preserve"> </w:t>
      </w:r>
      <w:r>
        <w:rPr>
          <w:color w:val="5A626E"/>
          <w:sz w:val="14"/>
        </w:rPr>
        <w:t>https://www.elliberal.com.ar/nota/95134/2026/10/el-gobierno-enviara-la-reforma-del-codigo-penal-al-congreso-antes-de-fin-de-ano</w:t>
      </w:r>
    </w:p>
    <w:p>
      <w:pPr>
        <w:spacing w:after="30"/>
      </w:pPr>
      <w:r>
        <w:rPr>
          <w:b/>
          <w:sz w:val="15"/>
        </w:rPr>
        <w:t>Prensa: Chocobar (La Nación):</w:t>
      </w:r>
      <w:r>
        <w:rPr>
          <w:sz w:val="15"/>
        </w:rPr>
        <w:t xml:space="preserve"> </w:t>
      </w:r>
      <w:r>
        <w:rPr>
          <w:color w:val="5A626E"/>
          <w:sz w:val="14"/>
        </w:rPr>
        <w:t>https://www.lanacion.com.ar/seguridad/luis-chocobar-estoy-satisfecho-con-el-fallo-que-anulo-la-condena-nid06052024/</w:t>
      </w:r>
    </w:p>
    <w:p>
      <w:pPr>
        <w:spacing w:after="30"/>
      </w:pPr>
      <w:r>
        <w:rPr>
          <w:b/>
          <w:sz w:val="15"/>
        </w:rPr>
        <w:t>Nota: TSJ 507/2020 (UES21):</w:t>
      </w:r>
      <w:r>
        <w:rPr>
          <w:sz w:val="15"/>
        </w:rPr>
        <w:t xml:space="preserve"> </w:t>
      </w:r>
      <w:r>
        <w:rPr>
          <w:color w:val="5A626E"/>
          <w:sz w:val="14"/>
        </w:rPr>
        <w:t>https://repositorio.21.edu.ar/bitstreams/efff79d0-d113-466e-b278-620d7fa80cf8/download</w:t>
      </w:r>
    </w:p>
    <w:p>
      <w:pPr>
        <w:spacing w:after="30"/>
      </w:pPr>
      <w:r>
        <w:rPr>
          <w:b/>
          <w:sz w:val="15"/>
        </w:rPr>
        <w:t>Nota: Ocanto (Diario Judicial):</w:t>
      </w:r>
      <w:r>
        <w:rPr>
          <w:sz w:val="15"/>
        </w:rPr>
        <w:t xml:space="preserve"> </w:t>
      </w:r>
      <w:r>
        <w:rPr>
          <w:color w:val="5A626E"/>
          <w:sz w:val="14"/>
        </w:rPr>
        <w:t>https://www.diariojudicial.com/news-74493-fue-defensa-pero-no-tan-legitima</w:t>
      </w:r>
    </w:p>
    <w:p>
      <w:pPr>
        <w:pStyle w:val="Heading2"/>
      </w:pPr>
      <w:r>
        <w:t>16.4. Lista de verificación antes de la conferencia</w:t>
      </w:r>
    </w:p>
    <w:p>
      <w:pPr>
        <w:spacing w:after="50"/>
        <w:ind w:left="567" w:hanging="340"/>
        <w:jc w:val="both"/>
      </w:pPr>
      <w:r>
        <w:t xml:space="preserve">1.  Abrir cada </w:t>
      </w:r>
      <w:r>
        <w:rPr>
          <w:b/>
        </w:rPr>
        <w:t>sumario SAIJ</w:t>
      </w:r>
      <w:r>
        <w:t xml:space="preserve"> de este apunte y completar tribunal y carátula.</w:t>
      </w:r>
    </w:p>
    <w:p>
      <w:pPr>
        <w:spacing w:after="50"/>
        <w:ind w:left="567" w:hanging="340"/>
        <w:jc w:val="both"/>
      </w:pPr>
      <w:r>
        <w:t xml:space="preserve">2.  Leer la sentencia completa de </w:t>
      </w:r>
      <w:r>
        <w:rPr>
          <w:b/>
        </w:rPr>
        <w:t>«Leiva»</w:t>
      </w:r>
      <w:r>
        <w:t xml:space="preserve"> (Fallos 334:1204) y el dictamen de la Procuración General.</w:t>
      </w:r>
    </w:p>
    <w:p>
      <w:pPr>
        <w:spacing w:after="50"/>
        <w:ind w:left="567" w:hanging="340"/>
        <w:jc w:val="both"/>
      </w:pPr>
      <w:r>
        <w:t xml:space="preserve">3.  Confirmar en la base del Poder Judicial de Córdoba las sentencias </w:t>
      </w:r>
      <w:r>
        <w:rPr>
          <w:b/>
        </w:rPr>
        <w:t>n.º 507/2020, n.º 313/2008, n.º 207/2008</w:t>
      </w:r>
      <w:r>
        <w:t xml:space="preserve"> y el caso </w:t>
      </w:r>
      <w:r>
        <w:rPr>
          <w:b/>
        </w:rPr>
        <w:t>«Ocanto»</w:t>
      </w:r>
      <w:r>
        <w:t>.</w:t>
      </w:r>
    </w:p>
    <w:p>
      <w:pPr>
        <w:spacing w:after="50"/>
        <w:ind w:left="567" w:hanging="340"/>
        <w:jc w:val="both"/>
      </w:pPr>
      <w:r>
        <w:t xml:space="preserve">4.  Verificar el estado actual de </w:t>
      </w:r>
      <w:r>
        <w:rPr>
          <w:b/>
        </w:rPr>
        <w:t>«Chocobar»</w:t>
      </w:r>
      <w:r>
        <w:t xml:space="preserve"> y de la reforma del Código Penal.</w:t>
      </w:r>
    </w:p>
    <w:p>
      <w:pPr>
        <w:spacing w:after="50"/>
        <w:ind w:left="567" w:hanging="340"/>
        <w:jc w:val="both"/>
      </w:pPr>
      <w:r>
        <w:t xml:space="preserve">5.  Confirmar las </w:t>
      </w:r>
      <w:r>
        <w:rPr>
          <w:b/>
        </w:rPr>
        <w:t>escalas penales</w:t>
      </w:r>
      <w:r>
        <w:t xml:space="preserve"> de los arts. 84 y 94, el art. 350 y la numeración de los arts. 1774 y ss. del CCyC y de la Ley 26.485.</w:t>
      </w:r>
    </w:p>
    <w:p>
      <w:pPr>
        <w:spacing w:after="50"/>
        <w:ind w:left="567" w:hanging="340"/>
        <w:jc w:val="both"/>
      </w:pPr>
      <w:r>
        <w:t xml:space="preserve">6.  Completar edición y página de la </w:t>
      </w:r>
      <w:r>
        <w:rPr>
          <w:b/>
        </w:rPr>
        <w:t>doctrina</w:t>
      </w:r>
      <w:r>
        <w:t xml:space="preserve"> que se citará textualmente.</w:t>
      </w:r>
    </w:p>
    <w:p>
      <w:pPr>
        <w:spacing w:after="50"/>
        <w:ind w:left="567" w:hanging="340"/>
        <w:jc w:val="both"/>
      </w:pPr>
      <w:r>
        <w:t xml:space="preserve">7.  Verificar </w:t>
      </w:r>
      <w:r>
        <w:rPr>
          <w:b/>
        </w:rPr>
        <w:t>vigencia</w:t>
      </w:r>
      <w:r>
        <w:t xml:space="preserve"> de las leyes provinciales mencionadas (Ley 8123; Ley 9182).</w:t>
      </w:r>
    </w:p>
    <w:p>
      <w:pPr>
        <w:spacing w:after="50"/>
        <w:ind w:left="567" w:hanging="340"/>
        <w:jc w:val="both"/>
      </w:pPr>
      <w:r>
        <w:t xml:space="preserve">8.  Revisar las </w:t>
      </w:r>
      <w:r>
        <w:rPr>
          <w:b/>
        </w:rPr>
        <w:t>filminas</w:t>
      </w:r>
      <w:r>
        <w:t>: ajustar tipografía y colores si se proyectan en una sala amplia.</w:t>
      </w:r>
    </w:p>
    <w:tbl>
      <w:tblPr>
        <w:tblW w:type="auto" w:w="0"/>
        <w:jc w:val="center"/>
        <w:tblLayout w:type="fixed"/>
        <w:tblLook w:firstColumn="1" w:firstRow="1" w:lastColumn="0" w:lastRow="0" w:noHBand="0" w:noVBand="1" w:val="04A0"/>
      </w:tblPr>
      <w:tblGrid>
        <w:gridCol w:w="9412"/>
      </w:tblGrid>
      <w:tr>
        <w:trPr>
          <w:cantSplit w:val="true"/>
        </w:trPr>
        <w:tc>
          <w:tcPr>
            <w:tcW w:type="dxa" w:w="9411"/>
            <w:shd w:val="clear" w:color="auto" w:fill="FBECEC"/>
            <w:tcBorders>
              <w:top w:val="single" w:sz="4" w:color="A83232" w:space="0"/>
              <w:left w:val="single" w:sz="24" w:color="A83232" w:space="0"/>
              <w:bottom w:val="single" w:sz="4" w:color="A83232" w:space="0"/>
              <w:right w:val="single" w:sz="4" w:color="A83232" w:space="0"/>
            </w:tcBorders>
            <w:tcMar>
              <w:top w:w="80" w:type="dxa"/>
              <w:left w:w="160" w:type="dxa"/>
              <w:bottom w:w="80" w:type="dxa"/>
              <w:right w:w="140" w:type="dxa"/>
            </w:tcMar>
          </w:tcPr>
          <w:p>
            <w:pPr>
              <w:spacing w:after="60"/>
            </w:pPr>
            <w:r>
              <w:rPr>
                <w:b/>
                <w:color w:val="A83232"/>
                <w:sz w:val="21"/>
              </w:rPr>
              <w:t>Nota sobre limitaciones de esta preparación</w:t>
            </w:r>
          </w:p>
          <w:p>
            <w:pPr>
              <w:spacing w:after="50"/>
              <w:ind w:left="255" w:hanging="255"/>
              <w:jc w:val="both"/>
            </w:pPr>
            <w:r>
              <w:rPr>
                <w:sz w:val="20"/>
              </w:rPr>
              <w:t xml:space="preserve">•  La base de consulta utilizada alcanzó su límite diario de uso durante la preparación, por lo que algunos datos quedaron sin verificación adicional; se marcaron como </w:t>
            </w:r>
            <w:r>
              <w:rPr>
                <w:b/>
                <w:sz w:val="20"/>
              </w:rPr>
              <w:t>A CONFIRMAR</w:t>
            </w:r>
            <w:r>
              <w:rPr>
                <w:sz w:val="20"/>
              </w:rPr>
              <w:t>.</w:t>
            </w:r>
          </w:p>
          <w:p>
            <w:pPr>
              <w:spacing w:after="50"/>
              <w:ind w:left="255" w:hanging="255"/>
              <w:jc w:val="both"/>
            </w:pPr>
            <w:r>
              <w:rPr>
                <w:sz w:val="20"/>
              </w:rPr>
              <w:t>•  Muchos sitios oficiales (SAIJ, InfoLEG, medios) no estaban accesibles desde el entorno de trabajo; la información se obtuvo mediante búsquedas y la base mencionada.</w:t>
            </w:r>
          </w:p>
          <w:p>
            <w:pPr>
              <w:spacing w:after="50"/>
              <w:ind w:left="255" w:hanging="255"/>
              <w:jc w:val="both"/>
            </w:pPr>
            <w:r>
              <w:rPr>
                <w:sz w:val="20"/>
              </w:rPr>
              <w:t>•  Este material es una herramienta de estudio y no reemplaza la lectura de las fuentes primarias.</w:t>
            </w:r>
          </w:p>
        </w:tc>
      </w:tr>
    </w:tbl>
    <w:p>
      <w:pPr>
        <w:spacing w:after="40" w:line="120" w:lineRule="auto"/>
      </w:pPr>
    </w:p>
    <w:sectPr w:rsidR="00FC693F" w:rsidRPr="0006063C" w:rsidSect="00034616">
      <w:pgSz w:w="11906" w:h="16838"/>
      <w:pgMar w:top="1134" w:right="1247" w:bottom="1077" w:left="1247"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26E"/>
        <w:sz w:val="16"/>
      </w:rPr>
      <w:t xml:space="preserve">Legítima defensa en el Código Penal argentino · pág. </w:t>
    </w:r>
    <w:r>
      <w:rPr>
        <w:color w:val="5A626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Theme="majorHAnsi" w:eastAsiaTheme="majorEastAsia" w:hAnsiTheme="majorHAnsi" w:cstheme="majorBidi" w:ascii="Calibri" w:hAnsi="Calibri" w:eastAsia="Calibri"/>
      <w:b/>
      <w:bCs/>
      <w:color w:val="172B4D"/>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80"/>
      <w:outlineLvl w:val="1"/>
    </w:pPr>
    <w:rPr>
      <w:rFonts w:asciiTheme="majorHAnsi" w:eastAsiaTheme="majorEastAsia" w:hAnsiTheme="majorHAnsi" w:cstheme="majorBidi" w:ascii="Calibri" w:hAnsi="Calibri" w:eastAsia="Calibri"/>
      <w:b/>
      <w:bCs/>
      <w:color w:val="007980"/>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60"/>
      <w:outlineLvl w:val="2"/>
    </w:pPr>
    <w:rPr>
      <w:rFonts w:asciiTheme="majorHAnsi" w:eastAsiaTheme="majorEastAsia" w:hAnsiTheme="majorHAnsi" w:cstheme="majorBidi" w:ascii="Calibri" w:hAnsi="Calibri" w:eastAsia="Calibri"/>
      <w:b/>
      <w:bCs/>
      <w:color w:val="172B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