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Bdr/>
        <w:spacing/>
        <w:ind/>
        <w:rPr/>
        <w:sectPr>
          <w:headerReference w:type="default" r:id="rId9"/>
          <w:headerReference w:type="first" r:id="rId10"/>
          <w:footnotePr/>
          <w:endnotePr/>
          <w:type w:val="nextPage"/>
          <w:pgSz w:h="15840" w:orient="portrait" w:w="12240"/>
          <w:pgMar w:top="958" w:right="958" w:bottom="958" w:left="958" w:header="709" w:footer="709" w:gutter="0"/>
          <w:pgNumType w:fmt="none"/>
          <w:cols w:num="2" w:sep="0" w:space="240" w:equalWidth="1"/>
        </w:sect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935" distR="114935" simplePos="0" relativeHeight="1" behindDoc="0" locked="0" layoutInCell="0" allowOverlap="1">
                <wp:simplePos x="0" y="0"/>
                <wp:positionH relativeFrom="column">
                  <wp:posOffset>-43814</wp:posOffset>
                </wp:positionH>
                <wp:positionV relativeFrom="paragraph">
                  <wp:posOffset>279400</wp:posOffset>
                </wp:positionV>
                <wp:extent cx="6616700" cy="4260850"/>
                <wp:effectExtent l="0" t="0" r="0" b="0"/>
                <wp:wrapSquare wrapText="bothSides"/>
                <wp:docPr id="10" name="_x0000_s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616700" cy="426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jc w:val="center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31"/>
                            </w:tblGrid>
                            <w:tr>
                              <w:trPr>
                                <w:jc w:val="center"/>
                              </w:trPr>
                              <w:tc>
                                <w:tcPr>
                                  <w:shd w:val="clear" w:color="auto" w:fill="dddddd"/>
                                  <w:tcBorders/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459"/>
                                    <w:pBdr/>
                                    <w:spacing w:after="120" w:before="240"/>
                                    <w:ind/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sz w:val="44"/>
                                    </w:rPr>
                                    <w:t xml:space="preserve">Bússola</w:t>
                                  </w:r>
                                  <w:r>
                                    <w:rPr>
                                      <w:b/>
                                      <w:sz w:val="44"/>
                                    </w:rPr>
                                    <w:t xml:space="preserve"> de Valor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</w:p>
                                <w:p>
                                  <w:pPr>
                                    <w:pStyle w:val="1475"/>
                                    <w:pBdr/>
                                    <w:spacing w:after="120" w:before="240" w:line="252" w:lineRule="auto"/>
                                    <w:ind w:firstLine="0"/>
                                    <w:jc w:val="center"/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jc w:val="center"/>
                              </w:trPr>
                              <w:tc>
                                <w:tcPr>
                                  <w:shd w:val="clear" w:color="auto" w:fill="dddddd"/>
                                  <w:tcBorders>
                                    <w:bottom w:val="single" w:color="000000" w:sz="4" w:space="0"/>
                                  </w:tcBorders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465"/>
                                    <w:pBdr/>
                                    <w:spacing w:after="120" w:before="240"/>
                                    <w:ind/>
                                    <w:rPr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  <w:t xml:space="preserve">Gustavo Ferreira Lima</w:t>
                                  </w:r>
                                  <w:r/>
                                </w:p>
                              </w:tc>
                            </w:tr>
                            <w:tr>
                              <w:trPr>
                                <w:jc w:val="center"/>
                              </w:trPr>
                              <w:tc>
                                <w:tcPr>
                                  <w:tcBorders>
                                    <w:top w:val="single" w:color="000000" w:sz="4" w:space="0"/>
                                  </w:tcBorders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464"/>
                                    <w:pBdr/>
                                    <w:tabs>
                                      <w:tab w:val="left" w:leader="none" w:pos="993"/>
                                    </w:tabs>
                                    <w:spacing w:after="120" w:before="240"/>
                                    <w:ind w:firstLine="0"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  <w:szCs w:val="22"/>
                                      <w:lang w:val="pt-BR"/>
                                    </w:rPr>
                                    <w:t xml:space="preserve">RESUMO</w:t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Este relatório apresenta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a implementação da "Bússola de Valor", uma ferramenta de apoio à decisão para investidores focados em renda por dividendos. O projeto realiza a coleta e padronização de dados, a modelagem do Data Warehouse local em DuckDB, o cálculo de pontuações fundament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alistas e o desenvolvimento de um dashboard interativo em Streamlit. Foram gerados artefatos (ETL, datasets e tabelas materializadas) e validada a operação local com baixo custo operacional; o DW é atualizado automaticamente via workflow do GitHub Actions.</w:t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</w:p>
                                <w:p>
                                  <w:pPr>
                                    <w:pStyle w:val="1464"/>
                                    <w:pBdr/>
                                    <w:tabs>
                                      <w:tab w:val="left" w:leader="none" w:pos="993"/>
                                    </w:tabs>
                                    <w:spacing w:after="120" w:before="480"/>
                                    <w:ind w:firstLine="0"/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jc w:val="center"/>
                              </w:trPr>
                              <w:tc>
                                <w:tcPr>
                                  <w:tcBorders>
                                    <w:bottom w:val="single" w:color="000000" w:sz="4" w:space="0"/>
                                  </w:tcBorders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469"/>
                                    <w:pBdr/>
                                    <w:spacing w:after="120" w:before="240"/>
                                    <w:ind w:firstLine="0"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2"/>
                                      <w:lang w:val="pt-BR"/>
                                    </w:rPr>
                                    <w:t xml:space="preserve">Palavras-chave</w:t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>
                                      <w:lang w:val="pt-BR"/>
                                    </w:rPr>
                                  </w:pPr>
                                  <w:r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  <w:t xml:space="preserve">dividendos, 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  <w:t xml:space="preserve">duckdb</w:t>
                                  </w:r>
                                  <w:r>
                                    <w:rPr>
                                      <w:sz w:val="22"/>
                                      <w:szCs w:val="22"/>
                                      <w:lang w:val="es-ES"/>
                                    </w:rPr>
                                    <w:t xml:space="preserve">, streamlit</w:t>
                                  </w:r>
                                  <w:r>
                                    <w:rPr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jc w:val="center"/>
                              </w:trPr>
                              <w:tc>
                                <w:tcPr>
                                  <w:tcBorders>
                                    <w:top w:val="single" w:color="000000" w:sz="4" w:space="0"/>
                                  </w:tcBorders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464"/>
                                    <w:pBdr/>
                                    <w:tabs>
                                      <w:tab w:val="left" w:leader="none" w:pos="993"/>
                                    </w:tabs>
                                    <w:spacing w:after="120" w:before="240"/>
                                    <w:ind w:firstLine="0"/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jc w:val="center"/>
                                <w:trHeight w:val="3749"/>
                              </w:trPr>
                              <w:tc>
                                <w:tcPr>
                                  <w:tcBorders/>
                                  <w:tcW w:w="10031" w:type="dxa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469"/>
                                    <w:pBdr/>
                                    <w:spacing w:after="120" w:before="240"/>
                                    <w:ind w:firstLine="0"/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es-ES"/>
                                    </w:rPr>
                                  </w: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es-E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Bdr/>
                              <w:spacing/>
                              <w:ind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</w:txbxContent>
                      </wps:txbx>
                      <wps:bodyPr wrap="square" lIns="92075" tIns="46355" rIns="92075" bIns="46355" upright="1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1;o:allowoverlap:true;o:allowincell:false;mso-position-horizontal-relative:text;margin-left:-3.45pt;mso-position-horizontal:absolute;mso-position-vertical-relative:text;margin-top:22.00pt;mso-position-vertical:absolute;width:521.00pt;height:335.50pt;mso-wrap-distance-left:9.05pt;mso-wrap-distance-top:3.60pt;mso-wrap-distance-right:9.05pt;mso-wrap-distance-bottom:3.60pt;visibility:visible;" fillcolor="#FFFFFF" stroked="f">
                <w10:wrap type="square"/>
                <v:textbox inset="0,0,0,0">
                  <w:txbxContent>
                    <w:tbl>
                      <w:tblPr>
                        <w:jc w:val="center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031"/>
                      </w:tblGrid>
                      <w:tr>
                        <w:trPr>
                          <w:jc w:val="center"/>
                        </w:trPr>
                        <w:tc>
                          <w:tcPr>
                            <w:shd w:val="clear" w:color="auto" w:fill="dddddd"/>
                            <w:tcBorders/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459"/>
                              <w:pBdr/>
                              <w:spacing w:after="120" w:before="240"/>
                              <w:ind/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 xml:space="preserve">Bússola</w:t>
                            </w:r>
                            <w:r>
                              <w:rPr>
                                <w:b/>
                                <w:sz w:val="44"/>
                              </w:rPr>
                              <w:t xml:space="preserve"> de Valor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</w:p>
                          <w:p>
                            <w:pPr>
                              <w:pStyle w:val="1475"/>
                              <w:pBdr/>
                              <w:spacing w:after="120" w:before="240" w:line="252" w:lineRule="auto"/>
                              <w:ind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>
                          <w:jc w:val="center"/>
                        </w:trPr>
                        <w:tc>
                          <w:tcPr>
                            <w:shd w:val="clear" w:color="auto" w:fill="dddddd"/>
                            <w:tcBorders>
                              <w:bottom w:val="single" w:color="000000" w:sz="4" w:space="0"/>
                            </w:tcBorders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465"/>
                              <w:pBdr/>
                              <w:spacing w:after="120" w:before="240"/>
                              <w:ind/>
                              <w:rPr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  <w:t xml:space="preserve">Gustavo Ferreira Lima</w:t>
                            </w:r>
                            <w:r/>
                          </w:p>
                        </w:tc>
                      </w:tr>
                      <w:tr>
                        <w:trPr>
                          <w:jc w:val="center"/>
                        </w:trPr>
                        <w:tc>
                          <w:tcPr>
                            <w:tcBorders>
                              <w:top w:val="single" w:color="000000" w:sz="4" w:space="0"/>
                            </w:tcBorders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464"/>
                              <w:pBdr/>
                              <w:tabs>
                                <w:tab w:val="left" w:leader="none" w:pos="993"/>
                              </w:tabs>
                              <w:spacing w:after="120" w:before="240"/>
                              <w:ind w:firstLine="0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  <w:szCs w:val="22"/>
                                <w:lang w:val="pt-BR"/>
                              </w:rPr>
                              <w:t xml:space="preserve">RESUMO</w:t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  <w:t xml:space="preserve">Este relatório apresenta 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  <w:t xml:space="preserve">a implementação da "Bússola de Valor", uma ferramenta de apoio à decisão para investidores focados em renda por dividendos. O projeto realiza a coleta e padronização de dados, a modelagem do Data Warehouse local em DuckDB, o cálculo de pontuações fundament</w:t>
                            </w:r>
                            <w:r>
                              <w:rPr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  <w:t xml:space="preserve">alistas e o desenvolvimento de um dashboard interativo em Streamlit. Foram gerados artefatos (ETL, datasets e tabelas materializadas) e validada a operação local com baixo custo operacional; o DW é atualizado automaticamente via workflow do GitHub Actions.</w:t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  <w:p>
                            <w:pPr>
                              <w:pStyle w:val="1464"/>
                              <w:pBdr/>
                              <w:tabs>
                                <w:tab w:val="left" w:leader="none" w:pos="993"/>
                              </w:tabs>
                              <w:spacing w:after="120" w:before="480"/>
                              <w:ind w:firstLine="0"/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>
                          <w:jc w:val="center"/>
                        </w:trPr>
                        <w:tc>
                          <w:tcPr>
                            <w:tcBorders>
                              <w:bottom w:val="single" w:color="000000" w:sz="4" w:space="0"/>
                            </w:tcBorders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469"/>
                              <w:pBdr/>
                              <w:spacing w:after="120" w:before="240"/>
                              <w:ind w:firstLine="0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sz w:val="24"/>
                                <w:szCs w:val="22"/>
                                <w:lang w:val="pt-BR"/>
                              </w:rPr>
                              <w:t xml:space="preserve">Palavras-chave</w:t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  <w:p>
                            <w:pPr>
                              <w:pBdr/>
                              <w:spacing/>
                              <w:ind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dividendos, </w:t>
                            </w: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duckdb</w:t>
                            </w:r>
                            <w:r>
                              <w:rPr>
                                <w:sz w:val="22"/>
                                <w:szCs w:val="22"/>
                                <w:lang w:val="es-ES"/>
                              </w:rPr>
                              <w:t xml:space="preserve">, streamlit</w:t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>
                          <w:jc w:val="center"/>
                        </w:trPr>
                        <w:tc>
                          <w:tcPr>
                            <w:tcBorders>
                              <w:top w:val="single" w:color="000000" w:sz="4" w:space="0"/>
                            </w:tcBorders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464"/>
                              <w:pBdr/>
                              <w:tabs>
                                <w:tab w:val="left" w:leader="none" w:pos="993"/>
                              </w:tabs>
                              <w:spacing w:after="120" w:before="240"/>
                              <w:ind w:firstLine="0"/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>
                          <w:jc w:val="center"/>
                          <w:trHeight w:val="3749"/>
                        </w:trPr>
                        <w:tc>
                          <w:tcPr>
                            <w:tcBorders/>
                            <w:tcW w:w="10031" w:type="dxa"/>
                            <w:textDirection w:val="lrTb"/>
                            <w:noWrap w:val="false"/>
                          </w:tcPr>
                          <w:p>
                            <w:pPr>
                              <w:pStyle w:val="1469"/>
                              <w:pBdr/>
                              <w:spacing w:after="120" w:before="240"/>
                              <w:ind w:firstLine="0"/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es-ES"/>
                              </w:rPr>
                            </w: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es-ES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Bdr/>
                        <w:spacing/>
                        <w:ind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</w:r>
                      <w:r>
                        <w:rPr>
                          <w:lang w:val="pt-B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1226"/>
        <w:pBdr/>
        <w:spacing/>
        <w:ind/>
        <w:rPr/>
      </w:pPr>
      <w:r>
        <w:t xml:space="preserve">INTRODUÇÃO</w:t>
      </w:r>
      <w:r/>
    </w:p>
    <w:p>
      <w:pPr>
        <w:pStyle w:val="1493"/>
        <w:pBdr/>
        <w:spacing/>
        <w:ind/>
        <w:rPr/>
      </w:pPr>
      <w:r>
        <w:t xml:space="preserve">Contexto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Este</w:t>
      </w:r>
      <w:r>
        <w:rPr>
          <w:lang w:val="pt-BR"/>
        </w:rPr>
        <w:t xml:space="preserve"> projeto origina-se de uma experiência pessoal no mercado de ações, iniciada em 2019. O período, marcado por alta volatilidade e pela crise da pandemia, expôs a n</w:t>
      </w:r>
      <w:r>
        <w:rPr>
          <w:lang w:val="pt-BR"/>
        </w:rPr>
        <w:t xml:space="preserve">ecessidade de um método de análise de investimentos que fosse ao mesmo tempo robusto e sistemático. A rotina de avaliação manual, empresa por empresa, consolidada em planilhas do Excel de forma semanal ou mensal, era um processo laborioso e suscetível a er</w:t>
      </w:r>
      <w:r>
        <w:rPr>
          <w:lang w:val="pt-BR"/>
        </w:rPr>
        <w:t xml:space="preserve">ros. A "Bússola de Valor" nasce, portanto, da visão de automatizar e escalar essa análise, transformando um trabalho manual exaustivo em um processo eficiente que entrega dados atualizados e insights valiosos diariamente, logo após o fechamento do mercado.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Nesse cenário, a análise fundamentalista se apresenta como uma abor</w:t>
      </w:r>
      <w:r>
        <w:rPr>
          <w:lang w:val="pt-BR"/>
        </w:rPr>
        <w:t xml:space="preserve">dagem consolidada para investidores que buscam retorno consistente e segurança na preservação de capital. Este trabalho detalha a implementação e avaliação da "Bússola de Valor", uma ferramenta de apoio à decisão para investidores focados em renda por divi</w:t>
      </w:r>
      <w:r>
        <w:rPr>
          <w:lang w:val="pt-BR"/>
        </w:rPr>
        <w:t xml:space="preserve">dendos. A solução consiste em um dashboard interativo desenvolvido em Python com Streamlit que agrega, processa e pontua (scoring) ações negociadas na B3, combinando métricas de dividendos, valuation, saúde financeira, crescimento, liquidez e volatilidade.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493"/>
        <w:pBdr/>
        <w:spacing/>
        <w:ind/>
        <w:rPr/>
      </w:pPr>
      <w:r>
        <w:t xml:space="preserve">Objetivo</w:t>
      </w:r>
      <w:r/>
    </w:p>
    <w:p>
      <w:pPr>
        <w:pBdr/>
        <w:spacing/>
        <w:ind w:firstLine="204"/>
        <w:rPr>
          <w:lang w:val="pt-BR"/>
        </w:rPr>
      </w:pPr>
      <w:r>
        <w:rPr>
          <w:lang w:val="pt-BR"/>
        </w:rPr>
        <w:t xml:space="preserve">O objetivo central deste trabalho é desenvolver uma aplicação de apoio à decisão de ponta a ponta, capaz de: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379"/>
        <w:numPr>
          <w:ilvl w:val="0"/>
          <w:numId w:val="74"/>
        </w:numPr>
        <w:pBdr/>
        <w:spacing/>
        <w:ind/>
        <w:rPr>
          <w:lang w:val="pt-BR"/>
        </w:rPr>
      </w:pPr>
      <w:r>
        <w:rPr>
          <w:lang w:val="pt-BR"/>
        </w:rPr>
        <w:t xml:space="preserve">Coletar e consolidar dados financeiros de múltiplas fontes de forma automatizada.</w:t>
      </w:r>
      <w:r>
        <w:rPr>
          <w:lang w:val="pt-BR"/>
        </w:rPr>
      </w:r>
    </w:p>
    <w:p>
      <w:pPr>
        <w:pStyle w:val="1379"/>
        <w:numPr>
          <w:ilvl w:val="0"/>
          <w:numId w:val="74"/>
        </w:numPr>
        <w:pBdr/>
        <w:spacing/>
        <w:ind/>
        <w:rPr>
          <w:lang w:val="pt-BR"/>
        </w:rPr>
      </w:pPr>
      <w:r>
        <w:rPr>
          <w:lang w:val="pt-BR"/>
        </w:rPr>
        <w:t xml:space="preserve">Calcular um score proprietário, fundamentado em critérios econômicos e de investimento consagrados.</w:t>
      </w:r>
      <w:r>
        <w:rPr>
          <w:lang w:val="pt-BR"/>
        </w:rPr>
      </w:r>
    </w:p>
    <w:p>
      <w:pPr>
        <w:pStyle w:val="1379"/>
        <w:numPr>
          <w:ilvl w:val="0"/>
          <w:numId w:val="74"/>
        </w:numPr>
        <w:pBdr/>
        <w:spacing/>
        <w:ind/>
        <w:rPr>
          <w:lang w:val="pt-BR"/>
        </w:rPr>
      </w:pPr>
      <w:r>
        <w:rPr>
          <w:lang w:val="pt-BR"/>
        </w:rPr>
        <w:t xml:space="preserve">Apresentar visualmente rankings, detalhes por ativo e avaliações por setor/subsetor em uma interface interativa e intuitiva.</w:t>
      </w:r>
      <w:r>
        <w:rPr>
          <w:lang w:val="pt-BR"/>
        </w:rPr>
      </w:r>
    </w:p>
    <w:p>
      <w:pPr>
        <w:pStyle w:val="1493"/>
        <w:pBdr/>
        <w:spacing/>
        <w:ind/>
        <w:rPr>
          <w:lang w:val="pt-BR"/>
        </w:rPr>
      </w:pPr>
      <w:r>
        <w:rPr>
          <w:lang w:val="pt-BR"/>
        </w:rPr>
        <w:t xml:space="preserve">Motivação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A motivação para o desenvolvimento da "Bússola de Valor" é multifacetada, combinando um propósito prático com um desafio técnico e uma filosofia de preservação de capital: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Auxiliar investidores pessoa física:</w:t>
      </w:r>
      <w:r>
        <w:rPr>
          <w:lang w:val="pt-BR"/>
        </w:rPr>
        <w:t xml:space="preserve"> O objetivo é identificar ações que combinam boa geração de dividendos com fundamentos robustos, apoiando a alocação de portfólios orientados à renda de forma sistemática e eficiente.</w:t>
      </w:r>
      <w:r>
        <w:rPr>
          <w:lang w:val="pt-BR"/>
        </w:rPr>
      </w:r>
    </w:p>
    <w:p>
      <w:pPr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Evitar perdas de capital:</w:t>
      </w:r>
      <w:r>
        <w:rPr>
          <w:lang w:val="pt-BR"/>
        </w:rPr>
        <w:t xml:space="preserve"> Uma motivação central é criar um "filtro de qualidade" que ajude o investidor a evitar empresas com indicadores péssimos, minimizando ao máximo o risco de perda de capital, um princípio fundamental do </w:t>
      </w:r>
      <w:r>
        <w:rPr>
          <w:i/>
          <w:iCs/>
          <w:lang w:val="pt-BR"/>
        </w:rPr>
        <w:t xml:space="preserve">value investing</w:t>
      </w:r>
      <w:r>
        <w:rPr>
          <w:lang w:val="pt-BR"/>
        </w:rPr>
        <w:t xml:space="preserve">.</w:t>
      </w:r>
      <w:r>
        <w:rPr>
          <w:lang w:val="pt-BR"/>
        </w:rPr>
      </w:r>
    </w:p>
    <w:p>
      <w:pPr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Integrar conhecimento clássico e tecnologia:</w:t>
      </w:r>
      <w:r>
        <w:rPr>
          <w:lang w:val="pt-BR"/>
        </w:rPr>
        <w:t xml:space="preserve"> O projeto busca unir os conceitos de investidores consagrados, como Décio Bazin, Benjamin Graham, Warren Buffett e Luiz Barsi, com práticas modernas de engenharia de dados, como pipelines de ETL, data warehousing e dashboards interativos.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É crucial ressaltar que a "Bússola de Valor" </w:t>
      </w:r>
      <w:r>
        <w:rPr>
          <w:b/>
          <w:bCs/>
          <w:lang w:val="pt-BR"/>
        </w:rPr>
        <w:t xml:space="preserve">não é uma recomendação de compra ou venda</w:t>
      </w:r>
      <w:r>
        <w:rPr>
          <w:lang w:val="pt-BR"/>
        </w:rPr>
        <w:t xml:space="preserve">. Ela funciona como uma ferramenta de apoio para análise e estudo, projetada para otimizar o tempo do investidor e fornecer uma base quantitativa sólida para que ele possa tomar suas próprias decisões de investimento com mais segurança e informação.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493"/>
        <w:pBdr/>
        <w:spacing/>
        <w:ind/>
        <w:rPr/>
      </w:pPr>
      <w:r>
        <w:t xml:space="preserve">Materiais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Este trabalho foi realizado utilizando os seguintes recursos tecnológicos e bibliotecas de software: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Linguagem:</w:t>
      </w:r>
      <w:r>
        <w:rPr>
          <w:lang w:val="pt-BR"/>
        </w:rPr>
        <w:t xml:space="preserve"> Python 3.1</w:t>
      </w:r>
      <w:r>
        <w:rPr>
          <w:lang w:val="pt-BR"/>
        </w:rPr>
        <w:t xml:space="preserve">3</w:t>
      </w:r>
      <w:r>
        <w:rPr>
          <w:lang w:val="pt-BR"/>
        </w:rPr>
        <w:t xml:space="preserve">+</w:t>
      </w:r>
      <w:r>
        <w:rPr>
          <w:lang w:val="pt-BR"/>
        </w:rPr>
      </w:r>
    </w:p>
    <w:p>
      <w:pPr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Bibliotecas principais:</w:t>
      </w:r>
      <w:r>
        <w:rPr>
          <w:lang w:val="pt-BR"/>
        </w:rPr>
        <w:t xml:space="preserve"> pandas, numpy, plotly, streamlit, yfinance, joblib, python-dotenv, ta, tqdm, deep_translator.</w:t>
      </w:r>
      <w:r>
        <w:rPr>
          <w:lang w:val="pt-BR"/>
        </w:rPr>
      </w:r>
    </w:p>
    <w:p>
      <w:pPr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Infraestrutura de dados:</w:t>
      </w:r>
      <w:r>
        <w:rPr>
          <w:lang w:val="pt-BR"/>
        </w:rPr>
        <w:t xml:space="preserve"> Arquitetura de dados em camadas com arquivos Parquet para as zonas Land (duckdb/land_dw/) e Trusted (duckdb/trusted_dw/), e um Data Warehouse local (duckdb/banco_dw/dw.duckdb) em DuckDB.</w:t>
      </w:r>
      <w:r>
        <w:rPr>
          <w:lang w:val="pt-BR"/>
        </w:rPr>
      </w:r>
    </w:p>
    <w:p>
      <w:pPr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Ferramentas de desenvolvimento:</w:t>
      </w:r>
      <w:r>
        <w:rPr>
          <w:lang w:val="pt-BR"/>
        </w:rPr>
        <w:t xml:space="preserve"> Git/GitHub para versionamento de código e automação.</w:t>
      </w:r>
      <w:r>
        <w:rPr>
          <w:lang w:val="pt-BR"/>
        </w:rPr>
      </w:r>
    </w:p>
    <w:p>
      <w:pPr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Scripts de ETL:</w:t>
      </w:r>
      <w:r>
        <w:rPr>
          <w:lang w:val="pt-BR"/>
        </w:rPr>
        <w:t xml:space="preserve"> Pipeline de dados modularizado e orquestrado, presente no diretório data_engineer/.</w:t>
      </w:r>
      <w:r>
        <w:rPr>
          <w:lang w:val="pt-BR"/>
        </w:rPr>
      </w:r>
    </w:p>
    <w:p>
      <w:pPr>
        <w:pStyle w:val="1493"/>
        <w:pBdr/>
        <w:spacing/>
        <w:ind/>
        <w:rPr/>
      </w:pPr>
      <w:r>
        <w:t xml:space="preserve">Metodologia</w:t>
      </w:r>
      <w:r>
        <w:t xml:space="preserve"> do </w:t>
      </w:r>
      <w:r>
        <w:t xml:space="preserve">Trabalho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O desenvolvimento do projeto seguiu uma metodologia estruturada, compreendendo as seguintes etapas: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Coleta e Padronização de Dados:</w:t>
      </w:r>
      <w:r>
        <w:rPr>
          <w:lang w:val="pt-BR"/>
        </w:rPr>
        <w:t xml:space="preserve"> Levantamento de dados públicos de APIs (yfinance, brapi) e arquivos históricos, seguido de um processo de normalização para garantir a consistência.</w:t>
      </w:r>
      <w:r>
        <w:rPr>
          <w:lang w:val="pt-BR"/>
        </w:rPr>
      </w:r>
    </w:p>
    <w:p>
      <w:pPr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ETL (Extract, Transform, Load):</w:t>
      </w:r>
      <w:r>
        <w:rPr>
          <w:lang w:val="pt-BR"/>
        </w:rPr>
        <w:t xml:space="preserve"> Construção de um pipeline de dados em camadas (Land, Trusted, DW), que transforma os dados brutos em um data warehouse analítico, coeso e performático.</w:t>
      </w:r>
      <w:r>
        <w:rPr>
          <w:lang w:val="pt-BR"/>
        </w:rPr>
      </w:r>
    </w:p>
    <w:p>
      <w:pPr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Cálculo de Score:</w:t>
      </w:r>
      <w:r>
        <w:rPr>
          <w:lang w:val="pt-BR"/>
        </w:rPr>
        <w:t xml:space="preserve"> Implementação de um sistema de pontuação baseado em regras objetivas, que atribui pontos (até 1000) por critério, como Dividend Yield, Valuation, ROE, Payout, Endividamento, Crescimento e Margem de Graham.</w:t>
      </w:r>
      <w:r>
        <w:rPr>
          <w:lang w:val="pt-BR"/>
        </w:rPr>
      </w:r>
    </w:p>
    <w:p>
      <w:pPr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Desenvolvimento do Dashboard:</w:t>
      </w:r>
      <w:r>
        <w:rPr>
          <w:lang w:val="pt-BR"/>
        </w:rPr>
        <w:t xml:space="preserve"> Criação de uma interface interativa em Streamlit para permitir a filtragem dinâmica, a visualização de rankings, a análise detalhada por ativo e a exploração de painéis setoriais.</w:t>
      </w:r>
      <w:r>
        <w:rPr>
          <w:lang w:val="pt-BR"/>
        </w:rPr>
      </w:r>
    </w:p>
    <w:p>
      <w:pPr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Validação:</w:t>
      </w:r>
      <w:r>
        <w:rPr>
          <w:lang w:val="pt-BR"/>
        </w:rPr>
        <w:t xml:space="preserve"> Realização de testes manuais e execução local do pipeline completo para verificar a coerência entre os dados de entrada e as métricas exibidas no dashboard.</w:t>
      </w:r>
      <w:r>
        <w:rPr>
          <w:lang w:val="pt-BR"/>
        </w:rPr>
      </w:r>
    </w:p>
    <w:p>
      <w:pPr>
        <w:pStyle w:val="1462"/>
        <w:pBdr/>
        <w:spacing/>
        <w:ind/>
        <w:jc w:val="center"/>
        <w:rPr/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6690" cy="3705225"/>
                <wp:effectExtent l="0" t="0" r="0" b="0"/>
                <wp:docPr id="11" name="_x0000_i102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266690" cy="37052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14.70pt;height:291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>
      <w:pPr>
        <w:pStyle w:val="1462"/>
        <w:pBdr/>
        <w:spacing/>
        <w:ind/>
        <w:jc w:val="center"/>
        <w:rPr>
          <w:lang w:val="pt-BR"/>
        </w:rPr>
      </w:pPr>
      <w:r>
        <w:t xml:space="preserve">Figura</w:t>
      </w:r>
      <w:r>
        <w:t xml:space="preserve"> </w:t>
      </w:r>
      <w:r>
        <w:fldChar w:fldCharType="begin"/>
      </w:r>
      <w:r>
        <w:instrText xml:space="preserve"> SEQ "Figura"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Pipeline de dados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  <w:sectPr>
          <w:headerReference w:type="default" r:id="rId11"/>
          <w:headerReference w:type="even" r:id="rId12"/>
          <w:headerReference w:type="first" r:id="rId13"/>
          <w:footerReference w:type="default" r:id="rId17"/>
          <w:footerReference w:type="first" r:id="rId18"/>
          <w:footnotePr/>
          <w:endnotePr/>
          <w:type w:val="nextPage"/>
          <w:pgSz w:h="15840" w:orient="portrait" w:w="12240"/>
          <w:pgMar w:top="958" w:right="958" w:bottom="981" w:left="958" w:header="709" w:footer="925" w:gutter="0"/>
          <w:pgNumType w:fmt="none"/>
          <w:cols w:num="1" w:sep="0" w:space="1701" w:equalWidth="1"/>
        </w:sectPr>
      </w:pPr>
      <w:r>
        <w:rPr>
          <w:lang w:val="pt-BR"/>
        </w:rPr>
      </w:r>
      <w:r>
        <w:rPr>
          <w:lang w:val="pt-BR"/>
        </w:rPr>
      </w:r>
    </w:p>
    <w:p>
      <w:pPr>
        <w:pStyle w:val="1226"/>
        <w:pBdr/>
        <w:spacing/>
        <w:ind/>
        <w:rPr>
          <w:lang w:val="pt-BR"/>
        </w:rPr>
      </w:pPr>
      <w:r>
        <w:rPr>
          <w:lang w:val="pt-BR"/>
        </w:rPr>
        <w:t xml:space="preserve">Revisão de Tecnologias e Práticas</w:t>
      </w:r>
      <w:r>
        <w:rPr>
          <w:lang w:val="pt-BR"/>
        </w:rPr>
      </w:r>
    </w:p>
    <w:p>
      <w:pPr>
        <w:pStyle w:val="1226"/>
        <w:numPr>
          <w:ilvl w:val="1"/>
          <w:numId w:val="82"/>
        </w:numPr>
        <w:pBdr/>
        <w:spacing/>
        <w:ind/>
        <w:rPr>
          <w:lang w:val="pt-BR"/>
        </w:rPr>
      </w:pPr>
      <w:r>
        <w:rPr>
          <w:lang w:val="pt-BR"/>
        </w:rPr>
        <w:t xml:space="preserve">Coleta de Dados e APIs</w:t>
      </w:r>
      <w:r>
        <w:rPr>
          <w:lang w:val="pt-BR"/>
        </w:rPr>
      </w:r>
    </w:p>
    <w:p>
      <w:pPr>
        <w:pStyle w:val="1476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Para construir uma base de dados abrangente, o sistema integra dados de múltiplas fontes, cada uma com uma finalidade específica:</w:t>
      </w:r>
      <w:r>
        <w:rPr>
          <w:color w:val="000000"/>
          <w:lang w:val="pt-BR"/>
        </w:rPr>
      </w:r>
    </w:p>
    <w:p>
      <w:pPr>
        <w:pStyle w:val="1476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476"/>
        <w:numPr>
          <w:ilvl w:val="0"/>
          <w:numId w:val="78"/>
        </w:numPr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yfinance: Utilizada para a extração de séries históricas de preços e dividendos, fundamentais para cálculos de retorno e volatilidade.</w:t>
      </w:r>
      <w:r>
        <w:rPr>
          <w:color w:val="000000"/>
          <w:lang w:val="pt-BR"/>
        </w:rPr>
      </w:r>
    </w:p>
    <w:p>
      <w:pPr>
        <w:pStyle w:val="1476"/>
        <w:numPr>
          <w:ilvl w:val="0"/>
          <w:numId w:val="78"/>
        </w:numPr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brapi: Empregada para enriquecer a base de dados com atributos cadastrais das empresas, como setor de atuação, e outros indicadores financeiros relevantes.</w:t>
      </w:r>
      <w:r>
        <w:rPr>
          <w:color w:val="000000"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226"/>
        <w:numPr>
          <w:ilvl w:val="1"/>
          <w:numId w:val="82"/>
        </w:numPr>
        <w:pBdr/>
        <w:spacing/>
        <w:ind/>
        <w:rPr/>
      </w:pPr>
      <w:r>
        <w:t xml:space="preserve">ETL e </w:t>
      </w:r>
      <w:r>
        <w:t xml:space="preserve">Armazenamento</w:t>
      </w:r>
      <w:r/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lang w:val="pt-BR"/>
        </w:rPr>
      </w:pPr>
      <w:r>
        <w:rPr>
          <w:lang w:val="pt-BR"/>
        </w:rPr>
        <w:t xml:space="preserve">A estratégia de ETL e armazenamento foi um pilar central do projeto, garantindo eficiência e baixo custo operacional:</w:t>
      </w:r>
      <w:r>
        <w:rPr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379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Os scripts no diretório data_engineer/ seguem uma ordem numérica que assegura a correta execução das dependências entre as etapas do pipeline (extração → transformação → cálculo de indicadores → scoring).</w:t>
      </w:r>
      <w:r>
        <w:rPr>
          <w:lang w:val="pt-BR"/>
        </w:rPr>
      </w:r>
    </w:p>
    <w:p>
      <w:pPr>
        <w:pStyle w:val="1379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O formato de persistência adota uma abordagem híbrida: arquivos </w:t>
      </w:r>
      <w:r>
        <w:rPr>
          <w:lang w:val="pt-BR"/>
        </w:rPr>
        <w:t xml:space="preserve">Parquet são utilizados para as camadas de dados intermediárias (Land e Trusted), beneficiando-se da compressão e performance em leituras colunares, enquanto o Data Warehouse final é materializado em um único arquivo DuckDB (duckdb/banco_dw/dw.duckdb). A es</w:t>
      </w:r>
      <w:r>
        <w:rPr>
          <w:lang w:val="pt-BR"/>
        </w:rPr>
        <w:t xml:space="preserve">colha pelo DuckDB foi estratégica, pois, por ser um banco de dados analítico embutido, dispensa a necessidade de um servidor dedicado, reduzindo drasticamente os custos e a complexidade de infraestrutura em comparação com soluções como MySQL ou SQL Server.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226"/>
        <w:numPr>
          <w:ilvl w:val="1"/>
          <w:numId w:val="82"/>
        </w:numPr>
        <w:pBdr/>
        <w:spacing/>
        <w:ind/>
        <w:rPr/>
      </w:pPr>
      <w:r>
        <w:t xml:space="preserve">Análise</w:t>
      </w:r>
      <w:r>
        <w:t xml:space="preserve"> e </w:t>
      </w:r>
      <w:r>
        <w:t xml:space="preserve">Modelagem</w:t>
      </w:r>
      <w:r/>
    </w:p>
    <w:p>
      <w:pPr>
        <w:pStyle w:val="1476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A modelagem do score é o núcleo intelectual do projeto, traduzindo a filosofia de investimentos em um sistema de pontuação quantitativo:</w:t>
      </w:r>
      <w:r>
        <w:rPr>
          <w:color w:val="000000"/>
          <w:lang w:val="pt-BR"/>
        </w:rPr>
      </w:r>
    </w:p>
    <w:p>
      <w:pPr>
        <w:pStyle w:val="1476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476"/>
        <w:numPr>
          <w:ilvl w:val="0"/>
          <w:numId w:val="81"/>
        </w:numPr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O modelo é uma combinação de regras financeiras consagradas pela l</w:t>
      </w:r>
      <w:r>
        <w:rPr>
          <w:color w:val="000000"/>
          <w:lang w:val="pt-BR"/>
        </w:rPr>
        <w:t xml:space="preserve">iteratura e heurísticas pragmáticas observadas no mercado. A pontuação é modular e compreende componentes para dividendos, valuation, rentabilidade, saúde financeira, crescimento, volatilidade e liquidez, permitindo uma análise multifacetada de cada ativo.</w:t>
      </w:r>
      <w:r>
        <w:rPr>
          <w:color w:val="000000"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226"/>
        <w:numPr>
          <w:ilvl w:val="1"/>
          <w:numId w:val="82"/>
        </w:numPr>
        <w:pBdr/>
        <w:spacing/>
        <w:ind/>
        <w:rPr>
          <w:lang w:val="pt-BR"/>
        </w:rPr>
      </w:pPr>
      <w:r>
        <w:rPr>
          <w:lang w:val="pt-BR"/>
        </w:rPr>
        <w:t xml:space="preserve"> Visualização e Interaç</w:t>
      </w:r>
      <w:r>
        <w:t xml:space="preserve">ão</w:t>
      </w:r>
      <w:r>
        <w:rPr>
          <w:lang w:val="pt-BR"/>
        </w:rPr>
      </w:r>
    </w:p>
    <w:p>
      <w:pPr>
        <w:pStyle w:val="1476"/>
        <w:pBdr/>
        <w:spacing/>
        <w:ind w:firstLine="0"/>
        <w:rPr>
          <w:color w:val="000000"/>
          <w:lang w:val="pt-BR"/>
        </w:rPr>
      </w:pP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476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A camada de visualização foi construída com o objetivo de ser ao mesmo tempo poderosa e intuitiva:</w:t>
      </w:r>
      <w:r>
        <w:rPr>
          <w:color w:val="000000"/>
          <w:lang w:val="pt-BR"/>
        </w:rPr>
      </w:r>
    </w:p>
    <w:p>
      <w:pPr>
        <w:pStyle w:val="1476"/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476"/>
        <w:numPr>
          <w:ilvl w:val="0"/>
          <w:numId w:val="83"/>
        </w:numPr>
        <w:pBdr/>
        <w:spacing/>
        <w:ind/>
        <w:rPr>
          <w:color w:val="000000"/>
          <w:lang w:val="pt-BR"/>
        </w:rPr>
      </w:pPr>
      <w:r>
        <w:rPr>
          <w:color w:val="000000"/>
          <w:lang w:val="pt-BR"/>
        </w:rPr>
        <w:t xml:space="preserve">A combinação de Streamlit e Plotly permitiu a criação de uma interface interativa e responsiva. A estrutura da aplicação é</w:t>
      </w:r>
      <w:r>
        <w:rPr>
          <w:color w:val="000000"/>
          <w:lang w:val="pt-BR"/>
        </w:rPr>
        <w:t xml:space="preserve"> modular, com componentes dedicados para a renderização dos filtros na barra lateral (app/components/filters.py) e para a organização do conteúdo principal em abas (app/components/tabs_layout.py), facilitando a manutenção e a expansão futura da ferramenta.</w:t>
      </w:r>
      <w:r>
        <w:rPr>
          <w:color w:val="000000"/>
          <w:lang w:val="pt-BR"/>
        </w:rPr>
      </w:r>
    </w:p>
    <w:p>
      <w:pPr>
        <w:pStyle w:val="1226"/>
        <w:pageBreakBefore w:val="true"/>
        <w:pBdr/>
        <w:spacing/>
        <w:ind/>
        <w:rPr>
          <w:lang w:val="pt-BR"/>
        </w:rPr>
      </w:pPr>
      <w:r>
        <w:rPr>
          <w:lang w:val="pt-BR"/>
        </w:rPr>
        <w:t xml:space="preserve">Desenvolvimento</w:t>
      </w:r>
      <w:r>
        <w:rPr>
          <w:lang w:val="pt-BR"/>
        </w:rPr>
      </w:r>
    </w:p>
    <w:p>
      <w:pPr>
        <w:pStyle w:val="1227"/>
        <w:numPr>
          <w:ilvl w:val="0"/>
          <w:numId w:val="11"/>
        </w:numPr>
        <w:pBdr/>
        <w:spacing/>
        <w:ind/>
        <w:rPr/>
      </w:pPr>
      <w:r>
        <w:t xml:space="preserve">Arquitetura</w:t>
      </w:r>
      <w:r>
        <w:t xml:space="preserve"> do Sistema</w:t>
      </w:r>
      <w:r/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lang w:val="pt-BR"/>
        </w:rPr>
      </w:pPr>
      <w:r>
        <w:rPr>
          <w:lang w:val="pt-BR"/>
        </w:rPr>
        <w:t xml:space="preserve">A arquitetura da solução foi projetada</w:t>
      </w:r>
      <w:r>
        <w:rPr>
          <w:lang w:val="pt-BR"/>
        </w:rPr>
        <w:t xml:space="preserve"> em camadas para garantir um fluxo de dados desacoplado, manutenível e performático, desde a coleta até a visualização. O sistema é composto por três componentes principais: o pipeline de engenharia de dados, o data warehouse e a aplicação de visualização.</w:t>
      </w:r>
      <w:r>
        <w:rPr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379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data_engineer/ (Camada de Extração):</w:t>
      </w:r>
      <w:r>
        <w:rPr>
          <w:lang w:val="pt-BR"/>
        </w:rPr>
        <w:t xml:space="preserve"> Este diretório contém os scripts responsáveis</w:t>
      </w:r>
      <w:r>
        <w:rPr>
          <w:lang w:val="pt-BR"/>
        </w:rPr>
        <w:t xml:space="preserve"> pela extração de dados brutos de fontes externas, como as APIs yfinance e brapi. Os scripts são numerados para garantir a ordem de execução e orquestrados pelo loader.py. A saída desta camada são arquivos em formato Parquet, que são armazenados na camada </w:t>
      </w:r>
      <w:r>
        <w:rPr>
          <w:i/>
          <w:iCs/>
          <w:lang w:val="pt-BR"/>
        </w:rPr>
        <w:t xml:space="preserve">Land</w:t>
      </w:r>
      <w:r>
        <w:rPr>
          <w:lang w:val="pt-BR"/>
        </w:rPr>
        <w:t xml:space="preserve"> do data lake.</w:t>
      </w:r>
      <w:r>
        <w:rPr>
          <w:lang w:val="pt-BR"/>
        </w:rPr>
      </w:r>
    </w:p>
    <w:p>
      <w:pPr>
        <w:pStyle w:val="1379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duckdb/ (Camada de Armazenamento e Transformação):</w:t>
      </w:r>
      <w:r>
        <w:rPr>
          <w:lang w:val="pt-BR"/>
        </w:rPr>
        <w:t xml:space="preserve"> Centraliza toda a lógica de armazenamento e processamento de dados. É subdividida em:</w:t>
      </w:r>
      <w:r>
        <w:rPr>
          <w:lang w:val="pt-BR"/>
        </w:rPr>
      </w:r>
    </w:p>
    <w:p>
      <w:pPr>
        <w:pStyle w:val="1379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land_dw/</w:t>
      </w:r>
      <w:r>
        <w:rPr>
          <w:lang w:val="pt-BR"/>
        </w:rPr>
        <w:t xml:space="preserve">: A camada </w:t>
      </w:r>
      <w:r>
        <w:rPr>
          <w:i/>
          <w:iCs/>
          <w:lang w:val="pt-BR"/>
        </w:rPr>
        <w:t xml:space="preserve">Land</w:t>
      </w:r>
      <w:r>
        <w:rPr>
          <w:lang w:val="pt-BR"/>
        </w:rPr>
        <w:t xml:space="preserve">, que armazena os dados brutos extraídos, servindo como uma fonte de verdade inicial e permitindo o reprocessamento sem a necessidade de consultar as APIs novamente.</w:t>
      </w:r>
      <w:r>
        <w:rPr>
          <w:lang w:val="pt-BR"/>
        </w:rPr>
      </w:r>
    </w:p>
    <w:p>
      <w:pPr>
        <w:pStyle w:val="1379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trusted_dw/</w:t>
      </w:r>
      <w:r>
        <w:rPr>
          <w:lang w:val="pt-BR"/>
        </w:rPr>
        <w:t xml:space="preserve">: A camada </w:t>
      </w:r>
      <w:r>
        <w:rPr>
          <w:i/>
          <w:iCs/>
          <w:lang w:val="pt-BR"/>
        </w:rPr>
        <w:t xml:space="preserve">Trusted</w:t>
      </w:r>
      <w:r>
        <w:rPr>
          <w:lang w:val="pt-BR"/>
        </w:rPr>
        <w:t xml:space="preserve">, onde os dados da camada </w:t>
      </w:r>
      <w:r>
        <w:rPr>
          <w:i/>
          <w:iCs/>
          <w:lang w:val="pt-BR"/>
        </w:rPr>
        <w:t xml:space="preserve">Land</w:t>
      </w:r>
      <w:r>
        <w:rPr>
          <w:lang w:val="pt-BR"/>
        </w:rPr>
        <w:t xml:space="preserve"> são limpos, transformados, enriquecidos com cálculos de indicadores e onde a lógica de </w:t>
      </w:r>
      <w:r>
        <w:rPr>
          <w:i/>
          <w:iCs/>
          <w:lang w:val="pt-BR"/>
        </w:rPr>
        <w:t xml:space="preserve">scoring</w:t>
      </w:r>
      <w:r>
        <w:rPr>
          <w:lang w:val="pt-BR"/>
        </w:rPr>
        <w:t xml:space="preserve"> é aplicada. O resultado é um conjunto de dados coeso e pronto para análise.</w:t>
      </w:r>
      <w:r>
        <w:rPr>
          <w:lang w:val="pt-BR"/>
        </w:rPr>
      </w:r>
    </w:p>
    <w:p>
      <w:pPr>
        <w:pStyle w:val="1379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banco_dw/</w:t>
      </w:r>
      <w:r>
        <w:rPr>
          <w:lang w:val="pt-BR"/>
        </w:rPr>
        <w:t xml:space="preserve">: Contém o Data Warehouse (DW) final, materializado no arquivo dw.duckdb. Este arquivo único consolida os dados da camada </w:t>
      </w:r>
      <w:r>
        <w:rPr>
          <w:i/>
          <w:iCs/>
          <w:lang w:val="pt-BR"/>
        </w:rPr>
        <w:t xml:space="preserve">Trusted</w:t>
      </w:r>
      <w:r>
        <w:rPr>
          <w:lang w:val="pt-BR"/>
        </w:rPr>
        <w:t xml:space="preserve"> em um formato analítico otimizado para as consultas da aplicação.</w:t>
      </w:r>
      <w:r>
        <w:rPr>
          <w:lang w:val="pt-BR"/>
        </w:rPr>
      </w:r>
    </w:p>
    <w:p>
      <w:pPr>
        <w:pStyle w:val="1379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carga/</w:t>
      </w:r>
      <w:r>
        <w:rPr>
          <w:lang w:val="pt-BR"/>
        </w:rPr>
        <w:t xml:space="preserve">: Orquestra o processo de carga da camada </w:t>
      </w:r>
      <w:r>
        <w:rPr>
          <w:i/>
          <w:iCs/>
          <w:lang w:val="pt-BR"/>
        </w:rPr>
        <w:t xml:space="preserve">Land</w:t>
      </w:r>
      <w:r>
        <w:rPr>
          <w:lang w:val="pt-BR"/>
        </w:rPr>
        <w:t xml:space="preserve"> para a </w:t>
      </w:r>
      <w:r>
        <w:rPr>
          <w:i/>
          <w:iCs/>
          <w:lang w:val="pt-BR"/>
        </w:rPr>
        <w:t xml:space="preserve">Trusted</w:t>
      </w:r>
      <w:r>
        <w:rPr>
          <w:lang w:val="pt-BR"/>
        </w:rPr>
        <w:t xml:space="preserve"> e, subsequentemente, para o Data Warehouse final.</w:t>
      </w:r>
      <w:r>
        <w:rPr>
          <w:lang w:val="pt-BR"/>
        </w:rPr>
      </w:r>
    </w:p>
    <w:p>
      <w:pPr>
        <w:pStyle w:val="1379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app/ (Camada de Apresentação):</w:t>
      </w:r>
      <w:r>
        <w:rPr>
          <w:lang w:val="pt-BR"/>
        </w:rPr>
        <w:t xml:space="preserve"> Contém a aplicação web interativa desenvolvida com Streamlit.</w:t>
      </w:r>
      <w:r>
        <w:rPr>
          <w:lang w:val="pt-BR"/>
        </w:rPr>
      </w:r>
    </w:p>
    <w:p>
      <w:pPr>
        <w:pStyle w:val="1379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app.py: Ponto de entrada da aplicação, responsável pela estrutura da interface e orquestração dos componentes visuais.</w:t>
      </w:r>
      <w:r>
        <w:rPr>
          <w:lang w:val="pt-BR"/>
        </w:rPr>
      </w:r>
    </w:p>
    <w:p>
      <w:pPr>
        <w:pStyle w:val="1379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data_loader.py: Módulo que realiza a conexão com o dw.duckdb e encapsula as consultas SQL necessárias para carregar os dados para a interface.</w:t>
      </w:r>
      <w:r>
        <w:rPr>
          <w:lang w:val="pt-BR"/>
        </w:rPr>
      </w:r>
    </w:p>
    <w:p>
      <w:pPr>
        <w:pStyle w:val="1379"/>
        <w:numPr>
          <w:ilvl w:val="1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components/: Módulos reutilizáveis que renderizam partes específicas da UI, como os filtros da barra lateral e as abas de conteúdo.</w:t>
      </w:r>
      <w:r>
        <w:rPr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lang w:val="pt-BR"/>
        </w:rPr>
      </w:pPr>
      <w:r>
        <w:rPr>
          <w:b/>
          <w:bCs/>
          <w:lang w:val="pt-BR"/>
        </w:rPr>
        <w:t xml:space="preserve">Fluxo de Dados:</w:t>
      </w:r>
      <w:r>
        <w:rPr>
          <w:b/>
          <w:bCs/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  <w:t xml:space="preserve">O fluxo de dados segue um padrão ELT (Extract, Load, Transform) moderno e robusto:</w:t>
      </w:r>
      <w:r>
        <w:rPr>
          <w:lang w:val="pt-BR"/>
        </w:rPr>
      </w:r>
    </w:p>
    <w:p>
      <w:pPr>
        <w:pStyle w:val="1379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Extração:</w:t>
      </w:r>
      <w:r>
        <w:rPr>
          <w:lang w:val="pt-BR"/>
        </w:rPr>
        <w:t xml:space="preserve"> O run.py inicia o processo, acionando os scripts em data_engineer/ que coletam os dados brutos e os depositam na camada land_dw em formato Parquet.</w:t>
      </w:r>
      <w:r>
        <w:rPr>
          <w:lang w:val="pt-BR"/>
        </w:rPr>
      </w:r>
    </w:p>
    <w:p>
      <w:pPr>
        <w:pStyle w:val="1379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Carga e Transformação:</w:t>
      </w:r>
      <w:r>
        <w:rPr>
          <w:lang w:val="pt-BR"/>
        </w:rPr>
        <w:t xml:space="preserve"> Em seguida, os scripts em duckdb/carga/ são executados. Eles carregam os dados brutos da camada land_dw, aplicam as transformações (limpeza, cálculos, scoring) e salvam o resultado na camada trusted_dw, também em Parquet.</w:t>
      </w:r>
      <w:r>
        <w:rPr>
          <w:lang w:val="pt-BR"/>
        </w:rPr>
      </w:r>
    </w:p>
    <w:p>
      <w:pPr>
        <w:pStyle w:val="1379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Materialização do DW:</w:t>
      </w:r>
      <w:r>
        <w:rPr>
          <w:lang w:val="pt-BR"/>
        </w:rPr>
        <w:t xml:space="preserve"> Os dados da camada trusted_dw são carregados e consolidados no Data Warehouse analítico, o arquivo dw.duckdb.</w:t>
      </w:r>
      <w:r>
        <w:rPr>
          <w:lang w:val="pt-BR"/>
        </w:rPr>
      </w:r>
    </w:p>
    <w:p>
      <w:pPr>
        <w:pStyle w:val="1379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Visualização:</w:t>
      </w:r>
      <w:r>
        <w:rPr>
          <w:lang w:val="pt-BR"/>
        </w:rPr>
        <w:t xml:space="preserve"> O usuário interage com a aplicação</w:t>
      </w:r>
      <w:r>
        <w:rPr>
          <w:lang w:val="pt-BR"/>
        </w:rPr>
        <w:t xml:space="preserve"> Streamlit. O app/data_loader.py submete consultas SQL ao dw.duckdb para buscar os dados necessários, que são então exibidos nos gráficos e tabelas da interface. Este processo é automatizado e executado diariamente através de um workflow do GitHub Actions.</w:t>
      </w:r>
      <w:r>
        <w:rPr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jc w:val="center"/>
        <w:rPr>
          <w:lang w:val="pt-BR"/>
        </w:rPr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70630" cy="3627755"/>
                <wp:effectExtent l="0" t="0" r="0" b="0"/>
                <wp:docPr id="12" name="_x0000_i103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3770630" cy="36277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96.90pt;height:285.6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lang w:val="pt-BR"/>
        </w:rPr>
      </w:r>
    </w:p>
    <w:p>
      <w:pPr>
        <w:pStyle w:val="1462"/>
        <w:pBdr/>
        <w:spacing/>
        <w:ind/>
        <w:jc w:val="center"/>
        <w:rPr>
          <w:lang w:val="pt-BR"/>
        </w:rPr>
      </w:pPr>
      <w:r>
        <w:rPr>
          <w:lang w:val="pt-BR"/>
        </w:rPr>
        <w:t xml:space="preserve">Figura 2. Arquitetura e Processamento d</w:t>
      </w:r>
      <w:r>
        <w:rPr>
          <w:lang w:val="pt-BR"/>
        </w:rPr>
        <w:t xml:space="preserve">e Dados</w:t>
      </w:r>
      <w:r>
        <w:rPr>
          <w:lang w:val="pt-BR"/>
        </w:rPr>
      </w:r>
    </w:p>
    <w:p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227"/>
        <w:numPr>
          <w:ilvl w:val="0"/>
          <w:numId w:val="19"/>
        </w:numPr>
        <w:pBdr/>
        <w:spacing/>
        <w:ind/>
        <w:rPr/>
      </w:pPr>
      <w:r>
        <w:t xml:space="preserve">Lógica</w:t>
      </w:r>
      <w:r>
        <w:t xml:space="preserve"> de Scoring </w:t>
      </w:r>
      <w:r/>
    </w:p>
    <w:p>
      <w:pPr>
        <w:pBdr/>
        <w:spacing/>
        <w:ind w:firstLine="204"/>
        <w:rPr>
          <w:lang w:val="pt-BR"/>
        </w:rPr>
      </w:pPr>
      <w:r>
        <w:rPr>
          <w:lang w:val="pt-BR"/>
        </w:rPr>
        <w:t xml:space="preserve">O sistema de pontuação foi desenhado para refletir uma filosofia de investimento balanceada, traduzindo critérios fundamentalistas em um modelo quantitativo. A pontuação máxima teórica é de </w:t>
      </w:r>
      <w:r>
        <w:rPr>
          <w:b/>
          <w:bCs/>
          <w:lang w:val="pt-BR"/>
        </w:rPr>
        <w:t xml:space="preserve">1000 pontos</w:t>
      </w:r>
      <w:r>
        <w:rPr>
          <w:lang w:val="pt-BR"/>
        </w:rPr>
        <w:t xml:space="preserve">, distribuídos em categorias que avaliam diferentes dimensões da saúde financeira e do potencial de uma empresa. A soma dos pontos máximos de cada categoria totaliza exatamente 1000, conforme detalhado abaixo:</w:t>
      </w:r>
      <w:r>
        <w:rPr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Dividendos (200 pts):</w:t>
      </w:r>
      <w:r>
        <w:rPr>
          <w:lang w:val="pt-BR"/>
        </w:rPr>
        <w:t xml:space="preserve"> Critério com maior peso, focado na consistência da distribuição de proventos. A pontuação é uma média ponderada, onde o Dividend Yield (DY) médio dos últimos 5 anos tem maior relevância que o DY dos últimos 12 meses.</w:t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Valuation (180 pts):</w:t>
      </w:r>
      <w:r>
        <w:rPr>
          <w:lang w:val="pt-BR"/>
        </w:rPr>
        <w:t xml:space="preserve"> Avalia se o preço atual da ação está descontado em relação aos seus fundamentos. A pontuação é baseada nos indicadores Preço/Lucro (P/L) e Preço/Valor Patrimonial (P/VP), favorecendo empresas com múltiplos baixos.</w:t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Critérios de Mercado (140 pts):</w:t>
      </w:r>
      <w:r>
        <w:rPr>
          <w:lang w:val="pt-BR"/>
        </w:rPr>
        <w:t xml:space="preserve"> E</w:t>
      </w:r>
      <w:r>
        <w:rPr>
          <w:lang w:val="pt-BR"/>
        </w:rPr>
        <w:t xml:space="preserve">ngloba fatores de liquidez, volatilidade, capitalização e geração de caixa. A pontuação é distribuída entre a Liquidez Média Diária (até 35 pts), o Beta (volatilidade, até 35 pts), o Market Cap (até 35 pts) e o Free Cash Flow Yield (FCF Yield, até 35 pts).</w:t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Saúde Financeira (130 pts):</w:t>
      </w:r>
      <w:r>
        <w:rPr>
          <w:lang w:val="pt-BR"/>
        </w:rPr>
        <w:t xml:space="preserve"> Mede a solidez financeira da companhia. Utiliza indicadores como Dívida Líquida/EBITDA e Liquidez Corrente para premiar empresas com baixo endividamento e boa capacidade de honrar suas obrigações de curto prazo.</w:t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Rentabilidade (110 pts):</w:t>
      </w:r>
      <w:r>
        <w:rPr>
          <w:lang w:val="pt-BR"/>
        </w:rPr>
        <w:t xml:space="preserve"> Analisa a eficiência da gestão em gerar valor para o acionista. A pontuação é derivada do Retorno sobre o Patrimônio Líquido (ROE) e da política de Payout, com regras de pontuação ajustadas para as particularidades do setor financeiro.</w:t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Crescimento, Sentimento e Timing (180 pts):</w:t>
      </w:r>
      <w:r>
        <w:rPr>
          <w:lang w:val="pt-BR"/>
        </w:rPr>
        <w:t xml:space="preserve"> Avalia a capacidade da empresa de expandir suas receitas (até 50 pts), o sentimento de analistas (até 60 pts) e o ciclo de mercado para identificar o </w:t>
      </w:r>
      <w:r>
        <w:rPr>
          <w:i/>
          <w:iCs/>
          <w:lang w:val="pt-BR"/>
        </w:rPr>
        <w:t xml:space="preserve">timing</w:t>
      </w:r>
      <w:r>
        <w:rPr>
          <w:lang w:val="pt-BR"/>
        </w:rPr>
        <w:t xml:space="preserve"> de compra ou venda (até 70 pts).</w:t>
      </w:r>
      <w:r>
        <w:rPr>
          <w:lang w:val="pt-BR"/>
        </w:rPr>
      </w:r>
    </w:p>
    <w:p>
      <w:pPr>
        <w:numPr>
          <w:ilvl w:val="0"/>
          <w:numId w:val="93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Critérios de Graham (150 pts):</w:t>
      </w:r>
      <w:r>
        <w:rPr>
          <w:lang w:val="pt-BR"/>
        </w:rPr>
        <w:t xml:space="preserve"> Incorpora a filosofia de Benjamin Graham, calculando a "margem de segurança" com base no preço justo. A pontuação pode chegar a 150 pontos para ativos com grande desconto.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t xml:space="preserve">A distribuição soma </w:t>
      </w:r>
      <w:r>
        <w:rPr>
          <w:b/>
          <w:bCs/>
          <w:lang w:val="pt-BR"/>
        </w:rPr>
        <w:t xml:space="preserve">1000 pontos</w:t>
      </w:r>
      <w:r>
        <w:rPr>
          <w:lang w:val="pt-BR"/>
        </w:rPr>
        <w:t xml:space="preserve">, fornecendo uma base clara e equilibrada para a avaliação dos ativos.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  <w:t xml:space="preserve">Penalidades</w:t>
      </w:r>
      <w:r>
        <w:rPr>
          <w:b/>
          <w:bCs/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t xml:space="preserve">Para garantir que o score reflita riscos críticos, o modelo aplica penalidades que podem reduzir significativamente a pontuação final de um ativo:</w:t>
      </w:r>
      <w:r>
        <w:rPr>
          <w:lang w:val="pt-BR"/>
        </w:rPr>
      </w:r>
    </w:p>
    <w:p>
      <w:pPr>
        <w:numPr>
          <w:ilvl w:val="0"/>
          <w:numId w:val="94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Recuperação Judicial (Duplo Impacto):</w:t>
      </w:r>
      <w:r>
        <w:rPr>
          <w:lang w:val="pt-BR"/>
        </w:rPr>
        <w:t xml:space="preserve"> Este critério aplica uma penalidade em dois níveis, refletindo o alto risco associado a empresas em dificuldades financeiras.</w:t>
      </w:r>
      <w:r>
        <w:rPr>
          <w:lang w:val="pt-BR"/>
        </w:rPr>
      </w:r>
    </w:p>
    <w:p>
      <w:pPr>
        <w:numPr>
          <w:ilvl w:val="1"/>
          <w:numId w:val="94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Nível do Ativo (Penalidade Máxima: Score Total):</w:t>
      </w:r>
      <w:r>
        <w:rPr>
          <w:lang w:val="pt-BR"/>
        </w:rPr>
        <w:t xml:space="preserve"> Empresas que se encontram em processo de recuperação judicial têm seu score individual </w:t>
      </w:r>
      <w:r>
        <w:rPr>
          <w:b/>
          <w:bCs/>
          <w:lang w:val="pt-BR"/>
        </w:rPr>
        <w:t xml:space="preserve">automaticamente zerado</w:t>
      </w:r>
      <w:r>
        <w:rPr>
          <w:lang w:val="pt-BR"/>
        </w:rPr>
        <w:t xml:space="preserve">. Esta é a penalidade mais severa, pois indica um risco existencial que invalida a maior parte das métricas fundamentalistas convencionais.</w:t>
      </w:r>
      <w:r>
        <w:rPr>
          <w:lang w:val="pt-BR"/>
        </w:rPr>
      </w:r>
    </w:p>
    <w:p>
      <w:pPr>
        <w:numPr>
          <w:ilvl w:val="1"/>
          <w:numId w:val="94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Nível do Setor:</w:t>
      </w:r>
      <w:r>
        <w:rPr>
          <w:lang w:val="pt-BR"/>
        </w:rPr>
        <w:t xml:space="preserve"> O score agregado de um setor também é penalizado com base na </w:t>
      </w:r>
      <w:r>
        <w:rPr>
          <w:b/>
          <w:bCs/>
          <w:lang w:val="pt-BR"/>
        </w:rPr>
        <w:t xml:space="preserve">quantidade de empresas em recuperação judicial</w:t>
      </w:r>
      <w:r>
        <w:rPr>
          <w:lang w:val="pt-BR"/>
        </w:rPr>
        <w:t xml:space="preserve"> que ele contém. Um setor com um histórico de RJs é percebido como mais arriscado, e essa penalidade ajusta a avaliação coletiva para baixo, alertando o investidor sobre uma possível fragilidade estrutural ou cíclica daquele segmento.</w:t>
      </w:r>
      <w:r>
        <w:rPr>
          <w:lang w:val="pt-BR"/>
        </w:rPr>
      </w:r>
    </w:p>
    <w:p>
      <w:pPr>
        <w:numPr>
          <w:ilvl w:val="0"/>
          <w:numId w:val="94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Prejuízo Recorrente (Penalidade Máxima: -150 pts):</w:t>
      </w:r>
      <w:r>
        <w:rPr>
          <w:lang w:val="pt-BR"/>
        </w:rPr>
        <w:t xml:space="preserve"> Empresas que apresentam prejuízo líquido nos últimos 12 meses ou na média dos últimos 5 anos sofrem deduções na pontuação. A penalidade é progressiva, podendo chegar a 150 pontos, sinalizando ineficiência operacional ou desafios setoriais.</w:t>
      </w:r>
      <w:r>
        <w:rPr>
          <w:lang w:val="pt-BR"/>
        </w:rPr>
      </w:r>
    </w:p>
    <w:p>
      <w:pPr>
        <w:numPr>
          <w:ilvl w:val="0"/>
          <w:numId w:val="94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Endividamento Elevado (Penalidade Máxima: -100 pts):</w:t>
      </w:r>
      <w:r>
        <w:rPr>
          <w:lang w:val="pt-BR"/>
        </w:rPr>
        <w:t xml:space="preserve"> Níveis de alavancagem considerados excessivos, medidos pela relação Dívida Líquida/Patrimônio Líquido, resultam em penalidades. A dedução pode chegar a 100 pontos, refletindo um maior risco financeiro e menor flexibilidade da companhia.</w:t>
      </w:r>
      <w:r>
        <w:rPr>
          <w:lang w:val="pt-BR"/>
        </w:rPr>
      </w:r>
    </w:p>
    <w:p>
      <w:pPr>
        <w:pBdr/>
        <w:spacing/>
        <w:ind/>
        <w:jc w:val="center"/>
        <w:rPr>
          <w:lang w:val="pt-BR"/>
        </w:rPr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0070" cy="3004185"/>
                <wp:effectExtent l="0" t="0" r="0" b="0"/>
                <wp:docPr id="13" name="_x0000_i10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4370070" cy="30041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44.10pt;height:236.5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lang w:val="pt-BR"/>
        </w:rPr>
      </w:r>
    </w:p>
    <w:p>
      <w:pPr>
        <w:pStyle w:val="1462"/>
        <w:pBdr/>
        <w:spacing/>
        <w:ind/>
        <w:jc w:val="center"/>
        <w:rPr>
          <w:lang w:val="pt-BR"/>
        </w:rPr>
      </w:pPr>
      <w:r>
        <w:rPr>
          <w:lang w:val="pt-BR"/>
        </w:rPr>
        <w:t xml:space="preserve">Figura </w:t>
      </w:r>
      <w:r>
        <w:rPr>
          <w:lang w:val="pt-BR"/>
        </w:rPr>
        <w:t xml:space="preserve">3</w:t>
      </w:r>
      <w:r>
        <w:rPr>
          <w:lang w:val="pt-BR"/>
        </w:rPr>
        <w:t xml:space="preserve">.</w:t>
      </w:r>
      <w:r>
        <w:rPr>
          <w:lang w:val="pt-BR"/>
        </w:rPr>
        <w:t xml:space="preserve"> Equilibrando Pontuação e Penalidades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227"/>
        <w:numPr>
          <w:ilvl w:val="0"/>
          <w:numId w:val="11"/>
        </w:numPr>
        <w:pBdr/>
        <w:spacing/>
        <w:ind/>
        <w:rPr>
          <w:szCs w:val="28"/>
          <w:lang w:val="pt-BR"/>
        </w:rPr>
      </w:pPr>
      <w:r>
        <w:t xml:space="preserve">Boas </w:t>
      </w:r>
      <w:r>
        <w:t xml:space="preserve">práticas</w:t>
      </w:r>
      <w:r>
        <w:t xml:space="preserve"> </w:t>
      </w:r>
      <w:r>
        <w:t xml:space="preserve">implementadas</w:t>
      </w:r>
      <w:r>
        <w:rPr>
          <w:szCs w:val="28"/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lang w:val="pt-BR"/>
        </w:rPr>
      </w:pPr>
      <w:r>
        <w:rPr>
          <w:lang w:val="pt-BR"/>
        </w:rPr>
        <w:t xml:space="preserve">Visando a qualidade, performance e manutenibilidade do código, diversas boas práticas de engenharia de software, banco de dados e desenvolvimento Python foram aplicadas ao longo do projeto:</w:t>
      </w:r>
      <w:r>
        <w:rPr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b/>
          <w:bCs/>
          <w:lang w:val="pt-BR"/>
        </w:rPr>
      </w:pPr>
      <w:r>
        <w:rPr>
          <w:b/>
          <w:bCs/>
          <w:lang w:val="pt-BR"/>
        </w:rPr>
        <w:t xml:space="preserve">Boas Práticas em Banco de Dados e Arquitetura de Dados</w:t>
      </w:r>
      <w:r>
        <w:rPr>
          <w:b/>
          <w:bCs/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Style w:val="1379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Arquitetura em Camadas (Land, Trusted, DW):</w:t>
      </w:r>
      <w:r>
        <w:rPr>
          <w:lang w:val="pt-BR"/>
        </w:rPr>
        <w:t xml:space="preserve"> A estruturação do data lake em camadas </w:t>
      </w:r>
      <w:r>
        <w:rPr>
          <w:lang w:val="pt-BR"/>
        </w:rPr>
        <w:t xml:space="preserve">distintas (land_dw, trusted_dw) antes da carga no Data Warehouse (banco_dw) é uma prática de mercado consolidada. Ela garante a rastreabilidade, permite o reprocessamento de dados de forma isolada e desacopla as etapas de extração, transformação e consumo.</w:t>
      </w:r>
      <w:r>
        <w:rPr>
          <w:lang w:val="pt-BR"/>
        </w:rPr>
      </w:r>
    </w:p>
    <w:p>
      <w:pPr>
        <w:pStyle w:val="1379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Uso Estratégico de DuckDB e Parquet:</w:t>
      </w:r>
      <w:r>
        <w:rPr>
          <w:lang w:val="pt-BR"/>
        </w:rPr>
        <w:t xml:space="preserve"> A escolha do DuckDB como Data Warehouse analítico local, combinada com o uso do formato Parquet para </w:t>
      </w:r>
      <w:r>
        <w:rPr>
          <w:lang w:val="pt-BR"/>
        </w:rPr>
        <w:t xml:space="preserve">as camadas intermediárias, otimiza a performance e reduz custos. O Parquet oferece compressão e leitura colunar eficiente, enquanto o DuckDB proporciona consultas analíticas de alta velocidade sem a necessidade de um servidor de banco de dados tradicional.</w:t>
      </w:r>
      <w:r>
        <w:rPr>
          <w:lang w:val="pt-BR"/>
        </w:rPr>
      </w:r>
    </w:p>
    <w:p>
      <w:pPr>
        <w:pStyle w:val="1379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Estratégia de Carga Híbrida (Completa e Incremental):</w:t>
      </w:r>
      <w:r>
        <w:rPr>
          <w:lang w:val="pt-BR"/>
        </w:rPr>
        <w:t xml:space="preserve"> O pipeline adota uma abordagem de carga mista. A maioria das tabelas é recriada a cada execução (CREATE OR REPLACE TABLE), garantindo um estado final co</w:t>
      </w:r>
      <w:r>
        <w:rPr>
          <w:lang w:val="pt-BR"/>
        </w:rPr>
        <w:t xml:space="preserve">nsistente e idempotente. No entanto, para tabelas de histórico volumosas (como todos_dividendos), é utilizada uma carga incremental, onde apenas os novos registros são adicionados, otimizando significativamente o tempo de processamento e o uso de recursos.</w:t>
      </w:r>
      <w:r>
        <w:rPr>
          <w:lang w:val="pt-BR"/>
        </w:rPr>
      </w:r>
    </w:p>
    <w:p>
      <w:pPr>
        <w:pStyle w:val="1379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Abstração de Acesso a Dados:</w:t>
      </w:r>
      <w:r>
        <w:rPr>
          <w:lang w:val="pt-BR"/>
        </w:rPr>
        <w:t xml:space="preserve"> A centralização de todo o acesso a dados no módulo app/data_loader.py abstrai as consultas SQL do restante da aplicação. Isso desacopla a camada de visualização da camada de dados, facilitando a manutenção e futuras migrações de banco de dados.</w:t>
      </w:r>
      <w:r>
        <w:rPr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left="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 w:left="0"/>
        <w:rPr>
          <w:b/>
          <w:bCs/>
          <w:lang w:val="pt-BR"/>
        </w:rPr>
      </w:pPr>
      <w:r>
        <w:rPr>
          <w:b/>
          <w:bCs/>
          <w:lang w:val="pt-BR"/>
        </w:rPr>
        <w:t xml:space="preserve">Boas Práticas em Desenvolvimento Python</w:t>
      </w:r>
      <w:r>
        <w:rPr>
          <w:b/>
          <w:bCs/>
          <w:lang w:val="pt-BR"/>
        </w:rPr>
      </w:r>
    </w:p>
    <w:p>
      <w:pPr>
        <w:pStyle w:val="137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Style w:val="1379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Modularidade e Separação de Responsabilidades:</w:t>
      </w:r>
      <w:r>
        <w:rPr>
          <w:lang w:val="pt-BR"/>
        </w:rPr>
        <w:t xml:space="preserve"> O código foi or</w:t>
      </w:r>
      <w:r>
        <w:rPr>
          <w:lang w:val="pt-BR"/>
        </w:rPr>
        <w:t xml:space="preserve">ganizado em módulos com responsabilidades bem definidas. Por exemplo, o pipeline de ETL está em data_engineer/, a lógica da aplicação em app/, e os componentes de UI em app/components/. Essa estrutura facilita a manutenção, o teste e a evolução do sistema.</w:t>
      </w:r>
      <w:r>
        <w:rPr>
          <w:lang w:val="pt-BR"/>
        </w:rPr>
      </w:r>
    </w:p>
    <w:p>
      <w:pPr>
        <w:pStyle w:val="1379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Tratamento Robusto de Erros:</w:t>
      </w:r>
      <w:r>
        <w:rPr>
          <w:lang w:val="pt-BR"/>
        </w:rPr>
        <w:t xml:space="preserve"> Os scripts de coleta de dados </w:t>
      </w:r>
      <w:r>
        <w:rPr>
          <w:lang w:val="pt-BR"/>
        </w:rPr>
        <w:t xml:space="preserve">(data_engineer/08-indicadores.py) implementam blocos try...except para capturar falhas durante as chamadas de API e o processamento de dados. Isso torna o pipeline mais resiliente, permitindo que ele continue a execução mesmo que um ativo específico falhe.</w:t>
      </w:r>
      <w:r>
        <w:rPr>
          <w:lang w:val="pt-BR"/>
        </w:rPr>
      </w:r>
    </w:p>
    <w:p>
      <w:pPr>
        <w:pStyle w:val="1379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Código Limpo e Legível:</w:t>
      </w:r>
      <w:r>
        <w:rPr>
          <w:lang w:val="pt-BR"/>
        </w:rPr>
        <w:t xml:space="preserve"> O uso de docstrings para explicar o propósito de funções e módulos, nomes de variáveis descritivos e a utilização de pathlib para manipulação de caminhos de arquivos contribuem para um código mais limpo e de fácil compreensão.</w:t>
      </w:r>
      <w:r>
        <w:rPr>
          <w:lang w:val="pt-BR"/>
        </w:rPr>
      </w:r>
    </w:p>
    <w:p>
      <w:pPr>
        <w:pStyle w:val="1379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Otimização de Performance na Aplicação:</w:t>
      </w:r>
      <w:r>
        <w:rPr>
          <w:lang w:val="pt-BR"/>
        </w:rPr>
      </w:r>
    </w:p>
    <w:p>
      <w:pPr>
        <w:pStyle w:val="1379"/>
        <w:numPr>
          <w:ilvl w:val="1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Cache do Streamlit (@st.cache_data):</w:t>
      </w:r>
      <w:r>
        <w:rPr>
          <w:lang w:val="pt-BR"/>
        </w:rPr>
        <w:t xml:space="preserve"> O uso do decorador de cache do Streamlit acelera o recarregamento da aplicação, evitando a re-execução de consultas pesadas a cada interação do usuário.</w:t>
      </w:r>
      <w:r>
        <w:rPr>
          <w:lang w:val="pt-BR"/>
        </w:rPr>
      </w:r>
    </w:p>
    <w:p>
      <w:pPr>
        <w:pStyle w:val="1379"/>
        <w:numPr>
          <w:ilvl w:val="1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Processamento Paralelo:</w:t>
      </w:r>
      <w:r>
        <w:rPr>
          <w:lang w:val="pt-BR"/>
        </w:rPr>
        <w:t xml:space="preserve"> A implementação de joblib para o cálculo de scores em paralelo (app/scoring.py) demonstra uma preocupação com a otimização de performance em tarefas computacionalmente intensivas, embora a abordagem principal seja a carga de scores pré-calculados.</w:t>
      </w:r>
      <w:r>
        <w:rPr>
          <w:lang w:val="pt-BR"/>
        </w:rPr>
      </w:r>
    </w:p>
    <w:p>
      <w:pPr>
        <w:pStyle w:val="1476"/>
        <w:pBdr/>
        <w:spacing/>
        <w:ind/>
        <w:jc w:val="center"/>
        <w:rPr>
          <w:b/>
          <w:sz w:val="28"/>
          <w:szCs w:val="28"/>
          <w:lang w:val="pt-BR"/>
        </w:rPr>
      </w:pPr>
      <w:r>
        <w:rPr>
          <w:b/>
          <w:sz w:val="28"/>
          <w:szCs w:val="28"/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33950" cy="1626870"/>
                <wp:effectExtent l="0" t="0" r="0" b="0"/>
                <wp:docPr id="14" name="_x0000_i10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4933950" cy="16268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388.50pt;height:128.1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sz w:val="28"/>
          <w:szCs w:val="28"/>
          <w:lang w:val="pt-BR"/>
        </w:rPr>
      </w:r>
    </w:p>
    <w:p>
      <w:pPr>
        <w:pStyle w:val="1462"/>
        <w:pBdr/>
        <w:spacing/>
        <w:ind/>
        <w:jc w:val="center"/>
        <w:rPr>
          <w:color w:val="ff0000"/>
          <w:sz w:val="32"/>
          <w:szCs w:val="32"/>
          <w:lang w:val="pt-BR"/>
        </w:rPr>
      </w:pPr>
      <w:r>
        <w:rPr>
          <w:lang w:val="pt-BR"/>
        </w:rPr>
        <w:t xml:space="preserve">Figura </w:t>
      </w:r>
      <w:r>
        <w:rPr>
          <w:lang w:val="pt-BR"/>
        </w:rPr>
        <w:t xml:space="preserve">4. Boas praticas</w:t>
      </w:r>
      <w:r>
        <w:rPr>
          <w:color w:val="ff0000"/>
          <w:sz w:val="32"/>
          <w:szCs w:val="32"/>
          <w:lang w:val="pt-BR"/>
        </w:rPr>
      </w:r>
    </w:p>
    <w:p>
      <w:pPr>
        <w:pStyle w:val="1226"/>
        <w:pageBreakBefore w:val="true"/>
        <w:pBdr/>
        <w:spacing/>
        <w:ind/>
        <w:rPr>
          <w:lang w:val="pt-BR"/>
        </w:rPr>
      </w:pPr>
      <w:r>
        <w:rPr>
          <w:lang w:val="pt-BR"/>
        </w:rPr>
        <w:t xml:space="preserve">Resultados e Análise</w:t>
      </w:r>
      <w:r>
        <w:rPr>
          <w:lang w:val="pt-BR"/>
        </w:rPr>
      </w:r>
    </w:p>
    <w:p>
      <w:pPr>
        <w:pStyle w:val="1227"/>
        <w:numPr>
          <w:ilvl w:val="0"/>
          <w:numId w:val="20"/>
        </w:numPr>
        <w:pBdr/>
        <w:spacing/>
        <w:ind/>
        <w:rPr>
          <w:szCs w:val="28"/>
          <w:lang w:val="pt-BR"/>
        </w:rPr>
      </w:pPr>
      <w:r>
        <w:t xml:space="preserve">Artefatos</w:t>
      </w:r>
      <w:r>
        <w:t xml:space="preserve"> </w:t>
      </w:r>
      <w:r>
        <w:t xml:space="preserve">gerado</w:t>
      </w:r>
      <w:r>
        <w:rPr>
          <w:lang w:val="pt-BR"/>
        </w:rPr>
        <w:t xml:space="preserve">s</w:t>
      </w:r>
      <w:r>
        <w:rPr>
          <w:szCs w:val="28"/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  <w:t xml:space="preserve">A execução do pipeline de dados resulta em um conjunto de artefatos coesos e prontos para consumo:</w:t>
      </w:r>
      <w:r>
        <w:rPr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O Data Warehouse (dw.duckdb):</w:t>
      </w:r>
      <w:r>
        <w:rPr>
          <w:lang w:val="pt-BR"/>
        </w:rPr>
        <w:t xml:space="preserve"> Artefato principal do projeto, que consolida todos os dados tratados e serve como fonte única e performática para a aplicação.</w:t>
      </w:r>
      <w:r>
        <w:rPr>
          <w:lang w:val="pt-BR"/>
        </w:rPr>
      </w:r>
    </w:p>
    <w:p>
      <w:pPr>
        <w:numPr>
          <w:ilvl w:val="0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Camadas de Dados Intermediárias:</w:t>
      </w:r>
      <w:r>
        <w:rPr>
          <w:lang w:val="pt-BR"/>
        </w:rPr>
        <w:t xml:space="preserve"> Os arquivos Parquet nas camadas Land e Trusted garantem a reprodutibilidade e a rastreabilidade de todo o pipeline de transformação.</w:t>
      </w:r>
      <w:r>
        <w:rPr>
          <w:lang w:val="pt-BR"/>
        </w:rPr>
      </w:r>
    </w:p>
    <w:p>
      <w:pPr>
        <w:numPr>
          <w:ilvl w:val="0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Dashboard Interativo:</w:t>
      </w:r>
      <w:r>
        <w:rPr>
          <w:lang w:val="pt-BR"/>
        </w:rPr>
        <w:t xml:space="preserve"> A aplicação Streamlit, executável via streamlit run app/app.py, que apresenta os resultados de forma clara e interativa, contendo:</w:t>
      </w:r>
      <w:r>
        <w:rPr>
          <w:lang w:val="pt-BR"/>
        </w:rPr>
      </w:r>
    </w:p>
    <w:p>
      <w:pPr>
        <w:numPr>
          <w:ilvl w:val="1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Ranking Geral e Detalhado:</w:t>
      </w:r>
      <w:r>
        <w:rPr>
          <w:lang w:val="pt-BR"/>
        </w:rPr>
        <w:t xml:space="preserve"> Tabelas interativas que classificam os ativos pelo Score Total (exibido como barra de progresso) e permitem a visualização de dezenas de indicadores fundamentalistas e técnicos.</w:t>
      </w:r>
      <w:r>
        <w:rPr>
          <w:lang w:val="pt-BR"/>
        </w:rPr>
      </w:r>
    </w:p>
    <w:p>
      <w:pPr>
        <w:numPr>
          <w:ilvl w:val="1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Análise Individual:</w:t>
      </w:r>
      <w:r>
        <w:rPr>
          <w:lang w:val="pt-BR"/>
        </w:rPr>
        <w:t xml:space="preserve"> Uma seção dedicada que detalha a composição do Score Total de cada ativo, separando os pontos positivos das penalidades aplicadas.</w:t>
      </w:r>
      <w:r>
        <w:rPr>
          <w:lang w:val="pt-BR"/>
        </w:rPr>
      </w:r>
    </w:p>
    <w:p>
      <w:pPr>
        <w:numPr>
          <w:ilvl w:val="1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Análise de Dividendos:</w:t>
      </w:r>
      <w:r>
        <w:rPr>
          <w:lang w:val="pt-BR"/>
        </w:rPr>
        <w:t xml:space="preserve"> Gráficos de série temporal dos proventos, frequência de pagamento por mês e rankings dos maiores pagadores de dividendos.</w:t>
      </w:r>
      <w:r>
        <w:rPr>
          <w:lang w:val="pt-BR"/>
        </w:rPr>
      </w:r>
    </w:p>
    <w:p>
      <w:pPr>
        <w:numPr>
          <w:ilvl w:val="1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Análise Setorial:</w:t>
      </w:r>
      <w:r>
        <w:rPr>
          <w:lang w:val="pt-BR"/>
        </w:rPr>
        <w:t xml:space="preserve"> Um ranking que avalia o desempenho agregado de cada subsetor da bolsa, com sua pontuação final e gráficos comparativos.</w:t>
      </w:r>
      <w:r>
        <w:rPr>
          <w:lang w:val="pt-BR"/>
        </w:rPr>
      </w:r>
    </w:p>
    <w:p>
      <w:pPr>
        <w:numPr>
          <w:ilvl w:val="1"/>
          <w:numId w:val="102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Variação de Preços:</w:t>
      </w:r>
      <w:r>
        <w:rPr>
          <w:lang w:val="pt-BR"/>
        </w:rPr>
        <w:t xml:space="preserve"> Colunas no ranking que exibem a valorização percentual dos ativos nos últimos 1 e 6 meses.</w:t>
      </w:r>
      <w:r>
        <w:rPr>
          <w:lang w:val="pt-BR"/>
        </w:rPr>
      </w:r>
    </w:p>
    <w:p>
      <w:pPr>
        <w:pBdr/>
        <w:spacing/>
        <w:ind w:left="144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 w:left="144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555105" cy="2885440"/>
                <wp:effectExtent l="0" t="0" r="0" b="0"/>
                <wp:docPr id="15" name="_x0000_i104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6555105" cy="28854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516.15pt;height:227.2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lang w:val="pt-BR"/>
        </w:rPr>
      </w:r>
    </w:p>
    <w:p>
      <w:pPr>
        <w:pStyle w:val="1462"/>
        <w:pBdr/>
        <w:spacing/>
        <w:ind/>
        <w:jc w:val="center"/>
        <w:rPr>
          <w:color w:val="ff0000"/>
          <w:sz w:val="32"/>
          <w:szCs w:val="32"/>
          <w:lang w:val="pt-BR"/>
        </w:rPr>
      </w:pPr>
      <w:r>
        <w:rPr>
          <w:lang w:val="pt-BR"/>
        </w:rPr>
        <w:t xml:space="preserve">Figura </w:t>
      </w:r>
      <w:r>
        <w:rPr>
          <w:lang w:val="pt-BR"/>
        </w:rPr>
        <w:t xml:space="preserve">5</w:t>
      </w:r>
      <w:r>
        <w:rPr>
          <w:lang w:val="pt-BR"/>
        </w:rPr>
        <w:t xml:space="preserve">. </w:t>
      </w:r>
      <w:r>
        <w:rPr>
          <w:lang w:val="pt-BR"/>
        </w:rPr>
        <w:t xml:space="preserve">Bússola de valor</w:t>
      </w:r>
      <w:r>
        <w:rPr>
          <w:color w:val="ff0000"/>
          <w:sz w:val="32"/>
          <w:szCs w:val="32"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227"/>
        <w:numPr>
          <w:ilvl w:val="0"/>
          <w:numId w:val="12"/>
        </w:numPr>
        <w:pBdr/>
        <w:spacing/>
        <w:ind/>
        <w:rPr>
          <w:szCs w:val="28"/>
          <w:lang w:val="pt-BR"/>
        </w:rPr>
      </w:pPr>
      <w:r>
        <w:t xml:space="preserve">Validação</w:t>
      </w:r>
      <w:r>
        <w:t xml:space="preserve"> e </w:t>
      </w:r>
      <w:r>
        <w:t xml:space="preserve">Verificação</w:t>
      </w:r>
      <w:r>
        <w:rPr>
          <w:szCs w:val="28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A garantia da acurácia, consistência e confiabilidade dos dados é um pilar funda</w:t>
      </w:r>
      <w:r>
        <w:rPr>
          <w:lang w:val="pt-BR"/>
        </w:rPr>
        <w:t xml:space="preserve">mental da "Bússola de Valor". Para assegurar a integridade do sistema, desde a coleta inicial até a visualização final, foi implementado um processo de validação multifacetado que abrange a qualidade dos dados, a lógica de negócio e a robustez do pipeline.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Validação da Integridade dos Dados:</w:t>
      </w:r>
      <w:r>
        <w:rPr>
          <w:lang w:val="pt-BR"/>
        </w:rPr>
        <w:t xml:space="preserve"> A primeira linha de defesa é a validação no nível dos dados. Durante a fase de transformação (camada </w:t>
      </w:r>
      <w:r>
        <w:rPr>
          <w:i/>
          <w:iCs/>
          <w:lang w:val="pt-BR"/>
        </w:rPr>
        <w:t xml:space="preserve">Trusted</w:t>
      </w:r>
      <w:r>
        <w:rPr>
          <w:lang w:val="pt-BR"/>
        </w:rPr>
        <w:t xml:space="preserve">), são aplicadas rotinas de limpeza e normalização. Isso inclui a coerção de tipos de dados para gar</w:t>
      </w:r>
      <w:r>
        <w:rPr>
          <w:lang w:val="pt-BR"/>
        </w:rPr>
        <w:t xml:space="preserve">antir consistência numérica e textual, o tratamento de valores ausentes (NaN) para evitar erros de cálculo, e a padronização de tickers entre as diferentes fontes de API (yfinance, brapi), assegurando que os dados se refiram inequivocamente ao mesmo ativo.</w:t>
      </w:r>
      <w:r>
        <w:rPr>
          <w:lang w:val="pt-BR"/>
        </w:rPr>
      </w:r>
    </w:p>
    <w:p>
      <w:pPr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Validação da Arquitetura e do Pipeline:</w:t>
      </w:r>
      <w:r>
        <w:rPr>
          <w:lang w:val="pt-BR"/>
        </w:rPr>
        <w:t xml:space="preserve"> A robustez do fluxo de dados é garantida pela arquitetura do pipeline. A execução sequencial e numerada dos scripts (data_engineer/) assegura que as dependências sejam respeitadas, prevenindo a execução de uma etapa antes que seus pré-requisitos </w:t>
      </w:r>
      <w:r>
        <w:rPr>
          <w:lang w:val="pt-BR"/>
        </w:rPr>
        <w:t xml:space="preserve">sejam concluídos. A natureza da carga de dados, que utiliza a abordagem CREATE OR REPLACE TABLE para a maioria das tabelas, garante que re-execuções do pipeline resultem em um estado final consistente, eliminando riscos de duplicação de dados ou corrupção.</w:t>
      </w:r>
      <w:r>
        <w:rPr>
          <w:lang w:val="pt-BR"/>
        </w:rPr>
      </w:r>
    </w:p>
    <w:p>
      <w:pPr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b/>
          <w:bCs/>
          <w:lang w:val="pt-BR"/>
        </w:rPr>
        <w:t xml:space="preserve">Verificação End-to-End:</w:t>
      </w:r>
      <w:r>
        <w:rPr>
          <w:lang w:val="pt-BR"/>
        </w:rPr>
        <w:t xml:space="preserve"> Para validar a jornada completa do dado, foi conduzida uma auditoria de rastreabilidade. O processo de ETL inicia-se com o loader que deposita os dados brutos na camada de pouso (land_dw). Em</w:t>
      </w:r>
      <w:r>
        <w:rPr>
          <w:lang w:val="pt-BR"/>
        </w:rPr>
        <w:t xml:space="preserve"> seguida, os dados são tratados e enriquecidos, sendo persistidos na camada trusted_dw. Finalmente, são consolidados no Data Warehouse dw.duckdb para consumo pela aplicação. A verificação consistiu em selecionar um indicador específico no dashboard (e.g., </w:t>
      </w:r>
      <w:r>
        <w:rPr>
          <w:lang w:val="pt-BR"/>
        </w:rPr>
        <w:t xml:space="preserve">o P/L de um ativo) e rastreá-lo no sentido inverso: do componente visual no Streamlit, passando pela consulta SQL no data_loader.py, pelo dado no dw.duckdb, pelo arquivo Parquet correspondente na trusted_dw, até chegar ao dado bruto original na land_dw. Es</w:t>
      </w:r>
      <w:r>
        <w:rPr>
          <w:lang w:val="pt-BR"/>
        </w:rPr>
        <w:t xml:space="preserve">sa auditoria de ponta a ponta confirma que cada etapa do pipeline (extração, tratamento e carga) opera como esperado, garantindo que a informação exibida ao usuário final é um reflexo fiel e acurado do dado de origem após todas as transformações aplicadas.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jc w:val="center"/>
        <w:rPr>
          <w:lang w:val="pt-BR"/>
        </w:rPr>
      </w:pP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95010" cy="3681095"/>
                <wp:effectExtent l="0" t="0" r="0" b="0"/>
                <wp:docPr id="16" name="_x0000_i10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/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95010" cy="36810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6.30pt;height:289.8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lang w:val="pt-BR"/>
        </w:rPr>
      </w:r>
    </w:p>
    <w:p>
      <w:pPr>
        <w:pStyle w:val="1462"/>
        <w:pBdr/>
        <w:spacing/>
        <w:ind/>
        <w:jc w:val="center"/>
        <w:rPr>
          <w:color w:val="ff0000"/>
          <w:sz w:val="32"/>
          <w:szCs w:val="32"/>
          <w:lang w:val="pt-BR"/>
        </w:rPr>
      </w:pPr>
      <w:r>
        <w:rPr>
          <w:lang w:val="pt-BR"/>
        </w:rPr>
        <w:t xml:space="preserve">Figura </w:t>
      </w:r>
      <w:r>
        <w:rPr>
          <w:lang w:val="pt-BR"/>
        </w:rPr>
        <w:t xml:space="preserve">6</w:t>
      </w:r>
      <w:r>
        <w:rPr>
          <w:lang w:val="pt-BR"/>
        </w:rPr>
        <w:t xml:space="preserve">. </w:t>
      </w:r>
      <w:r>
        <w:rPr>
          <w:lang w:val="pt-BR"/>
        </w:rPr>
        <w:t xml:space="preserve">Validação e verificação dos dados</w:t>
      </w:r>
      <w:r>
        <w:rPr>
          <w:color w:val="ff0000"/>
          <w:sz w:val="32"/>
          <w:szCs w:val="32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226"/>
        <w:pageBreakBefore w:val="true"/>
        <w:pBdr/>
        <w:spacing/>
        <w:ind/>
        <w:rPr>
          <w:color w:val="000000"/>
          <w:sz w:val="20"/>
          <w:lang w:val="pt-BR"/>
        </w:rPr>
      </w:pPr>
      <w:r>
        <w:rPr>
          <w:lang w:val="es-ES"/>
        </w:rPr>
        <w:t xml:space="preserve">Conclusão</w:t>
      </w:r>
      <w:r>
        <w:rPr>
          <w:color w:val="000000"/>
          <w:sz w:val="20"/>
          <w:lang w:val="pt-BR"/>
        </w:rPr>
      </w:r>
    </w:p>
    <w:p>
      <w:pPr>
        <w:pStyle w:val="1475"/>
        <w:pBdr/>
        <w:spacing w:line="252" w:lineRule="auto"/>
        <w:ind w:firstLine="0"/>
        <w:rPr>
          <w:sz w:val="20"/>
          <w:lang w:val="pt-BR"/>
        </w:rPr>
      </w:pPr>
      <w:r>
        <w:rPr>
          <w:sz w:val="20"/>
          <w:lang w:val="pt-BR"/>
        </w:rPr>
        <w:tab/>
      </w:r>
      <w:r>
        <w:rPr>
          <w:sz w:val="20"/>
          <w:lang w:val="pt-BR"/>
        </w:rPr>
        <w:t xml:space="preserve">O projeto "Bússola de Valor" entrega uma ferramenta operacional de alto valor, que combina com sucesso práticas clássicas de análise fundamentalista com técnicas modernas de engenharia de dados</w:t>
      </w:r>
      <w:r>
        <w:rPr>
          <w:sz w:val="20"/>
          <w:lang w:val="pt-BR"/>
        </w:rPr>
        <w:t xml:space="preserve"> e visualização interativa. A solução final facilita a comparação objetiva entre empresas da B3 com foco em geração de dividendos e permite ao investidor investigar as justificativas de cada pontuação, promovendo uma tomada de decisão mais informada e ágil</w:t>
      </w:r>
      <w:r>
        <w:rPr>
          <w:sz w:val="20"/>
          <w:lang w:val="pt-BR"/>
        </w:rPr>
        <w:t xml:space="preserve">.</w:t>
      </w:r>
      <w:r>
        <w:rPr>
          <w:sz w:val="20"/>
          <w:lang w:val="pt-BR"/>
        </w:rPr>
      </w:r>
    </w:p>
    <w:p>
      <w:pPr>
        <w:pStyle w:val="1227"/>
        <w:numPr>
          <w:ilvl w:val="0"/>
          <w:numId w:val="32"/>
        </w:numPr>
        <w:pBdr/>
        <w:spacing/>
        <w:ind/>
        <w:rPr>
          <w:lang w:val="pt-BR"/>
        </w:rPr>
      </w:pPr>
      <w:r>
        <w:t xml:space="preserve">Dificuldades</w:t>
      </w:r>
      <w:r>
        <w:t xml:space="preserve"> </w:t>
      </w:r>
      <w:r>
        <w:t xml:space="preserve">Encontradas</w:t>
      </w:r>
      <w:r>
        <w:rPr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  <w:t xml:space="preserve">O desenvolvimento de um projeto engenharia de dados com múltiplas integrações apresentou desafios técnicos e conceituais significativos. A superação destes obstáculos foi crucial para o sucesso da ferramenta e envolveu as seguintes frentes:</w:t>
      </w:r>
      <w:r>
        <w:rPr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5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Normalização de Dados:</w:t>
      </w:r>
      <w:r>
        <w:rPr>
          <w:lang w:val="pt-BR"/>
        </w:rPr>
        <w:t xml:space="preserve"> Um dos maiores desafios foi a normalização dos diversos formatos de dados provenientes das diferentes APIs e fontes, exigindo um tratamento cuidadoso para unificar as informações de forma consistente.</w:t>
      </w:r>
      <w:r>
        <w:rPr>
          <w:lang w:val="pt-BR"/>
        </w:rPr>
      </w:r>
    </w:p>
    <w:p>
      <w:pPr>
        <w:pBdr/>
        <w:spacing/>
        <w:ind w:left="36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5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Tratamento de Valores Faltantes:</w:t>
      </w:r>
      <w:r>
        <w:rPr>
          <w:lang w:val="pt-BR"/>
        </w:rPr>
        <w:t xml:space="preserve"> A ausência de dados em algumas fontes para determinados tickers demandou a implementação de lógicas de tratamento para evitar erros e garantir que a pontuação não fosse indevidamente prejudicada.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5"/>
        </w:numPr>
        <w:pBdr/>
        <w:spacing/>
        <w:ind/>
        <w:rPr>
          <w:lang w:val="pt-BR"/>
        </w:rPr>
      </w:pPr>
      <w:r>
        <w:rPr>
          <w:b/>
          <w:bCs/>
          <w:lang w:val="pt-BR"/>
        </w:rPr>
        <w:t xml:space="preserve">Definição do Modelo de Scoring:</w:t>
      </w:r>
      <w:r>
        <w:rPr>
          <w:lang w:val="pt-BR"/>
        </w:rPr>
        <w:t xml:space="preserve"> A definição consensual dos limites e pesos de cada critério do score foi um processo iterativo, que exigiu uma combinação de pesquisa em literatura financeira e testes empíricos para alcançar um modelo balanceado e representativo.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227"/>
        <w:numPr>
          <w:ilvl w:val="0"/>
          <w:numId w:val="13"/>
        </w:numPr>
        <w:pBdr/>
        <w:spacing/>
        <w:ind/>
        <w:rPr>
          <w:lang w:val="pt-BR"/>
        </w:rPr>
      </w:pPr>
      <w:r>
        <w:rPr>
          <w:lang w:val="pt-BR"/>
        </w:rPr>
        <w:t xml:space="preserve">A</w:t>
      </w:r>
      <w:r>
        <w:t xml:space="preserve">plicabilidade</w:t>
      </w:r>
      <w:r>
        <w:t xml:space="preserve"> do </w:t>
      </w:r>
      <w:r>
        <w:t xml:space="preserve">Trabalho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O projeto "Bússola de Valor" possui uma dupla aplicabilidade. Primeiramente, representa uma significativa contribui</w:t>
      </w:r>
      <w:r>
        <w:rPr>
          <w:lang w:val="pt-BR"/>
        </w:rPr>
        <w:t xml:space="preserve">ção acadêmica ao documentar de ponta a ponta a construção de uma solução de engenharia de dados aplicada ao mercado financeiro, desde a coleta e estruturação de dados até a criação de um modelo de scoring e sua disponibilização em um dashboard interativo. 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O trabalho serve como um estudo de caso prático sobre a aplicação de tecnologias como DuckDB e Streamlit para resolver problemas complexos de análise de investimentos.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  <w:t xml:space="preserve">Em segundo lugar, a ferramenta foi concebida para ser uma solução robusta e acessível a todos os investidores</w:t>
      </w:r>
      <w:r>
        <w:rPr>
          <w:lang w:val="pt-BR"/>
        </w:rPr>
        <w:t xml:space="preserve">. </w:t>
      </w:r>
      <w:r>
        <w:rPr>
          <w:lang w:val="pt-BR"/>
        </w:rPr>
        <w:t xml:space="preserve">Seu propósito é democratizar o acesso à análise fundamentalista de qualidade, oferecendo uma plataforma que automatiza a coleta de dados e a aplicação de </w:t>
      </w:r>
      <w:r>
        <w:rPr>
          <w:lang w:val="pt-BR"/>
        </w:rPr>
        <w:t xml:space="preserve">critérios de avaliação consagrados. Dessa forma, a "Bússola de Valor" se posiciona como um recurso educacional e de apoio à decisão, capacitando o investidor a aprimorar suas próprias análises e a construir portfólios de forma mais informada e sistemática.</w:t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Style w:val="1475"/>
        <w:pBdr/>
        <w:spacing w:line="252" w:lineRule="auto"/>
        <w:ind w:firstLine="0"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226"/>
        <w:pageBreakBefore w:val="true"/>
        <w:pBdr/>
        <w:spacing/>
        <w:ind/>
        <w:rPr>
          <w:sz w:val="20"/>
          <w:lang w:val="pt-BR"/>
        </w:rPr>
      </w:pPr>
      <w:r>
        <w:rPr>
          <w:lang w:val="pt-BR"/>
        </w:rPr>
        <w:t xml:space="preserve">Bibliografia</w:t>
      </w:r>
      <w:r>
        <w:rPr>
          <w:sz w:val="20"/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  <w:t xml:space="preserve">A fundamentação teórica e técnica do projeto foi embasada em um conjunto de obras e documentações de referência.</w:t>
      </w:r>
      <w:r>
        <w:rPr>
          <w:lang w:val="pt-BR"/>
        </w:rPr>
      </w:r>
    </w:p>
    <w:p>
      <w:pPr>
        <w:pBdr/>
        <w:spacing/>
        <w:ind w:firstLine="204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  <w:t xml:space="preserve">Livros de Investimento e Finanças:</w:t>
      </w:r>
      <w:r>
        <w:rPr>
          <w:b/>
          <w:bCs/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t xml:space="preserve">A base conceitual para a criação do modelo de scoring foi inspirada em obras clássicas de grandes investidores: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7"/>
        </w:numPr>
        <w:pBdr/>
        <w:spacing/>
        <w:ind/>
        <w:rPr>
          <w:lang w:val="pt-BR"/>
        </w:rPr>
      </w:pPr>
      <w:r>
        <w:rPr>
          <w:lang w:val="pt-BR"/>
        </w:rPr>
        <w:t xml:space="preserve">Barsi, L. - </w:t>
      </w:r>
      <w:r>
        <w:rPr>
          <w:i/>
          <w:iCs/>
          <w:lang w:val="pt-BR"/>
        </w:rPr>
        <w:t xml:space="preserve">O Rei dos Dividendos: A saga do filho de imigrantes pobres que se tornou o maior investidor pessoa física da bolsa de valores brasileira</w:t>
      </w:r>
      <w:r>
        <w:rPr>
          <w:lang w:val="pt-BR"/>
        </w:rPr>
        <w:t xml:space="preserve">.</w:t>
      </w:r>
      <w:r>
        <w:rPr>
          <w:lang w:val="pt-BR"/>
        </w:rPr>
      </w:r>
    </w:p>
    <w:p>
      <w:pPr>
        <w:numPr>
          <w:ilvl w:val="0"/>
          <w:numId w:val="107"/>
        </w:numPr>
        <w:pBdr/>
        <w:spacing/>
        <w:ind/>
        <w:rPr>
          <w:lang w:val="pt-BR"/>
        </w:rPr>
      </w:pPr>
      <w:r>
        <w:rPr>
          <w:lang w:val="pt-BR"/>
        </w:rPr>
        <w:t xml:space="preserve">Bazin, D. (Décio) — </w:t>
      </w:r>
      <w:r>
        <w:rPr>
          <w:i/>
          <w:iCs/>
          <w:lang w:val="pt-BR"/>
        </w:rPr>
        <w:t xml:space="preserve">Faça fortuna com ações antes que seja tarde</w:t>
      </w:r>
      <w:r>
        <w:rPr>
          <w:lang w:val="pt-BR"/>
        </w:rPr>
        <w:t xml:space="preserve">.</w:t>
      </w:r>
      <w:r>
        <w:rPr>
          <w:lang w:val="pt-BR"/>
        </w:rPr>
      </w:r>
    </w:p>
    <w:p>
      <w:pPr>
        <w:numPr>
          <w:ilvl w:val="0"/>
          <w:numId w:val="107"/>
        </w:numPr>
        <w:pBdr/>
        <w:spacing/>
        <w:ind/>
        <w:rPr>
          <w:lang w:val="pt-BR"/>
        </w:rPr>
      </w:pPr>
      <w:r>
        <w:rPr>
          <w:lang w:val="pt-BR"/>
        </w:rPr>
        <w:t xml:space="preserve">Fisher, P. — </w:t>
      </w:r>
      <w:r>
        <w:rPr>
          <w:i/>
          <w:iCs/>
          <w:lang w:val="pt-BR"/>
        </w:rPr>
        <w:t xml:space="preserve">Ações Comuns, Lucros Extraordinários</w:t>
      </w:r>
      <w:r>
        <w:rPr>
          <w:lang w:val="pt-BR"/>
        </w:rPr>
        <w:t xml:space="preserve">.</w:t>
      </w:r>
      <w:r>
        <w:rPr>
          <w:lang w:val="pt-BR"/>
        </w:rPr>
      </w:r>
    </w:p>
    <w:p>
      <w:pPr>
        <w:numPr>
          <w:ilvl w:val="0"/>
          <w:numId w:val="107"/>
        </w:numPr>
        <w:pBdr/>
        <w:spacing/>
        <w:ind/>
        <w:rPr>
          <w:lang w:val="pt-BR"/>
        </w:rPr>
      </w:pPr>
      <w:r>
        <w:rPr>
          <w:lang w:val="pt-BR"/>
        </w:rPr>
        <w:t xml:space="preserve">Graham, B. — </w:t>
      </w:r>
      <w:r>
        <w:rPr>
          <w:i/>
          <w:iCs/>
          <w:lang w:val="pt-BR"/>
        </w:rPr>
        <w:t xml:space="preserve">O Investidor Inteligente</w:t>
      </w:r>
      <w:r>
        <w:rPr>
          <w:lang w:val="pt-BR"/>
        </w:rPr>
        <w:t xml:space="preserve">.</w:t>
      </w:r>
      <w:r>
        <w:rPr>
          <w:lang w:val="pt-BR"/>
        </w:rPr>
      </w:r>
    </w:p>
    <w:p>
      <w:pPr>
        <w:numPr>
          <w:ilvl w:val="0"/>
          <w:numId w:val="107"/>
        </w:numPr>
        <w:pBdr/>
        <w:spacing/>
        <w:ind/>
        <w:rPr>
          <w:lang w:val="pt-BR"/>
        </w:rPr>
      </w:pPr>
      <w:r>
        <w:rPr>
          <w:lang w:val="pt-BR"/>
        </w:rPr>
        <w:t xml:space="preserve">Kiyosaki, R. T. — </w:t>
      </w:r>
      <w:r>
        <w:rPr>
          <w:i/>
          <w:iCs/>
          <w:lang w:val="pt-BR"/>
        </w:rPr>
        <w:t xml:space="preserve">Pai Rico, Pai Pobre</w:t>
      </w:r>
      <w:r>
        <w:rPr>
          <w:lang w:val="pt-BR"/>
        </w:rPr>
        <w:t xml:space="preserve">.</w:t>
      </w:r>
      <w:r>
        <w:rPr>
          <w:lang w:val="pt-BR"/>
        </w:rPr>
      </w:r>
    </w:p>
    <w:p>
      <w:pPr>
        <w:numPr>
          <w:ilvl w:val="0"/>
          <w:numId w:val="107"/>
        </w:numPr>
        <w:pBdr/>
        <w:spacing/>
        <w:ind/>
        <w:rPr>
          <w:lang w:val="pt-BR"/>
        </w:rPr>
      </w:pPr>
      <w:r>
        <w:rPr>
          <w:lang w:val="pt-BR"/>
        </w:rPr>
        <w:t xml:space="preserve">Lueders, A. &amp; Pora, I. - </w:t>
      </w:r>
      <w:r>
        <w:rPr>
          <w:i/>
          <w:iCs/>
          <w:lang w:val="pt-BR"/>
        </w:rPr>
        <w:t xml:space="preserve">Investindo em Small Caps: um Roteiro Completo Para se Tornar um Investidor de Sucesso</w:t>
      </w:r>
      <w:r>
        <w:rPr>
          <w:lang w:val="pt-BR"/>
        </w:rPr>
        <w:t xml:space="preserve">.</w:t>
      </w:r>
      <w:r>
        <w:rPr>
          <w:lang w:val="pt-BR"/>
        </w:rPr>
      </w:r>
    </w:p>
    <w:p>
      <w:pPr>
        <w:pBdr/>
        <w:spacing/>
        <w:ind w:left="72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  <w:t xml:space="preserve">Livros de Banco de Dados e Engenharia:</w:t>
      </w:r>
      <w:r>
        <w:rPr>
          <w:b/>
          <w:bCs/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t xml:space="preserve">Para o aprofundamento em conceitos de banco de dados e engenharia, foram consultadas as seguintes obras de referência: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8"/>
        </w:numPr>
        <w:pBdr/>
        <w:spacing/>
        <w:ind/>
        <w:rPr>
          <w:lang w:val="pt-BR"/>
        </w:rPr>
      </w:pPr>
      <w:r>
        <w:rPr>
          <w:lang w:val="pt-BR"/>
        </w:rPr>
        <w:t xml:space="preserve">Nield, T. - </w:t>
      </w:r>
      <w:r>
        <w:rPr>
          <w:i/>
          <w:iCs/>
          <w:lang w:val="pt-BR"/>
        </w:rPr>
        <w:t xml:space="preserve">Introdução à Linguagem SQL</w:t>
      </w:r>
      <w:r>
        <w:rPr>
          <w:lang w:val="pt-BR"/>
        </w:rPr>
        <w:t xml:space="preserve">.</w:t>
      </w:r>
      <w:r>
        <w:rPr>
          <w:lang w:val="pt-BR"/>
        </w:rPr>
      </w:r>
    </w:p>
    <w:p>
      <w:pPr>
        <w:numPr>
          <w:ilvl w:val="0"/>
          <w:numId w:val="108"/>
        </w:numPr>
        <w:pBdr/>
        <w:spacing/>
        <w:ind/>
        <w:rPr/>
      </w:pPr>
      <w:r>
        <w:t xml:space="preserve">Kyte, </w:t>
      </w:r>
      <w:r>
        <w:t xml:space="preserve">T. —</w:t>
      </w:r>
      <w:r>
        <w:t xml:space="preserve"> </w:t>
      </w:r>
      <w:r>
        <w:rPr>
          <w:i/>
          <w:iCs/>
        </w:rPr>
        <w:t xml:space="preserve">Expert Oracle Database Architecture</w:t>
      </w:r>
      <w:r>
        <w:t xml:space="preserve">.</w:t>
      </w:r>
      <w:r/>
    </w:p>
    <w:p>
      <w:pPr>
        <w:numPr>
          <w:ilvl w:val="0"/>
          <w:numId w:val="108"/>
        </w:numPr>
        <w:pBdr/>
        <w:spacing/>
        <w:ind/>
        <w:rPr>
          <w:lang w:val="pt-BR"/>
        </w:rPr>
      </w:pPr>
      <w:r>
        <w:rPr>
          <w:lang w:val="pt-BR"/>
        </w:rPr>
        <w:t xml:space="preserve">Knaflic, C. N. - </w:t>
      </w:r>
      <w:r>
        <w:rPr>
          <w:i/>
          <w:iCs/>
          <w:lang w:val="pt-BR"/>
        </w:rPr>
        <w:t xml:space="preserve">Storytelling com Dados: um Guia Sobre Visualização de Dados Para Profissionais de Negócios</w:t>
      </w:r>
      <w:r>
        <w:rPr>
          <w:lang w:val="pt-BR"/>
        </w:rPr>
        <w:t xml:space="preserve">.</w:t>
      </w:r>
      <w:r>
        <w:rPr>
          <w:lang w:val="pt-BR"/>
        </w:rPr>
      </w:r>
    </w:p>
    <w:p>
      <w:pPr>
        <w:pBdr/>
        <w:spacing/>
        <w:ind w:left="720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  <w:t xml:space="preserve">Artigos e Documentação Técnica:</w:t>
      </w:r>
      <w:r>
        <w:rPr>
          <w:b/>
          <w:bCs/>
          <w:lang w:val="pt-BR"/>
        </w:rPr>
      </w:r>
    </w:p>
    <w:p>
      <w:pPr>
        <w:pBdr/>
        <w:spacing/>
        <w:ind/>
        <w:rPr>
          <w:b/>
          <w:bCs/>
          <w:lang w:val="pt-BR"/>
        </w:rPr>
      </w:pPr>
      <w:r>
        <w:rPr>
          <w:b/>
          <w:bCs/>
          <w:lang w:val="pt-BR"/>
        </w:rPr>
      </w:r>
      <w:r>
        <w:rPr>
          <w:b/>
          <w:bCs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  <w:t xml:space="preserve">A implementação técnica foi suportada pela documentação oficial das principais tecnologias utilizadas no projeto:</w:t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>
      <w:pPr>
        <w:numPr>
          <w:ilvl w:val="0"/>
          <w:numId w:val="109"/>
        </w:numPr>
        <w:pBdr/>
        <w:spacing/>
        <w:ind/>
        <w:rPr>
          <w:lang w:val="pt-BR"/>
        </w:rPr>
      </w:pPr>
      <w:r>
        <w:rPr>
          <w:lang w:val="pt-BR"/>
        </w:rPr>
        <w:t xml:space="preserve">Documentação do DuckDB: </w:t>
      </w:r>
      <w:hyperlink r:id="rId29" w:tooltip="https://duckdb.org/docs/" w:history="1">
        <w:r>
          <w:rPr>
            <w:rStyle w:val="1447"/>
            <w:lang w:val="pt-BR"/>
          </w:rPr>
          <w:t xml:space="preserve">https://duckdb.org/docs/</w:t>
        </w:r>
      </w:hyperlink>
      <w:r/>
      <w:r>
        <w:rPr>
          <w:lang w:val="pt-BR"/>
        </w:rPr>
      </w:r>
    </w:p>
    <w:p>
      <w:pPr>
        <w:numPr>
          <w:ilvl w:val="0"/>
          <w:numId w:val="109"/>
        </w:numPr>
        <w:pBdr/>
        <w:spacing/>
        <w:ind/>
        <w:rPr>
          <w:lang w:val="pt-BR"/>
        </w:rPr>
      </w:pPr>
      <w:r>
        <w:rPr>
          <w:lang w:val="pt-BR"/>
        </w:rPr>
        <w:t xml:space="preserve">Documentação do pandas: </w:t>
      </w:r>
      <w:hyperlink r:id="rId30" w:tooltip="https://pandas.pydata.org/docs/" w:history="1">
        <w:r>
          <w:rPr>
            <w:rStyle w:val="1447"/>
            <w:lang w:val="pt-BR"/>
          </w:rPr>
          <w:t xml:space="preserve">https://pandas.pydata.org/docs/</w:t>
        </w:r>
      </w:hyperlink>
      <w:r/>
      <w:r>
        <w:rPr>
          <w:lang w:val="pt-BR"/>
        </w:rPr>
      </w:r>
    </w:p>
    <w:p>
      <w:pPr>
        <w:numPr>
          <w:ilvl w:val="0"/>
          <w:numId w:val="109"/>
        </w:numPr>
        <w:pBdr/>
        <w:spacing/>
        <w:ind/>
        <w:rPr>
          <w:lang w:val="pt-BR"/>
        </w:rPr>
      </w:pPr>
      <w:r>
        <w:rPr>
          <w:lang w:val="pt-BR"/>
        </w:rPr>
        <w:t xml:space="preserve">Documentação do Plotly: </w:t>
      </w:r>
      <w:hyperlink r:id="rId31" w:tooltip="https://plotly.com/python/" w:history="1">
        <w:r>
          <w:rPr>
            <w:rStyle w:val="1447"/>
            <w:lang w:val="pt-BR"/>
          </w:rPr>
          <w:t xml:space="preserve">https://plotly.com/python/</w:t>
        </w:r>
      </w:hyperlink>
      <w:r/>
      <w:r>
        <w:rPr>
          <w:lang w:val="pt-BR"/>
        </w:rPr>
      </w:r>
    </w:p>
    <w:p>
      <w:pPr>
        <w:numPr>
          <w:ilvl w:val="0"/>
          <w:numId w:val="109"/>
        </w:numPr>
        <w:pBdr/>
        <w:spacing/>
        <w:ind/>
        <w:rPr>
          <w:lang w:val="pt-BR"/>
        </w:rPr>
      </w:pPr>
      <w:r>
        <w:rPr>
          <w:lang w:val="pt-BR"/>
        </w:rPr>
        <w:t xml:space="preserve">Documentação do Streamlit: </w:t>
      </w:r>
      <w:hyperlink r:id="rId32" w:tooltip="https://docs.streamlit.io/" w:history="1">
        <w:r>
          <w:rPr>
            <w:rStyle w:val="1447"/>
            <w:lang w:val="pt-BR"/>
          </w:rPr>
          <w:t xml:space="preserve">https://docs.streamlit.io</w:t>
        </w:r>
      </w:hyperlink>
      <w:r/>
      <w:r>
        <w:rPr>
          <w:lang w:val="pt-BR"/>
        </w:rPr>
      </w:r>
    </w:p>
    <w:p>
      <w:pPr>
        <w:numPr>
          <w:ilvl w:val="0"/>
          <w:numId w:val="109"/>
        </w:numPr>
        <w:pBdr/>
        <w:spacing/>
        <w:ind/>
        <w:rPr>
          <w:lang w:val="pt-BR"/>
        </w:rPr>
      </w:pPr>
      <w:r>
        <w:rPr>
          <w:lang w:val="pt-BR"/>
        </w:rPr>
        <w:t xml:space="preserve">Documentação do yfinance</w:t>
      </w:r>
      <w:r>
        <w:rPr>
          <w:lang w:val="pt-BR"/>
        </w:rPr>
        <w:t xml:space="preserve">: </w:t>
      </w:r>
      <w:hyperlink r:id="rId33" w:tooltip="https://pypi.org/project/yfinance/" w:history="1">
        <w:r>
          <w:rPr>
            <w:rStyle w:val="1447"/>
            <w:lang w:val="pt-BR"/>
          </w:rPr>
          <w:t xml:space="preserve">https://pypi.org/project/yfinance/</w:t>
        </w:r>
      </w:hyperlink>
      <w:r/>
      <w:r>
        <w:rPr>
          <w:lang w:val="pt-BR"/>
        </w:rPr>
      </w:r>
    </w:p>
    <w:p>
      <w:pPr>
        <w:numPr>
          <w:ilvl w:val="0"/>
          <w:numId w:val="109"/>
        </w:numPr>
        <w:pBdr/>
        <w:spacing/>
        <w:ind/>
        <w:rPr>
          <w:lang w:val="pt-BR"/>
        </w:rPr>
      </w:pPr>
      <w:r>
        <w:rPr>
          <w:lang w:val="pt-BR"/>
        </w:rPr>
        <w:t xml:space="preserve">Napkin.ai: </w:t>
      </w:r>
      <w:hyperlink r:id="rId34" w:tooltip="https://www.napkin.ai/" w:history="1">
        <w:r>
          <w:rPr>
            <w:rStyle w:val="1447"/>
            <w:lang w:val="pt-BR"/>
          </w:rPr>
          <w:t xml:space="preserve">https://www.napkin.ai/</w:t>
        </w:r>
      </w:hyperlink>
      <w:r/>
      <w:r>
        <w:rPr>
          <w:lang w:val="pt-BR"/>
        </w:rPr>
      </w:r>
    </w:p>
    <w:p>
      <w:pPr>
        <w:numPr>
          <w:ilvl w:val="0"/>
          <w:numId w:val="109"/>
        </w:numPr>
        <w:pBdr/>
        <w:spacing/>
        <w:ind/>
        <w:rPr>
          <w:lang w:val="pt-BR"/>
        </w:rPr>
      </w:pPr>
      <w:r>
        <w:rPr>
          <w:lang w:val="pt-BR"/>
        </w:rPr>
        <w:t xml:space="preserve">Visual Studio Code: </w:t>
      </w:r>
      <w:hyperlink r:id="rId35" w:tooltip="https://code.visualstudio.com/docs" w:history="1">
        <w:r>
          <w:rPr>
            <w:rStyle w:val="1447"/>
            <w:lang w:val="pt-BR"/>
          </w:rPr>
          <w:t xml:space="preserve">https://code.visualstudio.com/docs</w:t>
        </w:r>
      </w:hyperlink>
      <w:r/>
      <w:r>
        <w:rPr>
          <w:lang w:val="pt-BR"/>
        </w:rPr>
      </w:r>
    </w:p>
    <w:p>
      <w:pPr>
        <w:numPr>
          <w:ilvl w:val="0"/>
          <w:numId w:val="109"/>
        </w:numPr>
        <w:pBdr/>
        <w:spacing/>
        <w:ind/>
        <w:rPr>
          <w:lang w:val="pt-BR"/>
        </w:rPr>
      </w:pPr>
      <w:r>
        <w:rPr>
          <w:highlight w:val="none"/>
          <w:lang w:val="pt-BR" w:bidi="pt-BR"/>
        </w:rPr>
        <w:t xml:space="preserve">Github: </w:t>
      </w:r>
      <w:r>
        <w:rPr>
          <w:highlight w:val="none"/>
          <w:lang w:val="pt-BR" w:bidi="pt-BR"/>
        </w:rPr>
      </w:r>
      <w:hyperlink r:id="rId36" w:tooltip="https://github.com/" w:history="1">
        <w:r>
          <w:rPr>
            <w:rStyle w:val="1447"/>
            <w:highlight w:val="none"/>
            <w:lang w:val="pt-BR" w:bidi="pt-BR"/>
          </w:rPr>
          <w:t xml:space="preserve">https://github.com/</w:t>
        </w:r>
        <w:r>
          <w:rPr>
            <w:rStyle w:val="1447"/>
            <w:highlight w:val="none"/>
            <w:lang w:val="pt-BR" w:bidi="pt-BR"/>
          </w:rPr>
        </w:r>
        <w:r>
          <w:rPr>
            <w:rStyle w:val="1447"/>
            <w:lang w:val="pt-BR"/>
          </w:rPr>
        </w:r>
      </w:hyperlink>
      <w:r>
        <w:rPr>
          <w:lang w:val="pt-BR"/>
        </w:rPr>
      </w:r>
    </w:p>
    <w:p>
      <w:pPr>
        <w:pBdr/>
        <w:spacing/>
        <w:ind w:firstLine="0" w:left="720"/>
        <w:rPr>
          <w:lang w:val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14"/>
      <w:headerReference w:type="even" r:id="rId15"/>
      <w:headerReference w:type="first" r:id="rId16"/>
      <w:footerReference w:type="default" r:id="rId19"/>
      <w:footerReference w:type="even" r:id="rId20"/>
      <w:footerReference w:type="first" r:id="rId21"/>
      <w:footnotePr/>
      <w:endnotePr/>
      <w:type w:val="nextPage"/>
      <w:pgSz w:h="15840" w:orient="portrait" w:w="12240"/>
      <w:pgMar w:top="958" w:right="958" w:bottom="981" w:left="958" w:header="709" w:footer="925" w:gutter="0"/>
      <w:pgNumType w:fmt="none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panose1 w:val="020B0A04020102020204"/>
  </w:font>
  <w:font w:name="Tahoma">
    <w:panose1 w:val="020B060403050404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7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74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73"/>
      <w:pBdr/>
      <w:spacing/>
      <w:ind/>
      <w:rPr>
        <w:rFonts w:ascii="Arial Black" w:hAnsi="Arial Black" w:cs="Arial Black"/>
        <w:b/>
        <w:color w:val="b42200"/>
        <w:sz w:val="16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1" behindDoc="0" locked="0" layoutInCell="0" allowOverlap="1">
              <wp:simplePos x="0" y="0"/>
              <wp:positionH relativeFrom="column">
                <wp:posOffset>6212205</wp:posOffset>
              </wp:positionH>
              <wp:positionV relativeFrom="paragraph">
                <wp:posOffset>-188594</wp:posOffset>
              </wp:positionV>
              <wp:extent cx="614680" cy="574675"/>
              <wp:effectExtent l="0" t="0" r="0" b="0"/>
              <wp:wrapNone/>
              <wp:docPr id="1" name="_x0000_s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14680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lang w:val="pt-BR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427355" cy="487045"/>
                                    <wp:effectExtent l="0" t="0" r="0" b="0"/>
                                    <wp:docPr id="2" name="_x0000_i1026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 descr=""/>
                                            <pic:cNvPicPr/>
                                            <pic:nvPr/>
                                          </pic:nvPicPr>
                                          <pic:blipFill>
                                            <a:blip r:embed="rId1"/>
                                            <a:srcRect l="-71" t="-62" r="-70" b="-6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27355" cy="4870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0" o:spid="_x0000_s0" type="#_x0000_t75" style="width:33.65pt;height:38.35pt;mso-wrap-distance-left:0.00pt;mso-wrap-distance-top:0.00pt;mso-wrap-distance-right:0.00pt;mso-wrap-distance-bottom:0.00pt;z-index:1;" stroked="false">
                                    <v:imagedata r:id="rId1" o:title="" croptop="-40f" cropleft="-46f" cropbottom="-39f" cropright="-45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wrap="square" lIns="92075" tIns="46355" rIns="92075" bIns="46355" upright="1"/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1;o:allowoverlap:true;o:allowincell:false;mso-position-horizontal-relative:text;margin-left:489.15pt;mso-position-horizontal:absolute;mso-position-vertical-relative:text;margin-top:-14.85pt;mso-position-vertical:absolute;width:48.40pt;height:45.25pt;mso-wrap-distance-left:9.05pt;mso-wrap-distance-top:0.00pt;mso-wrap-distance-right:9.05pt;mso-wrap-distance-bottom:0.00pt;visibility:visible;" fillcolor="#FFFFFF" stroked="f"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>
                      <w:rPr>
                        <w:lang w:val="pt-BR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427355" cy="487045"/>
                              <wp:effectExtent l="0" t="0" r="0" b="0"/>
                              <wp:docPr id="2" name="_x0000_i102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/>
                                      <pic:nvPr/>
                                    </pic:nvPicPr>
                                    <pic:blipFill>
                                      <a:blip r:embed="rId1"/>
                                      <a:srcRect l="-71" t="-62" r="-70" b="-6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27355" cy="4870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0" o:spid="_x0000_s0" type="#_x0000_t75" style="width:33.65pt;height:38.35pt;mso-wrap-distance-left:0.00pt;mso-wrap-distance-top:0.00pt;mso-wrap-distance-right:0.00pt;mso-wrap-distance-bottom:0.00pt;z-index:1;" stroked="false">
                              <v:imagedata r:id="rId1" o:title="" croptop="-40f" cropleft="-46f" cropbottom="-39f" cropright="-45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ffffff"/>
        <w:sz w:val="12"/>
        <w:highlight w:val="darkBlue"/>
        <w:lang w:val="pt-BR"/>
      </w:rPr>
      <w:t xml:space="preserve">    </w:t>
    </w:r>
    <w:r>
      <w:rPr>
        <w:rFonts w:ascii="Arial Black" w:hAnsi="Arial Black" w:cs="Arial Black"/>
        <w:b/>
        <w:color w:val="b42200"/>
        <w:sz w:val="16"/>
        <w:lang w:val="pt-BR"/>
      </w:rPr>
    </w:r>
  </w:p>
  <w:p>
    <w:pPr>
      <w:pStyle w:val="1473"/>
      <w:pBdr/>
      <w:spacing/>
      <w:ind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 xml:space="preserve">ESPECIALIZAÇÃO EM ENG. E ADM. DE SISTEMAS DE BANCO DE DADOS</w:t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473"/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spacing/>
      <w:ind/>
      <w:rPr>
        <w:lang w:val="pt-BR"/>
      </w:rPr>
    </w:pPr>
    <w:r>
      <w:rPr>
        <w:rFonts w:ascii="Arial Black" w:hAnsi="Arial Black" w:cs="Arial Black"/>
        <w:b/>
        <w:color w:val="4a442a"/>
        <w:lang w:val="pt-BR"/>
      </w:rPr>
      <w:t xml:space="preserve">Faculdade de Tecnologia / Universidade Estadual de Campinas</w:t>
    </w:r>
    <w:r>
      <w:rPr>
        <w:lang w:val="pt-BR"/>
      </w:rPr>
    </w:r>
  </w:p>
  <w:p>
    <w:pPr>
      <w:pStyle w:val="1473"/>
      <w:pBdr/>
      <w:spacing/>
      <w:ind/>
      <w:rPr>
        <w:rFonts w:ascii="Arial Black" w:hAnsi="Arial Black" w:cs="Arial Black"/>
        <w:b/>
        <w:color w:val="4a442a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3" behindDoc="1" locked="0" layoutInCell="0" allowOverlap="1">
              <wp:simplePos x="0" y="0"/>
              <wp:positionH relativeFrom="column">
                <wp:posOffset>3615690</wp:posOffset>
              </wp:positionH>
              <wp:positionV relativeFrom="paragraph">
                <wp:posOffset>39370</wp:posOffset>
              </wp:positionV>
              <wp:extent cx="3763010" cy="1270"/>
              <wp:effectExtent l="0" t="0" r="0" b="0"/>
              <wp:wrapNone/>
              <wp:docPr id="3" name="_x0000_s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763010" cy="127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noFill/>
                      <a:ln w="31680">
                        <a:solidFill>
                          <a:srgbClr val="C0504D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style="position:absolute;z-index:-3;o:allowoverlap:true;o:allowincell:false;mso-position-horizontal-relative:text;margin-left:284.70pt;mso-position-horizontal:absolute;mso-position-vertical-relative:text;margin-top:3.10pt;mso-position-vertical:absolute;width:296.30pt;height:0.10pt;mso-wrap-distance-left:9.00pt;mso-wrap-distance-top:0.00pt;mso-wrap-distance-right:9.00pt;mso-wrap-distance-bottom:0.00pt;visibility:visible;" path="m0,0l100000,100000e" coordsize="100000,100000" filled="f" strokecolor="#C0504D" strokeweight="2.49pt">
              <v:path textboxrect="0,0,0,0"/>
            </v:shape>
          </w:pict>
        </mc:Fallback>
      </mc:AlternateContent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473"/>
      <w:pBdr/>
      <w:spacing/>
      <w:ind/>
      <w:rPr>
        <w:rFonts w:ascii="Arial Black" w:hAnsi="Arial Black" w:cs="Arial Black"/>
        <w:b/>
        <w:color w:val="4a442a"/>
        <w:sz w:val="14"/>
        <w:lang w:val="pt-BR"/>
      </w:rPr>
    </w:pP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</w:p>
  <w:p>
    <w:pPr>
      <w:pStyle w:val="1473"/>
      <w:pBdr/>
      <w:spacing/>
      <w:ind w:right="360"/>
      <w:rPr>
        <w:b/>
        <w:color w:val="4a442a"/>
        <w:sz w:val="16"/>
        <w:lang w:val="pt-BR"/>
      </w:rPr>
    </w:pP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73"/>
      <w:pBdr/>
      <w:spacing/>
      <w:ind/>
      <w:rPr>
        <w:rFonts w:ascii="Arial Black" w:hAnsi="Arial Black" w:cs="Arial Black"/>
        <w:b/>
        <w:color w:val="b42200"/>
        <w:sz w:val="16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3" behindDoc="0" locked="0" layoutInCell="0" allowOverlap="1">
              <wp:simplePos x="0" y="0"/>
              <wp:positionH relativeFrom="column">
                <wp:posOffset>6212205</wp:posOffset>
              </wp:positionH>
              <wp:positionV relativeFrom="paragraph">
                <wp:posOffset>-188594</wp:posOffset>
              </wp:positionV>
              <wp:extent cx="614680" cy="574675"/>
              <wp:effectExtent l="0" t="0" r="0" b="0"/>
              <wp:wrapNone/>
              <wp:docPr id="4" name="_x0000_s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14680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lang w:val="pt-BR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427355" cy="487045"/>
                                    <wp:effectExtent l="0" t="0" r="0" b="0"/>
                                    <wp:docPr id="5" name="_x0000_i1029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 descr=""/>
                                            <pic:cNvPicPr/>
                                            <pic:nvPr/>
                                          </pic:nvPicPr>
                                          <pic:blipFill>
                                            <a:blip r:embed="rId1"/>
                                            <a:srcRect l="-71" t="-62" r="-70" b="-6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27355" cy="4870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3" o:spid="_x0000_s3" type="#_x0000_t75" style="width:33.65pt;height:38.35pt;mso-wrap-distance-left:0.00pt;mso-wrap-distance-top:0.00pt;mso-wrap-distance-right:0.00pt;mso-wrap-distance-bottom:0.00pt;z-index:1;" stroked="false">
                                    <v:imagedata r:id="rId1" o:title="" croptop="-40f" cropleft="-46f" cropbottom="-39f" cropright="-45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wrap="square" lIns="92075" tIns="46355" rIns="92075" bIns="46355" upright="1"/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3;o:allowoverlap:true;o:allowincell:false;mso-position-horizontal-relative:text;margin-left:489.15pt;mso-position-horizontal:absolute;mso-position-vertical-relative:text;margin-top:-14.85pt;mso-position-vertical:absolute;width:48.40pt;height:45.25pt;mso-wrap-distance-left:9.05pt;mso-wrap-distance-top:0.00pt;mso-wrap-distance-right:9.05pt;mso-wrap-distance-bottom:0.00pt;visibility:visible;" fillcolor="#FFFFFF" stroked="f"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>
                      <w:rPr>
                        <w:lang w:val="pt-BR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427355" cy="487045"/>
                              <wp:effectExtent l="0" t="0" r="0" b="0"/>
                              <wp:docPr id="5" name="_x0000_i1029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/>
                                      <pic:nvPr/>
                                    </pic:nvPicPr>
                                    <pic:blipFill>
                                      <a:blip r:embed="rId1"/>
                                      <a:srcRect l="-71" t="-62" r="-70" b="-6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27355" cy="4870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3" o:spid="_x0000_s3" type="#_x0000_t75" style="width:33.65pt;height:38.35pt;mso-wrap-distance-left:0.00pt;mso-wrap-distance-top:0.00pt;mso-wrap-distance-right:0.00pt;mso-wrap-distance-bottom:0.00pt;z-index:1;" stroked="false">
                              <v:imagedata r:id="rId1" o:title="" croptop="-40f" cropleft="-46f" cropbottom="-39f" cropright="-45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ffffff"/>
        <w:sz w:val="12"/>
        <w:highlight w:val="darkBlue"/>
        <w:lang w:val="pt-BR"/>
      </w:rPr>
      <w:t xml:space="preserve">   </w:t>
    </w:r>
    <w:r>
      <w:rPr>
        <w:rFonts w:ascii="Arial Black" w:hAnsi="Arial Black" w:cs="Arial Black"/>
        <w:b/>
        <w:color w:val="b42200"/>
        <w:sz w:val="16"/>
        <w:lang w:val="pt-BR"/>
      </w:rPr>
    </w:r>
  </w:p>
  <w:p>
    <w:pPr>
      <w:pStyle w:val="1473"/>
      <w:pBdr/>
      <w:spacing/>
      <w:ind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 xml:space="preserve">ESPECIALIZAÇÃO EM ENG. E ADM. DE SISTEMAS DE BANCO DE DADOS</w:t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473"/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spacing/>
      <w:ind/>
      <w:rPr>
        <w:lang w:val="pt-BR"/>
      </w:rPr>
    </w:pPr>
    <w:r>
      <w:rPr>
        <w:rFonts w:ascii="Arial Black" w:hAnsi="Arial Black" w:cs="Arial Black"/>
        <w:b/>
        <w:color w:val="4a442a"/>
        <w:lang w:val="pt-BR"/>
      </w:rPr>
      <w:t xml:space="preserve">Faculdade de Tecnologia / Universidade Estadual de Campinas</w:t>
    </w:r>
    <w:r>
      <w:rPr>
        <w:lang w:val="pt-BR"/>
      </w:rPr>
    </w:r>
  </w:p>
  <w:p>
    <w:pPr>
      <w:pStyle w:val="1473"/>
      <w:pBdr/>
      <w:spacing/>
      <w:ind/>
      <w:rPr>
        <w:rFonts w:ascii="Arial Black" w:hAnsi="Arial Black" w:cs="Arial Black"/>
        <w:b/>
        <w:color w:val="4a442a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1" behindDoc="1" locked="0" layoutInCell="0" allowOverlap="1">
              <wp:simplePos x="0" y="0"/>
              <wp:positionH relativeFrom="column">
                <wp:posOffset>3615690</wp:posOffset>
              </wp:positionH>
              <wp:positionV relativeFrom="paragraph">
                <wp:posOffset>39370</wp:posOffset>
              </wp:positionV>
              <wp:extent cx="3763010" cy="1270"/>
              <wp:effectExtent l="0" t="0" r="0" b="0"/>
              <wp:wrapNone/>
              <wp:docPr id="6" name="_x0000_s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763010" cy="127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noFill/>
                      <a:ln w="31680">
                        <a:solidFill>
                          <a:srgbClr val="C0504D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style="position:absolute;z-index:-1;o:allowoverlap:true;o:allowincell:false;mso-position-horizontal-relative:text;margin-left:284.70pt;mso-position-horizontal:absolute;mso-position-vertical-relative:text;margin-top:3.10pt;mso-position-vertical:absolute;width:296.30pt;height:0.10pt;mso-wrap-distance-left:9.00pt;mso-wrap-distance-top:0.00pt;mso-wrap-distance-right:9.00pt;mso-wrap-distance-bottom:0.00pt;visibility:visible;" path="m0,0l100000,100000e" coordsize="100000,100000" filled="f" strokecolor="#C0504D" strokeweight="2.49pt">
              <v:path textboxrect="0,0,0,0"/>
            </v:shape>
          </w:pict>
        </mc:Fallback>
      </mc:AlternateContent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473"/>
      <w:pBdr/>
      <w:spacing/>
      <w:ind/>
      <w:rPr>
        <w:rFonts w:ascii="Arial Black" w:hAnsi="Arial Black" w:cs="Arial Black"/>
        <w:b/>
        <w:color w:val="4a442a"/>
        <w:sz w:val="14"/>
        <w:lang w:val="pt-BR"/>
      </w:rPr>
    </w:pP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</w:p>
  <w:p>
    <w:pPr>
      <w:pStyle w:val="1473"/>
      <w:pBdr/>
      <w:spacing/>
      <w:ind w:right="360"/>
      <w:rPr>
        <w:b/>
        <w:color w:val="4a442a"/>
        <w:sz w:val="16"/>
        <w:lang w:val="pt-BR"/>
      </w:rPr>
    </w:pP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473"/>
      <w:pBdr/>
      <w:spacing/>
      <w:ind/>
      <w:rPr>
        <w:rFonts w:ascii="Arial Black" w:hAnsi="Arial Black" w:cs="Arial Black"/>
        <w:b/>
        <w:color w:val="b42200"/>
        <w:sz w:val="16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" behindDoc="0" locked="0" layoutInCell="0" allowOverlap="1">
              <wp:simplePos x="0" y="0"/>
              <wp:positionH relativeFrom="column">
                <wp:posOffset>6212205</wp:posOffset>
              </wp:positionH>
              <wp:positionV relativeFrom="paragraph">
                <wp:posOffset>-188594</wp:posOffset>
              </wp:positionV>
              <wp:extent cx="614680" cy="574675"/>
              <wp:effectExtent l="0" t="0" r="0" b="0"/>
              <wp:wrapNone/>
              <wp:docPr id="7" name="_x0000_s10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14680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lang w:val="pt-BR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427355" cy="487045"/>
                                    <wp:effectExtent l="0" t="0" r="0" b="0"/>
                                    <wp:docPr id="8" name="_x0000_i103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 descr=""/>
                                            <pic:cNvPicPr/>
                                            <pic:nvPr/>
                                          </pic:nvPicPr>
                                          <pic:blipFill>
                                            <a:blip r:embed="rId1"/>
                                            <a:srcRect l="-71" t="-62" r="-70" b="-6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27355" cy="4870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6" o:spid="_x0000_s6" type="#_x0000_t75" style="width:33.65pt;height:38.35pt;mso-wrap-distance-left:0.00pt;mso-wrap-distance-top:0.00pt;mso-wrap-distance-right:0.00pt;mso-wrap-distance-bottom:0.00pt;z-index:1;" stroked="false">
                                    <v:imagedata r:id="rId1" o:title="" croptop="-40f" cropleft="-46f" cropbottom="-39f" cropright="-45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wrap="square" lIns="92075" tIns="46355" rIns="92075" bIns="46355" upright="1"/>
                  </wps:wsp>
                </a:graphicData>
              </a:graphic>
            </wp:anchor>
          </w:drawing>
        </mc:Choice>
        <mc:Fallback>
          <w:pict>
            <v:shape id="shape 7" o:spid="_x0000_s7" o:spt="202" type="#_x0000_t202" style="position:absolute;z-index:2;o:allowoverlap:true;o:allowincell:false;mso-position-horizontal-relative:text;margin-left:489.15pt;mso-position-horizontal:absolute;mso-position-vertical-relative:text;margin-top:-14.85pt;mso-position-vertical:absolute;width:48.40pt;height:45.25pt;mso-wrap-distance-left:9.05pt;mso-wrap-distance-top:0.00pt;mso-wrap-distance-right:9.05pt;mso-wrap-distance-bottom:0.00pt;visibility:visible;" fillcolor="#FFFFFF" stroked="f"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>
                      <w:rPr>
                        <w:lang w:val="pt-BR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427355" cy="487045"/>
                              <wp:effectExtent l="0" t="0" r="0" b="0"/>
                              <wp:docPr id="8" name="_x0000_i103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 descr=""/>
                                      <pic:cNvPicPr/>
                                      <pic:nvPr/>
                                    </pic:nvPicPr>
                                    <pic:blipFill>
                                      <a:blip r:embed="rId1"/>
                                      <a:srcRect l="-71" t="-62" r="-70" b="-6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27355" cy="48704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6" o:spid="_x0000_s6" type="#_x0000_t75" style="width:33.65pt;height:38.35pt;mso-wrap-distance-left:0.00pt;mso-wrap-distance-top:0.00pt;mso-wrap-distance-right:0.00pt;mso-wrap-distance-bottom:0.00pt;z-index:1;" stroked="false">
                              <v:imagedata r:id="rId1" o:title="" croptop="-40f" cropleft="-46f" cropbottom="-39f" cropright="-45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ffffff"/>
        <w:sz w:val="12"/>
        <w:highlight w:val="darkBlue"/>
        <w:lang w:val="pt-BR"/>
      </w:rPr>
      <w:t xml:space="preserve">   </w:t>
    </w:r>
    <w:r>
      <w:rPr>
        <w:rFonts w:ascii="Arial Black" w:hAnsi="Arial Black" w:cs="Arial Black"/>
        <w:b/>
        <w:color w:val="b42200"/>
        <w:sz w:val="16"/>
        <w:lang w:val="pt-BR"/>
      </w:rPr>
    </w:r>
  </w:p>
  <w:p>
    <w:pPr>
      <w:pStyle w:val="1473"/>
      <w:pBdr/>
      <w:spacing/>
      <w:ind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 xml:space="preserve">ESPECIALIZAÇÃO EM ENG. E ADM. DE SISTEMAS DE BANCO DE DADOS</w:t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473"/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spacing/>
      <w:ind/>
      <w:rPr>
        <w:lang w:val="pt-BR"/>
      </w:rPr>
    </w:pPr>
    <w:r>
      <w:rPr>
        <w:rFonts w:ascii="Arial Black" w:hAnsi="Arial Black" w:cs="Arial Black"/>
        <w:b/>
        <w:color w:val="4a442a"/>
        <w:lang w:val="pt-BR"/>
      </w:rPr>
      <w:t xml:space="preserve">Faculdade de Tecnologia / Universidade Estadual de Campinas</w:t>
    </w:r>
    <w:r>
      <w:rPr>
        <w:lang w:val="pt-BR"/>
      </w:rPr>
    </w:r>
  </w:p>
  <w:p>
    <w:pPr>
      <w:pStyle w:val="1473"/>
      <w:pBdr/>
      <w:spacing/>
      <w:ind/>
      <w:rPr>
        <w:rFonts w:ascii="Arial Black" w:hAnsi="Arial Black" w:cs="Arial Black"/>
        <w:b/>
        <w:color w:val="4a442a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" behindDoc="1" locked="0" layoutInCell="0" allowOverlap="1">
              <wp:simplePos x="0" y="0"/>
              <wp:positionH relativeFrom="column">
                <wp:posOffset>3615690</wp:posOffset>
              </wp:positionH>
              <wp:positionV relativeFrom="paragraph">
                <wp:posOffset>39370</wp:posOffset>
              </wp:positionV>
              <wp:extent cx="3763010" cy="1270"/>
              <wp:effectExtent l="0" t="0" r="0" b="0"/>
              <wp:wrapNone/>
              <wp:docPr id="9" name="_x0000_s10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763010" cy="127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noFill/>
                      <a:ln w="31680">
                        <a:solidFill>
                          <a:srgbClr val="C0504D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8" o:spid="_x0000_s8" style="position:absolute;z-index:-2;o:allowoverlap:true;o:allowincell:false;mso-position-horizontal-relative:text;margin-left:284.70pt;mso-position-horizontal:absolute;mso-position-vertical-relative:text;margin-top:3.10pt;mso-position-vertical:absolute;width:296.30pt;height:0.10pt;mso-wrap-distance-left:9.00pt;mso-wrap-distance-top:0.00pt;mso-wrap-distance-right:9.00pt;mso-wrap-distance-bottom:0.00pt;visibility:visible;" path="m0,0l100000,100000e" coordsize="100000,100000" filled="f" strokecolor="#C0504D" strokeweight="2.49pt">
              <v:path textboxrect="0,0,0,0"/>
            </v:shape>
          </w:pict>
        </mc:Fallback>
      </mc:AlternateContent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473"/>
      <w:pBdr/>
      <w:spacing/>
      <w:ind/>
      <w:rPr>
        <w:rFonts w:ascii="Arial Black" w:hAnsi="Arial Black" w:cs="Arial Black"/>
        <w:b/>
        <w:color w:val="4a442a"/>
        <w:sz w:val="14"/>
        <w:lang w:val="pt-BR"/>
      </w:rPr>
    </w:pP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</w:p>
  <w:p>
    <w:pPr>
      <w:pStyle w:val="1473"/>
      <w:pBdr/>
      <w:spacing/>
      <w:ind w:right="360"/>
      <w:rPr>
        <w:b/>
        <w:color w:val="4a442a"/>
        <w:sz w:val="16"/>
        <w:lang w:val="pt-BR"/>
      </w:rPr>
    </w:pP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nsid w:val="00000002"/>
    <w:lvl w:ilvl="0">
      <w:isLgl w:val="false"/>
      <w:lvlJc w:val="left"/>
      <w:lvlText w:val="%1.  "/>
      <w:numFmt w:val="upperRoman"/>
      <w:pPr>
        <w:pBdr/>
        <w:tabs>
          <w:tab w:val="num" w:leader="none" w:pos="0"/>
        </w:tabs>
        <w:spacing/>
        <w:ind w:firstLine="0" w:left="0"/>
      </w:pPr>
      <w:pStyle w:val="1226"/>
      <w:rPr/>
      <w:start w:val="1"/>
      <w:suff w:val="nothing"/>
    </w:lvl>
    <w:lvl w:ilvl="1">
      <w:isLgl w:val="false"/>
      <w:lvlJc w:val="left"/>
      <w:lvlText w:val="%2.  "/>
      <w:numFmt w:val="upp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    %3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          %4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                (%5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                (%6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                (%7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                (%8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(%9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nsid w:val="00000003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958"/>
      </w:pPr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pStyle w:val="12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958"/>
      </w:pPr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6"/>
    <w:lvl w:ilvl="0">
      <w:isLgl w:val="false"/>
      <w:lvlJc w:val="left"/>
      <w:lvlText w:val="[%1]"/>
      <w:numFmt w:val="decimal"/>
      <w:pPr>
        <w:pBdr/>
        <w:tabs>
          <w:tab w:val="num" w:leader="none" w:pos="360"/>
        </w:tabs>
        <w:spacing/>
        <w:ind w:hanging="360" w:left="360"/>
      </w:pPr>
      <w:pStyle w:val="146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7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467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7">
    <w:nsid w:val="00000008"/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0" w:left="0"/>
      </w:pPr>
      <w:pStyle w:val="1470"/>
      <w:rPr/>
      <w:start w:val="1"/>
      <w:suff w:val="nothing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8">
    <w:nsid w:val="00000009"/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0" w:left="0"/>
      </w:pPr>
      <w:pStyle w:val="1471"/>
      <w:rPr/>
      <w:start w:val="1"/>
      <w:suff w:val="nothing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9">
    <w:nsid w:val="0000000A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0">
    <w:nsid w:val="0000000B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1">
    <w:nsid w:val="0000000C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2">
    <w:nsid w:val="0000000D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3">
    <w:nsid w:val="01073E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014853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029BAF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034DB314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7">
    <w:nsid w:val="034EAB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3A457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043764C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053D16C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08C5B53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091F092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3">
    <w:nsid w:val="0AC5654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0B96185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0C048FA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0E6990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10681D2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14C6182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1637626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18F0E7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1A162A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1AE36B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B0064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1B5837C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5">
    <w:nsid w:val="1BCB0F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C76EE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1D6858F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8">
    <w:nsid w:val="1D8DDD83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1E6A07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0">
    <w:nsid w:val="1EC7605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nsid w:val="200BB1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20DD6E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219E76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22BAFC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24D539D9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278434D5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47">
    <w:nsid w:val="27C200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8">
    <w:nsid w:val="2AB178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9">
    <w:nsid w:val="2AF12AD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0">
    <w:nsid w:val="2BAE60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1">
    <w:nsid w:val="2CA3375E"/>
    <w:lvl w:ilvl="0">
      <w:isLgl w:val="false"/>
      <w:lvlJc w:val="left"/>
      <w:lvlText w:val="%1."/>
      <w:numFmt w:val="decimal"/>
      <w:pPr>
        <w:pBdr/>
        <w:spacing/>
        <w:ind w:hanging="360" w:left="360"/>
      </w:pPr>
      <w:pStyle w:val="1493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52">
    <w:nsid w:val="341F10C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344959F9"/>
    <w:lvl w:ilvl="0">
      <w:isLgl w:val="false"/>
      <w:lvlJc w:val="left"/>
      <w:lvlText w:val="%1."/>
      <w:numFmt w:val="upp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4">
    <w:nsid w:val="34AE421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5">
    <w:nsid w:val="36D704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6">
    <w:nsid w:val="3959432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7">
    <w:nsid w:val="3AFE5BC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8">
    <w:nsid w:val="3CD57C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nsid w:val="42CF606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473B677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1">
    <w:nsid w:val="473F0B9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2">
    <w:nsid w:val="4B2466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3">
    <w:nsid w:val="4BD76098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4">
    <w:nsid w:val="4FA7CD3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50DC4C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6">
    <w:nsid w:val="50DC6F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51A0EF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nsid w:val="552202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55CD6C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nsid w:val="586E45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1">
    <w:nsid w:val="59AD075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2">
    <w:nsid w:val="5C258F8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60EB6E4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4">
    <w:nsid w:val="625362F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5">
    <w:nsid w:val="63CA1BA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6">
    <w:nsid w:val="645BCE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681463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nsid w:val="695F404D"/>
    <w:lvl w:ilvl="0">
      <w:isLgl w:val="false"/>
      <w:lvlJc w:val="left"/>
      <w:lvlText w:val="%1."/>
      <w:numFmt w:val="decimal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79">
    <w:nsid w:val="6A314C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nsid w:val="6D080E3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1">
    <w:nsid w:val="70BD70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724E682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3">
    <w:nsid w:val="733346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nsid w:val="73EA4E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73F8B3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nsid w:val="75F930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7">
    <w:nsid w:val="763F185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8">
    <w:nsid w:val="76624F5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9">
    <w:nsid w:val="778A70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77997042"/>
    <w:lvl w:ilvl="0">
      <w:isLgl w:val="false"/>
      <w:lvlJc w:val="left"/>
      <w:lvlText w:val="%1.  "/>
      <w:numFmt w:val="upperRoman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%2."/>
      <w:numFmt w:val="decimal"/>
      <w:pPr>
        <w:pBdr/>
        <w:spacing/>
        <w:ind w:hanging="360" w:left="360"/>
      </w:pPr>
      <w:rPr/>
      <w:start w:val="1"/>
      <w:suff w:val="tab"/>
    </w:lvl>
    <w:lvl w:ilvl="2">
      <w:isLgl w:val="false"/>
      <w:lvlJc w:val="left"/>
      <w:lvlText w:val="    %3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          %4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                (%5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                (%6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                (%7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                (%8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(%9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91">
    <w:nsid w:val="779F657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2">
    <w:nsid w:val="77AD16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78F2613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7F2FC6EE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81"/>
  </w:num>
  <w:num w:numId="15">
    <w:abstractNumId w:val="68"/>
  </w:num>
  <w:num w:numId="16">
    <w:abstractNumId w:val="32"/>
  </w:num>
  <w:num w:numId="17">
    <w:abstractNumId w:val="69"/>
  </w:num>
  <w:num w:numId="18">
    <w:abstractNumId w:val="85"/>
  </w:num>
  <w:num w:numId="19">
    <w:abstractNumId w:val="10"/>
  </w:num>
  <w:num w:numId="20">
    <w:abstractNumId w:val="11"/>
  </w:num>
  <w:num w:numId="21">
    <w:abstractNumId w:val="84"/>
  </w:num>
  <w:num w:numId="22">
    <w:abstractNumId w:val="76"/>
  </w:num>
  <w:num w:numId="23">
    <w:abstractNumId w:val="21"/>
  </w:num>
  <w:num w:numId="24">
    <w:abstractNumId w:val="67"/>
  </w:num>
  <w:num w:numId="25">
    <w:abstractNumId w:val="35"/>
  </w:num>
  <w:num w:numId="26">
    <w:abstractNumId w:val="79"/>
  </w:num>
  <w:num w:numId="27">
    <w:abstractNumId w:val="31"/>
  </w:num>
  <w:num w:numId="28">
    <w:abstractNumId w:val="77"/>
  </w:num>
  <w:num w:numId="29">
    <w:abstractNumId w:val="30"/>
  </w:num>
  <w:num w:numId="30">
    <w:abstractNumId w:val="42"/>
  </w:num>
  <w:num w:numId="31">
    <w:abstractNumId w:val="15"/>
  </w:num>
  <w:num w:numId="32">
    <w:abstractNumId w:val="12"/>
  </w:num>
  <w:num w:numId="33">
    <w:abstractNumId w:val="3"/>
  </w:num>
  <w:num w:numId="34">
    <w:abstractNumId w:val="42"/>
  </w:num>
  <w:num w:numId="35">
    <w:abstractNumId w:val="89"/>
  </w:num>
  <w:num w:numId="36">
    <w:abstractNumId w:val="17"/>
  </w:num>
  <w:num w:numId="37">
    <w:abstractNumId w:val="14"/>
  </w:num>
  <w:num w:numId="38">
    <w:abstractNumId w:val="51"/>
  </w:num>
  <w:num w:numId="39">
    <w:abstractNumId w:val="51"/>
  </w:num>
  <w:num w:numId="40">
    <w:abstractNumId w:val="3"/>
  </w:num>
  <w:num w:numId="41">
    <w:abstractNumId w:val="3"/>
  </w:num>
  <w:num w:numId="42">
    <w:abstractNumId w:val="3"/>
  </w:num>
  <w:num w:numId="43">
    <w:abstractNumId w:val="3"/>
  </w:num>
  <w:num w:numId="44">
    <w:abstractNumId w:val="3"/>
  </w:num>
  <w:num w:numId="45">
    <w:abstractNumId w:val="3"/>
  </w:num>
  <w:num w:numId="46">
    <w:abstractNumId w:val="3"/>
  </w:num>
  <w:num w:numId="47">
    <w:abstractNumId w:val="3"/>
  </w:num>
  <w:num w:numId="48">
    <w:abstractNumId w:val="32"/>
  </w:num>
  <w:num w:numId="49">
    <w:abstractNumId w:val="45"/>
  </w:num>
  <w:num w:numId="50">
    <w:abstractNumId w:val="93"/>
  </w:num>
  <w:num w:numId="51">
    <w:abstractNumId w:val="38"/>
  </w:num>
  <w:num w:numId="52">
    <w:abstractNumId w:val="66"/>
  </w:num>
  <w:num w:numId="53">
    <w:abstractNumId w:val="52"/>
  </w:num>
  <w:num w:numId="54">
    <w:abstractNumId w:val="59"/>
  </w:num>
  <w:num w:numId="55">
    <w:abstractNumId w:val="63"/>
  </w:num>
  <w:num w:numId="56">
    <w:abstractNumId w:val="16"/>
  </w:num>
  <w:num w:numId="57">
    <w:abstractNumId w:val="53"/>
  </w:num>
  <w:num w:numId="58">
    <w:abstractNumId w:val="75"/>
  </w:num>
  <w:num w:numId="59">
    <w:abstractNumId w:val="94"/>
  </w:num>
  <w:num w:numId="60">
    <w:abstractNumId w:val="43"/>
  </w:num>
  <w:num w:numId="61">
    <w:abstractNumId w:val="25"/>
  </w:num>
  <w:num w:numId="62">
    <w:abstractNumId w:val="26"/>
  </w:num>
  <w:num w:numId="63">
    <w:abstractNumId w:val="13"/>
  </w:num>
  <w:num w:numId="64">
    <w:abstractNumId w:val="33"/>
  </w:num>
  <w:num w:numId="65">
    <w:abstractNumId w:val="44"/>
  </w:num>
  <w:num w:numId="66">
    <w:abstractNumId w:val="92"/>
  </w:num>
  <w:num w:numId="67">
    <w:abstractNumId w:val="64"/>
  </w:num>
  <w:num w:numId="68">
    <w:abstractNumId w:val="83"/>
  </w:num>
  <w:num w:numId="69">
    <w:abstractNumId w:val="77"/>
  </w:num>
  <w:num w:numId="70">
    <w:abstractNumId w:val="36"/>
  </w:num>
  <w:num w:numId="71">
    <w:abstractNumId w:val="18"/>
  </w:num>
  <w:num w:numId="72">
    <w:abstractNumId w:val="72"/>
  </w:num>
  <w:num w:numId="73">
    <w:abstractNumId w:val="41"/>
  </w:num>
  <w:num w:numId="74">
    <w:abstractNumId w:val="58"/>
  </w:num>
  <w:num w:numId="75">
    <w:abstractNumId w:val="46"/>
  </w:num>
  <w:num w:numId="76">
    <w:abstractNumId w:val="56"/>
  </w:num>
  <w:num w:numId="77">
    <w:abstractNumId w:val="27"/>
  </w:num>
  <w:num w:numId="78">
    <w:abstractNumId w:val="48"/>
  </w:num>
  <w:num w:numId="79">
    <w:abstractNumId w:val="78"/>
  </w:num>
  <w:num w:numId="80">
    <w:abstractNumId w:val="40"/>
  </w:num>
  <w:num w:numId="81">
    <w:abstractNumId w:val="54"/>
  </w:num>
  <w:num w:numId="82">
    <w:abstractNumId w:val="90"/>
  </w:num>
  <w:num w:numId="83">
    <w:abstractNumId w:val="49"/>
  </w:num>
  <w:num w:numId="84">
    <w:abstractNumId w:val="57"/>
  </w:num>
  <w:num w:numId="85">
    <w:abstractNumId w:val="22"/>
  </w:num>
  <w:num w:numId="86">
    <w:abstractNumId w:val="88"/>
  </w:num>
  <w:num w:numId="87">
    <w:abstractNumId w:val="34"/>
  </w:num>
  <w:num w:numId="88">
    <w:abstractNumId w:val="73"/>
  </w:num>
  <w:num w:numId="89">
    <w:abstractNumId w:val="71"/>
  </w:num>
  <w:num w:numId="90">
    <w:abstractNumId w:val="29"/>
  </w:num>
  <w:num w:numId="91">
    <w:abstractNumId w:val="61"/>
  </w:num>
  <w:num w:numId="92">
    <w:abstractNumId w:val="19"/>
  </w:num>
  <w:num w:numId="93">
    <w:abstractNumId w:val="62"/>
  </w:num>
  <w:num w:numId="94">
    <w:abstractNumId w:val="74"/>
  </w:num>
  <w:num w:numId="95">
    <w:abstractNumId w:val="87"/>
  </w:num>
  <w:num w:numId="96">
    <w:abstractNumId w:val="60"/>
  </w:num>
  <w:num w:numId="97">
    <w:abstractNumId w:val="23"/>
  </w:num>
  <w:num w:numId="98">
    <w:abstractNumId w:val="50"/>
  </w:num>
  <w:num w:numId="99">
    <w:abstractNumId w:val="39"/>
  </w:num>
  <w:num w:numId="100">
    <w:abstractNumId w:val="65"/>
  </w:num>
  <w:num w:numId="101">
    <w:abstractNumId w:val="37"/>
  </w:num>
  <w:num w:numId="102">
    <w:abstractNumId w:val="28"/>
  </w:num>
  <w:num w:numId="103">
    <w:abstractNumId w:val="82"/>
  </w:num>
  <w:num w:numId="104">
    <w:abstractNumId w:val="55"/>
  </w:num>
  <w:num w:numId="105">
    <w:abstractNumId w:val="86"/>
  </w:num>
  <w:num w:numId="106">
    <w:abstractNumId w:val="20"/>
  </w:num>
  <w:num w:numId="107">
    <w:abstractNumId w:val="24"/>
  </w:num>
  <w:num w:numId="108">
    <w:abstractNumId w:val="80"/>
  </w:num>
  <w:num w:numId="109">
    <w:abstractNumId w:val="91"/>
  </w:num>
  <w:num w:numId="110">
    <w:abstractNumId w:val="47"/>
  </w:num>
  <w:num w:numId="111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204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pt-BR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2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2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2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2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2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2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2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2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1225" w:default="1">
    <w:name w:val="Normal"/>
    <w:pPr>
      <w:pBdr/>
      <w:spacing/>
      <w:ind/>
    </w:pPr>
    <w:rPr>
      <w:lang w:val="en-US" w:eastAsia="zh-CN"/>
    </w:rPr>
  </w:style>
  <w:style w:type="paragraph" w:styleId="1226">
    <w:name w:val="Heading 1"/>
    <w:basedOn w:val="1225"/>
    <w:next w:val="1225"/>
    <w:link w:val="1364"/>
    <w:pPr>
      <w:keepNext w:val="true"/>
      <w:numPr>
        <w:numId w:val="2"/>
      </w:numPr>
      <w:pBdr/>
      <w:spacing w:after="80" w:before="240"/>
      <w:ind/>
      <w:outlineLvl w:val="0"/>
    </w:pPr>
    <w:rPr>
      <w:b/>
      <w:smallCaps/>
      <w:color w:val="002060"/>
      <w:sz w:val="28"/>
    </w:rPr>
  </w:style>
  <w:style w:type="paragraph" w:styleId="1227">
    <w:name w:val="Heading 2"/>
    <w:basedOn w:val="1225"/>
    <w:next w:val="1225"/>
    <w:link w:val="1365"/>
    <w:pPr>
      <w:keepNext w:val="true"/>
      <w:numPr>
        <w:numId w:val="4"/>
      </w:numPr>
      <w:pBdr/>
      <w:spacing w:after="80" w:before="240"/>
      <w:ind w:firstLine="0" w:left="0"/>
      <w:outlineLvl w:val="1"/>
    </w:pPr>
    <w:rPr>
      <w:b/>
      <w:color w:val="002060"/>
      <w:sz w:val="28"/>
    </w:rPr>
  </w:style>
  <w:style w:type="paragraph" w:styleId="1228">
    <w:name w:val="Heading 3"/>
    <w:basedOn w:val="1225"/>
    <w:next w:val="1225"/>
    <w:link w:val="1366"/>
    <w:pPr>
      <w:keepNext w:val="true"/>
      <w:pBdr/>
      <w:tabs>
        <w:tab w:val="num" w:leader="none" w:pos="0"/>
      </w:tabs>
      <w:spacing/>
      <w:ind/>
      <w:outlineLvl w:val="2"/>
    </w:pPr>
    <w:rPr>
      <w:i/>
    </w:rPr>
  </w:style>
  <w:style w:type="paragraph" w:styleId="1229">
    <w:name w:val="Heading 4"/>
    <w:basedOn w:val="1225"/>
    <w:next w:val="1225"/>
    <w:link w:val="1367"/>
    <w:pPr>
      <w:keepNext w:val="true"/>
      <w:pBdr/>
      <w:tabs>
        <w:tab w:val="num" w:leader="none" w:pos="0"/>
      </w:tabs>
      <w:spacing/>
      <w:ind/>
      <w:outlineLvl w:val="3"/>
    </w:pPr>
    <w:rPr>
      <w:i/>
    </w:rPr>
  </w:style>
  <w:style w:type="paragraph" w:styleId="1230">
    <w:name w:val="Heading 5"/>
    <w:basedOn w:val="1225"/>
    <w:next w:val="1225"/>
    <w:link w:val="1368"/>
    <w:pPr>
      <w:keepNext w:val="true"/>
      <w:pBdr/>
      <w:tabs>
        <w:tab w:val="num" w:leader="none" w:pos="0"/>
      </w:tabs>
      <w:spacing/>
      <w:ind/>
      <w:outlineLvl w:val="4"/>
    </w:pPr>
    <w:rPr>
      <w:i/>
    </w:rPr>
  </w:style>
  <w:style w:type="paragraph" w:styleId="1231">
    <w:name w:val="Heading 6"/>
    <w:basedOn w:val="1225"/>
    <w:next w:val="1225"/>
    <w:link w:val="1369"/>
    <w:pPr>
      <w:keepNext w:val="true"/>
      <w:pBdr/>
      <w:tabs>
        <w:tab w:val="num" w:leader="none" w:pos="0"/>
      </w:tabs>
      <w:spacing/>
      <w:ind/>
      <w:outlineLvl w:val="5"/>
    </w:pPr>
    <w:rPr>
      <w:i/>
    </w:rPr>
  </w:style>
  <w:style w:type="paragraph" w:styleId="1232">
    <w:name w:val="Heading 7"/>
    <w:basedOn w:val="1225"/>
    <w:next w:val="1225"/>
    <w:link w:val="1370"/>
    <w:pPr>
      <w:keepNext w:val="true"/>
      <w:pBdr/>
      <w:tabs>
        <w:tab w:val="num" w:leader="none" w:pos="0"/>
      </w:tabs>
      <w:spacing/>
      <w:ind/>
      <w:outlineLvl w:val="6"/>
    </w:pPr>
    <w:rPr>
      <w:i/>
    </w:rPr>
  </w:style>
  <w:style w:type="paragraph" w:styleId="1233">
    <w:name w:val="Heading 8"/>
    <w:basedOn w:val="1225"/>
    <w:next w:val="1225"/>
    <w:link w:val="1371"/>
    <w:pPr>
      <w:keepNext w:val="true"/>
      <w:pBdr/>
      <w:tabs>
        <w:tab w:val="num" w:leader="none" w:pos="0"/>
      </w:tabs>
      <w:spacing/>
      <w:ind/>
      <w:outlineLvl w:val="7"/>
    </w:pPr>
    <w:rPr>
      <w:i/>
    </w:rPr>
  </w:style>
  <w:style w:type="paragraph" w:styleId="1234">
    <w:name w:val="Heading 9"/>
    <w:basedOn w:val="1225"/>
    <w:next w:val="1225"/>
    <w:link w:val="1372"/>
    <w:pPr>
      <w:keepNext w:val="true"/>
      <w:pBdr/>
      <w:tabs>
        <w:tab w:val="num" w:leader="none" w:pos="0"/>
      </w:tabs>
      <w:spacing/>
      <w:ind/>
      <w:outlineLvl w:val="8"/>
    </w:pPr>
    <w:rPr>
      <w:i/>
    </w:rPr>
  </w:style>
  <w:style w:type="character" w:styleId="1235" w:default="1">
    <w:name w:val="Default Paragraph Font"/>
    <w:uiPriority w:val="1"/>
    <w:unhideWhenUsed/>
    <w:pPr>
      <w:pBdr/>
      <w:spacing/>
      <w:ind/>
    </w:pPr>
  </w:style>
  <w:style w:type="table" w:styleId="12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37" w:default="1">
    <w:name w:val="No List"/>
    <w:uiPriority w:val="99"/>
    <w:semiHidden/>
    <w:unhideWhenUsed/>
    <w:pPr>
      <w:pBdr/>
      <w:spacing/>
      <w:ind/>
    </w:pPr>
  </w:style>
  <w:style w:type="table" w:styleId="1238">
    <w:name w:val="Table Grid"/>
    <w:basedOn w:val="123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Light"/>
    <w:basedOn w:val="1236"/>
    <w:uiPriority w:val="59"/>
    <w:pPr>
      <w:pBdr/>
      <w:spacing/>
      <w:ind/>
    </w:pPr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Plain Table 1"/>
    <w:basedOn w:val="1236"/>
    <w:uiPriority w:val="59"/>
    <w:pPr>
      <w:pBdr/>
      <w:spacing/>
      <w:ind/>
    </w:pPr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Plain Table 2"/>
    <w:basedOn w:val="1236"/>
    <w:uiPriority w:val="59"/>
    <w:pPr>
      <w:pBdr/>
      <w:spacing/>
      <w:ind/>
    </w:pPr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Plain Table 3"/>
    <w:basedOn w:val="123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Plain Table 4"/>
    <w:basedOn w:val="123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Plain Table 5"/>
    <w:basedOn w:val="123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Grid Table 1 Light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sz="4" w:space="0"/>
          <w:left w:val="single" w:color="989898" w:sz="4" w:space="0"/>
          <w:bottom w:val="single" w:color="989898" w:sz="4" w:space="0"/>
          <w:right w:val="single" w:color="98989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Grid Table 1 Light Accent 1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Grid Table 1 Light Accent 2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Grid Table 1 Light Accent 3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Grid Table 1 Light Accent 4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Grid Table 1 Light Accent 5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Grid Table 1 Light Accent 6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Grid Table 2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Grid Table 2 Accent 1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sz="4" w:space="0"/>
        <w:insideH w:val="single" w:color="5d8ac2" w:sz="4" w:space="0"/>
        <w:insideV w:val="single" w:color="5d8ac2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Grid Table 2 Accent 2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Grid Table 2 Accent 3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Grid Table 2 Accent 4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Grid Table 2 Accent 5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Grid Table 2 Accent 6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Grid Table 3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sz="4" w:space="0"/>
        <w:insideH w:val="single" w:color="6a6a6a" w:sz="4" w:space="0"/>
        <w:insideV w:val="single" w:color="6a6a6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Grid Table 3 Accent 1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sz="4" w:space="0"/>
        <w:insideH w:val="single" w:color="5d8ac2" w:sz="4" w:space="0"/>
        <w:insideV w:val="single" w:color="5d8ac2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Grid Table 3 Accent 2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Grid Table 3 Accent 3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Grid Table 3 Accent 4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Grid Table 3 Accent 5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Grid Table 3 Accent 6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Grid Table 4"/>
    <w:basedOn w:val="1236"/>
    <w:uiPriority w:val="59"/>
    <w:pPr>
      <w:pBdr/>
      <w:spacing/>
      <w:ind/>
    </w:pPr>
    <w:tblPr>
      <w:tblStyleRowBandSize w:val="1"/>
      <w:tblStyleColBandSize w:val="1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Grid Table 4 Accent 1"/>
    <w:basedOn w:val="1236"/>
    <w:uiPriority w:val="59"/>
    <w:pPr>
      <w:pBdr/>
      <w:spacing/>
      <w:ind/>
    </w:pPr>
    <w:tblPr>
      <w:tblStyleRowBandSize w:val="1"/>
      <w:tblStyleColBandSize w:val="1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fill="dce6f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fill="dce6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>
          <w:top w:val="single" w:color="5d8ac2" w:sz="4" w:space="0"/>
          <w:left w:val="single" w:color="5d8ac2" w:sz="4" w:space="0"/>
          <w:bottom w:val="single" w:color="5d8ac2" w:sz="4" w:space="0"/>
          <w:right w:val="single" w:color="5d8ac2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Grid Table 4 Accent 2"/>
    <w:basedOn w:val="1236"/>
    <w:uiPriority w:val="59"/>
    <w:pPr>
      <w:pBdr/>
      <w:spacing/>
      <w:ind/>
    </w:pPr>
    <w:tblPr>
      <w:tblStyleRowBandSize w:val="1"/>
      <w:tblStyleColBandSize w:val="1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  <w:insideV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d99695" w:sz="4" w:space="0"/>
          <w:left w:val="single" w:color="d99695" w:sz="4" w:space="0"/>
          <w:bottom w:val="single" w:color="d99695" w:sz="4" w:space="0"/>
          <w:right w:val="single" w:color="d9969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Grid Table 4 Accent 3"/>
    <w:basedOn w:val="1236"/>
    <w:uiPriority w:val="59"/>
    <w:pPr>
      <w:pBdr/>
      <w:spacing/>
      <w:ind/>
    </w:pPr>
    <w:tblPr>
      <w:tblStyleRowBandSize w:val="1"/>
      <w:tblStyleColBandSize w:val="1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>
          <w:top w:val="single" w:color="9abb59" w:sz="4" w:space="0"/>
          <w:left w:val="single" w:color="9abb59" w:sz="4" w:space="0"/>
          <w:bottom w:val="single" w:color="9abb59" w:sz="4" w:space="0"/>
          <w:right w:val="single" w:color="9abb59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Grid Table 4 Accent 4"/>
    <w:basedOn w:val="1236"/>
    <w:uiPriority w:val="59"/>
    <w:pPr>
      <w:pBdr/>
      <w:spacing/>
      <w:ind/>
    </w:pPr>
    <w:tblPr>
      <w:tblStyleRowBandSize w:val="1"/>
      <w:tblStyleColBandSize w:val="1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b2a1c6" w:sz="4" w:space="0"/>
          <w:left w:val="single" w:color="b2a1c6" w:sz="4" w:space="0"/>
          <w:bottom w:val="single" w:color="b2a1c6" w:sz="4" w:space="0"/>
          <w:right w:val="single" w:color="b2a1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Grid Table 4 Accent 5"/>
    <w:basedOn w:val="1236"/>
    <w:uiPriority w:val="59"/>
    <w:pPr>
      <w:pBdr/>
      <w:spacing/>
      <w:ind/>
    </w:pPr>
    <w:tblPr>
      <w:tblStyleRowBandSize w:val="1"/>
      <w:tblStyleColBandSize w:val="1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Grid Table 4 Accent 6"/>
    <w:basedOn w:val="1236"/>
    <w:uiPriority w:val="59"/>
    <w:pPr>
      <w:pBdr/>
      <w:spacing/>
      <w:ind/>
    </w:pPr>
    <w:tblPr>
      <w:tblStyleRowBandSize w:val="1"/>
      <w:tblStyleColBandSize w:val="1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Grid Table 5 Dark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fill="8a8a8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fill="8a8a8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 w:customStyle="1">
    <w:name w:val="Grid Table 5 Dark- Accent 1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5f1" w:fill="dae5f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fill="aec4e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fill="aec4e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Grid Table 5 Dark Accent 2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2dcdc" w:fill="f2dc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fill="e2aea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fill="e2aea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Grid Table 5 Dark Accent 3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af1dc" w:fill="eaf1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fill="d0dfb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fill="d0dfb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 w:customStyle="1">
    <w:name w:val="Grid Table 5 Dark- Accent 4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e5dfec" w:fill="e5dfe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fill="c4b7d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fill="c4b7d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Grid Table 5 Dark Accent 5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aeef3" w:fill="daeef3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fill="acd8e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fill="acd8e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Grid Table 5 Dark Accent 6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de9d8" w:fill="fde9d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fill="fbceaa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fill="fbceaa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>
          <w:top w:val="single" w:color="fffff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Grid Table 6 Colorful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fill="cbcbcb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Grid Table 6 Colorful Accent 1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/>
      </w:rPr>
      <w:pPr>
        <w:pBdr/>
        <w:spacing/>
        <w:ind/>
      </w:pPr>
      <w:tblPr>
        <w:tblBorders/>
      </w:tblPr>
      <w:tcPr>
        <w:tcBorders>
          <w:bottom w:val="single" w:color="a6bfdd" w:sz="12" w:space="0"/>
        </w:tcBorders>
      </w:tcPr>
    </w:tblStylePr>
    <w:tblStylePr w:type="lastCol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Grid Table 6 Colorful Accent 2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Grid Table 6 Colorful Accent 3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9abb59" w:sz="4" w:space="0"/>
        <w:left w:val="single" w:color="9abb59" w:sz="4" w:space="0"/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/>
      </w:rPr>
      <w:pPr>
        <w:pBdr/>
        <w:spacing/>
        <w:ind/>
      </w:pPr>
      <w:tblPr>
        <w:tblBorders/>
      </w:tblPr>
      <w:tcPr>
        <w:tcBorders>
          <w:bottom w:val="single" w:color="9abb59" w:sz="12" w:space="0"/>
        </w:tcBorders>
      </w:tcPr>
    </w:tblStylePr>
    <w:tblStylePr w:type="lastCol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Grid Table 6 Colorful Accent 4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Grid Table 6 Colorful Accent 5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4bacc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Grid Table 6 Colorful Accent 6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/>
      </w:rPr>
      <w:pPr>
        <w:pBdr/>
        <w:spacing/>
        <w:ind/>
      </w:pPr>
      <w:tblPr>
        <w:tblBorders/>
      </w:tblPr>
      <w:tcPr>
        <w:tcBorders>
          <w:bottom w:val="single" w:color="f79646" w:sz="12" w:space="0"/>
        </w:tcBorders>
      </w:tcPr>
    </w:tblStylePr>
    <w:tblStylePr w:type="lastCol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Grid Table 7 Colorful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Grid Table 7 Colorful Accent 1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</w:tblPr>
    <w:tcPr>
      <w:tcBorders/>
    </w:tcPr>
    <w:tblStylePr w:type="band1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fill="dae5f1"/>
        <w:tcBorders/>
      </w:tcPr>
    </w:tblStylePr>
    <w:tblStylePr w:type="band2Horz">
      <w:rPr>
        <w:rFonts w:ascii="Arial" w:hAnsi="Arial"/>
        <w:color w:val="a6bfdd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sz="4" w:space="0"/>
        </w:tcBorders>
      </w:tcPr>
    </w:tblStylePr>
    <w:tblStylePr w:type="fir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a6bfdd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a6bfd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Grid Table 7 Colorful Accent 2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sz="4" w:space="0"/>
        <w:right w:val="single" w:color="d99695" w:sz="4" w:space="0"/>
        <w:insideH w:val="single" w:color="d99695" w:sz="4" w:space="0"/>
        <w:insideV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sz="4" w:space="0"/>
        </w:tcBorders>
      </w:tcPr>
    </w:tblStylePr>
    <w:tblStylePr w:type="fir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d9969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Grid Table 7 Colorful Accent 3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sz="4" w:space="0"/>
        <w:right w:val="single" w:color="9abb59" w:sz="4" w:space="0"/>
        <w:insideH w:val="single" w:color="9abb59" w:sz="4" w:space="0"/>
        <w:insideV w:val="single" w:color="9abb59" w:sz="4" w:space="0"/>
      </w:tblBorders>
    </w:tblPr>
    <w:tcPr>
      <w:tcBorders/>
    </w:tcPr>
    <w:tblStylePr w:type="band1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Horz">
      <w:rPr>
        <w:rFonts w:ascii="Arial" w:hAnsi="Arial"/>
        <w:color w:val="9abb5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sz="4" w:space="0"/>
        </w:tcBorders>
      </w:tcPr>
    </w:tblStylePr>
    <w:tblStylePr w:type="fir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9abb59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a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Grid Table 7 Colorful Accent 4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sz="4" w:space="0"/>
        </w:tcBorders>
      </w:tcPr>
    </w:tblStylePr>
    <w:tblStylePr w:type="fir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b2a1c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Grid Table 7 Colorful Accent 5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</w:tblPr>
    <w:tcPr>
      <w:tcBorders/>
    </w:tcPr>
    <w:tblStylePr w:type="band1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Horz">
      <w:rPr>
        <w:rFonts w:ascii="Arial" w:hAnsi="Arial"/>
        <w:color w:val="26677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sz="4" w:space="0"/>
        </w:tcBorders>
      </w:tcPr>
    </w:tblStylePr>
    <w:tblStylePr w:type="fir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9d0d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Grid Table 7 Colorful Accent 6"/>
    <w:basedOn w:val="1236"/>
    <w:uiPriority w:val="99"/>
    <w:pPr>
      <w:pBdr/>
      <w:spacing/>
      <w:ind/>
    </w:pPr>
    <w:tblPr>
      <w:tblStyleRowBandSize w:val="1"/>
      <w:tblStyleColBandSize w:val="1"/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</w:tblPr>
    <w:tcPr>
      <w:tcBorders/>
    </w:tcPr>
    <w:tblStylePr w:type="band1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Horz">
      <w:rPr>
        <w:rFonts w:ascii="Arial" w:hAnsi="Arial"/>
        <w:color w:val="b15407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sz="4" w:space="0"/>
        </w:tcBorders>
      </w:tcPr>
    </w:tblStylePr>
    <w:tblStylePr w:type="fir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fac39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st Table 1 Light"/>
    <w:basedOn w:val="123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st Table 1 Light Accent 1"/>
    <w:basedOn w:val="123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st Table 1 Light Accent 2"/>
    <w:basedOn w:val="123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st Table 1 Light Accent 3"/>
    <w:basedOn w:val="123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st Table 1 Light Accent 4"/>
    <w:basedOn w:val="123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List Table 1 Light Accent 5"/>
    <w:basedOn w:val="123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List Table 1 Light Accent 6"/>
    <w:basedOn w:val="123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List Table 2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6f6f6f" w:sz="4" w:space="0"/>
        <w:bottom w:val="single" w:color="6f6f6f" w:sz="4" w:space="0"/>
        <w:insideH w:val="single" w:color="6f6f6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sz="4" w:space="0"/>
          <w:left w:val="none" w:color="000000" w:sz="4" w:space="0"/>
          <w:bottom w:val="single" w:color="6f6f6f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List Table 2 Accent 1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9bb7d9" w:sz="4" w:space="0"/>
        <w:bottom w:val="single" w:color="9bb7d9" w:sz="4" w:space="0"/>
        <w:insideH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sz="4" w:space="0"/>
          <w:left w:val="none" w:color="000000" w:sz="4" w:space="0"/>
          <w:bottom w:val="single" w:color="9bb7d9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List Table 2 Accent 2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db9b9a" w:sz="4" w:space="0"/>
        <w:bottom w:val="single" w:color="db9b9a" w:sz="4" w:space="0"/>
        <w:insideH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sz="4" w:space="0"/>
          <w:left w:val="none" w:color="000000" w:sz="4" w:space="0"/>
          <w:bottom w:val="single" w:color="db9b9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List Table 2 Accent 3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c6d8a1" w:sz="4" w:space="0"/>
        <w:bottom w:val="single" w:color="c6d8a1" w:sz="4" w:space="0"/>
        <w:insideH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sz="4" w:space="0"/>
          <w:left w:val="none" w:color="000000" w:sz="4" w:space="0"/>
          <w:bottom w:val="single" w:color="c6d8a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List Table 2 Accent 4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b7a7ca" w:sz="4" w:space="0"/>
        <w:bottom w:val="single" w:color="b7a7ca" w:sz="4" w:space="0"/>
        <w:insideH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sz="4" w:space="0"/>
          <w:left w:val="none" w:color="000000" w:sz="4" w:space="0"/>
          <w:bottom w:val="single" w:color="b7a7ca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List Table 2 Accent 5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99d0de" w:sz="4" w:space="0"/>
        <w:bottom w:val="single" w:color="99d0de" w:sz="4" w:space="0"/>
        <w:insideH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sz="4" w:space="0"/>
          <w:left w:val="none" w:color="000000" w:sz="4" w:space="0"/>
          <w:bottom w:val="single" w:color="99d0de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List Table 2 Accent 6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ac396" w:sz="4" w:space="0"/>
        <w:bottom w:val="single" w:color="fac396" w:sz="4" w:space="0"/>
        <w:insideH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sz="4" w:space="0"/>
          <w:left w:val="none" w:color="000000" w:sz="4" w:space="0"/>
          <w:bottom w:val="single" w:color="fac39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List Table 3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sz="4" w:space="0"/>
          <w:bottom w:val="single" w:color="00000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sz="4" w:space="0"/>
          <w:right w:val="singl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List Table 3 Accent 1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4" w:space="0"/>
          <w:bottom w:val="single" w:color="4f81bd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4" w:space="0"/>
          <w:right w:val="single" w:color="4f81bd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List Table 3 Accent 2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left w:val="single" w:color="d99695" w:sz="4" w:space="0"/>
        <w:bottom w:val="single" w:color="d99695" w:sz="4" w:space="0"/>
        <w:right w:val="single" w:color="d996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sz="4" w:space="0"/>
          <w:bottom w:val="single" w:color="d99695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4" w:space="0"/>
          <w:right w:val="single" w:color="d9969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List Table 3 Accent 3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4" w:space="0"/>
        <w:left w:val="single" w:color="c3d69b" w:sz="4" w:space="0"/>
        <w:bottom w:val="single" w:color="c3d69b" w:sz="4" w:space="0"/>
        <w:right w:val="single" w:color="c3d69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sz="4" w:space="0"/>
          <w:bottom w:val="single" w:color="c3d69b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4" w:space="0"/>
          <w:right w:val="single" w:color="c3d69b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fill="c3d69b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List Table 3 Accent 4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sz="4" w:space="0"/>
          <w:bottom w:val="single" w:color="b2a1c6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4" w:space="0"/>
          <w:right w:val="single" w:color="b2a1c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3">
    <w:name w:val="List Table 3 Accent 5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sz="4" w:space="0"/>
          <w:bottom w:val="single" w:color="92ccdc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4" w:space="0"/>
          <w:right w:val="single" w:color="92ccdc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fill="92ccdc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4">
    <w:name w:val="List Table 3 Accent 6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sz="4" w:space="0"/>
          <w:bottom w:val="single" w:color="fac090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4" w:space="0"/>
          <w:right w:val="single" w:color="fac09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fill="fac09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5">
    <w:name w:val="List Table 4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fill="000000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6">
    <w:name w:val="List Table 4 Accent 1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7">
    <w:name w:val="List Table 4 Accent 2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db9b9a" w:sz="4" w:space="0"/>
        <w:left w:val="single" w:color="db9b9a" w:sz="4" w:space="0"/>
        <w:bottom w:val="single" w:color="db9b9a" w:sz="4" w:space="0"/>
        <w:right w:val="single" w:color="db9b9a" w:sz="4" w:space="0"/>
        <w:insideH w:val="single" w:color="db9b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fill="c0504d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8">
    <w:name w:val="List Table 4 Accent 3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fill="9bbb59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9">
    <w:name w:val="List Table 4 Accent 4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fill="8064a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0">
    <w:name w:val="List Table 4 Accent 5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1">
    <w:name w:val="List Table 4 Accent 6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2">
    <w:name w:val="List Table 5 Dark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</w:tblBorders>
      <w:shd w:val="clear" w:color="7f7f7f" w:fill="7f7f7f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fill="7f7f7f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>
          <w:top w:val="single" w:color="7f7f7f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7f7f7f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3">
    <w:name w:val="List Table 5 Dark Accent 1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shd w:val="clear" w:color="4f81bd" w:fill="4f81bd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fill="4f81bd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fill="4f81bd"/>
        <w:tcBorders>
          <w:top w:val="single" w:color="4f81bd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4f81bd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4">
    <w:name w:val="List Table 5 Dark Accent 2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32" w:space="0"/>
        <w:left w:val="single" w:color="d99695" w:sz="32" w:space="0"/>
        <w:bottom w:val="single" w:color="d99695" w:sz="32" w:space="0"/>
        <w:right w:val="single" w:color="d99695" w:sz="32" w:space="0"/>
      </w:tblBorders>
      <w:shd w:val="clear" w:color="d99695" w:fill="d99695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fill="d99695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>
          <w:top w:val="single" w:color="d99695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d99695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5">
    <w:name w:val="List Table 5 Dark Accent 3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32" w:space="0"/>
        <w:left w:val="single" w:color="c3d69b" w:sz="32" w:space="0"/>
        <w:bottom w:val="single" w:color="c3d69b" w:sz="32" w:space="0"/>
        <w:right w:val="single" w:color="c3d69b" w:sz="32" w:space="0"/>
      </w:tblBorders>
      <w:shd w:val="clear" w:color="c3d69b" w:fill="c3d69b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fill="c3d69b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fill="c3d69b"/>
        <w:tcBorders>
          <w:top w:val="single" w:color="c3d69b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c3d69b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6">
    <w:name w:val="List Table 5 Dark Accent 4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shd w:val="clear" w:color="b2a1c6" w:fill="b2a1c6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fill="b2a1c6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>
          <w:top w:val="single" w:color="b2a1c6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b2a1c6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7">
    <w:name w:val="List Table 5 Dark Accent 5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shd w:val="clear" w:color="92ccdc" w:fill="92ccdc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fill="92ccdc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fill="92ccdc"/>
        <w:tcBorders>
          <w:top w:val="single" w:color="92ccdc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92ccdc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8">
    <w:name w:val="List Table 5 Dark Accent 6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shd w:val="clear" w:color="fac090" w:fill="fac09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fill="fac090"/>
        <w:tcBorders>
          <w:left w:val="single" w:color="ffffff" w:sz="4" w:space="0"/>
          <w:right w:val="single" w:color="ffffff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fffff" w:sz="4" w:space="0"/>
          <w:bottom w:val="single" w:color="ffffff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fffff" w:sz="4" w:space="0"/>
        </w:tcBorders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32" w:space="0"/>
          <w:right w:val="single" w:color="ffffff" w:sz="4" w:space="0"/>
        </w:tcBorders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fill="fac090"/>
        <w:tcBorders>
          <w:top w:val="single" w:color="fac090" w:sz="32" w:space="0"/>
          <w:bottom w:val="single" w:color="ffffff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sz="4" w:space="0"/>
          <w:right w:val="single" w:color="fac090" w:sz="32" w:space="0"/>
        </w:tcBorders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9">
    <w:name w:val="List Table 6 Colorful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7f7f7f" w:sz="4" w:space="0"/>
        <w:bottom w:val="single" w:color="7f7f7f" w:sz="4" w:space="0"/>
      </w:tblBorders>
    </w:tblPr>
    <w:tcPr>
      <w:tcBorders/>
    </w:tcPr>
    <w:tblStylePr w:type="band1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00000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/>
      </w:rPr>
      <w:pPr>
        <w:pBdr/>
        <w:spacing/>
        <w:ind/>
      </w:pPr>
      <w:tblPr>
        <w:tblBorders/>
      </w:tblPr>
      <w:tcPr>
        <w:tcBorders>
          <w:bottom w:val="single" w:color="7f7f7f" w:sz="4" w:space="0"/>
        </w:tcBorders>
      </w:tcPr>
    </w:tblStylePr>
    <w:tblStylePr w:type="lastCol">
      <w:rPr>
        <w:b/>
        <w:color w:val="00000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/>
      </w:rPr>
      <w:pPr>
        <w:pBdr/>
        <w:spacing/>
        <w:ind/>
      </w:pPr>
      <w:tblPr>
        <w:tblBorders/>
      </w:tblPr>
      <w:tcPr>
        <w:tcBorders>
          <w:top w:val="single" w:color="7f7f7f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0">
    <w:name w:val="List Table 6 Colorful Accent 1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4f81bd" w:sz="4" w:space="0"/>
        <w:bottom w:val="single" w:color="4f81bd" w:sz="4" w:space="0"/>
      </w:tblBorders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/>
      </w:rPr>
      <w:pPr>
        <w:pBdr/>
        <w:spacing/>
        <w:ind/>
      </w:pPr>
      <w:tblPr>
        <w:tblBorders/>
      </w:tblPr>
      <w:tcPr>
        <w:tcBorders>
          <w:bottom w:val="single" w:color="4f81bd" w:sz="4" w:space="0"/>
        </w:tcBorders>
      </w:tcPr>
    </w:tblStylePr>
    <w:tblStylePr w:type="lastCol">
      <w:rPr>
        <w:b/>
        <w:color w:val="2a4a7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/>
      </w:rPr>
      <w:pPr>
        <w:pBdr/>
        <w:spacing/>
        <w:ind/>
      </w:pPr>
      <w:tblPr>
        <w:tblBorders/>
      </w:tblPr>
      <w:tcPr>
        <w:tcBorders>
          <w:top w:val="single" w:color="4f81bd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1">
    <w:name w:val="List Table 6 Colorful Accent 2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d99695" w:sz="4" w:space="0"/>
        <w:bottom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/>
      </w:rPr>
      <w:pPr>
        <w:pBdr/>
        <w:spacing/>
        <w:ind/>
      </w:pPr>
      <w:tblPr>
        <w:tblBorders/>
      </w:tblPr>
      <w:tcPr>
        <w:tcBorders>
          <w:bottom w:val="single" w:color="d99695" w:sz="4" w:space="0"/>
        </w:tcBorders>
      </w:tcPr>
    </w:tblStylePr>
    <w:tblStylePr w:type="lastCol">
      <w:rPr>
        <w:b/>
        <w:color w:val="d996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/>
      </w:rPr>
      <w:pPr>
        <w:pBdr/>
        <w:spacing/>
        <w:ind/>
      </w:pPr>
      <w:tblPr>
        <w:tblBorders/>
      </w:tblPr>
      <w:tcPr>
        <w:tcBorders>
          <w:top w:val="single" w:color="d9969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2">
    <w:name w:val="List Table 6 Colorful Accent 3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c3d69b" w:sz="4" w:space="0"/>
        <w:bottom w:val="single" w:color="c3d69b" w:sz="4" w:space="0"/>
      </w:tblBorders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/>
      </w:rPr>
      <w:pPr>
        <w:pBdr/>
        <w:spacing/>
        <w:ind/>
      </w:pPr>
      <w:tblPr>
        <w:tblBorders/>
      </w:tblPr>
      <w:tcPr>
        <w:tcBorders>
          <w:bottom w:val="single" w:color="c3d69b" w:sz="4" w:space="0"/>
        </w:tcBorders>
      </w:tcPr>
    </w:tblStylePr>
    <w:tblStylePr w:type="lastCol">
      <w:rPr>
        <w:b/>
        <w:color w:val="c3d69b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/>
      </w:rPr>
      <w:pPr>
        <w:pBdr/>
        <w:spacing/>
        <w:ind/>
      </w:pPr>
      <w:tblPr>
        <w:tblBorders/>
      </w:tblPr>
      <w:tcPr>
        <w:tcBorders>
          <w:top w:val="single" w:color="c3d69b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3">
    <w:name w:val="List Table 6 Colorful Accent 4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b2a1c6" w:sz="4" w:space="0"/>
        <w:bottom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/>
      </w:rPr>
      <w:pPr>
        <w:pBdr/>
        <w:spacing/>
        <w:ind/>
      </w:pPr>
      <w:tblPr>
        <w:tblBorders/>
      </w:tblPr>
      <w:tcPr>
        <w:tcBorders>
          <w:bottom w:val="single" w:color="b2a1c6" w:sz="4" w:space="0"/>
        </w:tcBorders>
      </w:tcPr>
    </w:tblStylePr>
    <w:tblStylePr w:type="lastCol">
      <w:rPr>
        <w:b/>
        <w:color w:val="b2a1c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/>
      </w:rPr>
      <w:pPr>
        <w:pBdr/>
        <w:spacing/>
        <w:ind/>
      </w:pPr>
      <w:tblPr>
        <w:tblBorders/>
      </w:tblPr>
      <w:tcPr>
        <w:tcBorders>
          <w:top w:val="single" w:color="b2a1c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4">
    <w:name w:val="List Table 6 Colorful Accent 5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92ccdc" w:sz="4" w:space="0"/>
        <w:bottom w:val="single" w:color="92ccdc" w:sz="4" w:space="0"/>
      </w:tblBorders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/>
      </w:rPr>
      <w:pPr>
        <w:pBdr/>
        <w:spacing/>
        <w:ind/>
      </w:pPr>
      <w:tblPr>
        <w:tblBorders/>
      </w:tblPr>
      <w:tcPr>
        <w:tcBorders>
          <w:bottom w:val="single" w:color="92ccdc" w:sz="4" w:space="0"/>
        </w:tcBorders>
      </w:tcPr>
    </w:tblStylePr>
    <w:tblStylePr w:type="lastCol">
      <w:rPr>
        <w:b/>
        <w:color w:val="92ccdc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/>
      </w:rPr>
      <w:pPr>
        <w:pBdr/>
        <w:spacing/>
        <w:ind/>
      </w:pPr>
      <w:tblPr>
        <w:tblBorders/>
      </w:tblPr>
      <w:tcPr>
        <w:tcBorders>
          <w:top w:val="single" w:color="92ccdc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5">
    <w:name w:val="List Table 6 Colorful Accent 6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ac090" w:sz="4" w:space="0"/>
        <w:bottom w:val="single" w:color="fac090" w:sz="4" w:space="0"/>
      </w:tblBorders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/>
      </w:rPr>
      <w:pPr>
        <w:pBdr/>
        <w:spacing/>
        <w:ind/>
      </w:pPr>
      <w:tblPr>
        <w:tblBorders/>
      </w:tblPr>
      <w:tcPr>
        <w:tcBorders>
          <w:bottom w:val="single" w:color="fac090" w:sz="4" w:space="0"/>
        </w:tcBorders>
      </w:tcPr>
    </w:tblStylePr>
    <w:tblStylePr w:type="lastCol">
      <w:rPr>
        <w:b/>
        <w:color w:val="fac09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/>
      </w:rPr>
      <w:pPr>
        <w:pBdr/>
        <w:spacing/>
        <w:ind/>
      </w:pPr>
      <w:tblPr>
        <w:tblBorders/>
      </w:tblPr>
      <w:tcPr>
        <w:tcBorders>
          <w:top w:val="single" w:color="fac09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6">
    <w:name w:val="List Table 7 Colorful"/>
    <w:basedOn w:val="1236"/>
    <w:uiPriority w:val="99"/>
    <w:pPr>
      <w:pBdr/>
      <w:spacing/>
      <w:ind/>
    </w:pPr>
    <w:tblPr>
      <w:tblStyleRowBandSize w:val="1"/>
      <w:tblStyleColBandSize w:val="1"/>
      <w:tblBorders>
        <w:right w:val="single" w:color="7f7f7f" w:sz="4" w:space="0"/>
      </w:tblBorders>
    </w:tblPr>
    <w:tcPr>
      <w:tcBorders/>
    </w:tcPr>
    <w:tblStylePr w:type="band1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fill="bfbfbf"/>
        <w:tcBorders/>
      </w:tcPr>
    </w:tblStylePr>
    <w:tblStylePr w:type="band2Horz">
      <w:rPr>
        <w:rFonts w:ascii="Arial" w:hAnsi="Arial"/>
        <w:color w:val="7f7f7f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sz="4" w:space="0"/>
        </w:tcBorders>
      </w:tcPr>
    </w:tblStylePr>
    <w:tblStylePr w:type="fir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7f7f7f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7f7f7f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7">
    <w:name w:val="List Table 7 Colorful Accent 1"/>
    <w:basedOn w:val="1236"/>
    <w:uiPriority w:val="99"/>
    <w:pPr>
      <w:pBdr/>
      <w:spacing/>
      <w:ind/>
    </w:pPr>
    <w:tblPr>
      <w:tblStyleRowBandSize w:val="1"/>
      <w:tblStyleColBandSize w:val="1"/>
      <w:tblBorders>
        <w:right w:val="single" w:color="4f81bd" w:sz="4" w:space="0"/>
      </w:tblBorders>
    </w:tblPr>
    <w:tcPr>
      <w:tcBorders/>
    </w:tcPr>
    <w:tblStylePr w:type="band1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fill="d2dfee"/>
        <w:tcBorders/>
      </w:tcPr>
    </w:tblStylePr>
    <w:tblStylePr w:type="band2Horz">
      <w:rPr>
        <w:rFonts w:ascii="Arial" w:hAnsi="Arial"/>
        <w:color w:val="2a4a7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sz="4" w:space="0"/>
        </w:tcBorders>
      </w:tcPr>
    </w:tblStylePr>
    <w:tblStylePr w:type="fir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4f81bd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4f81bd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8">
    <w:name w:val="List Table 7 Colorful Accent 2"/>
    <w:basedOn w:val="1236"/>
    <w:uiPriority w:val="99"/>
    <w:pPr>
      <w:pBdr/>
      <w:spacing/>
      <w:ind/>
    </w:pPr>
    <w:tblPr>
      <w:tblStyleRowBandSize w:val="1"/>
      <w:tblStyleColBandSize w:val="1"/>
      <w:tblBorders>
        <w:right w:val="single" w:color="d99695" w:sz="4" w:space="0"/>
      </w:tblBorders>
    </w:tblPr>
    <w:tcPr>
      <w:tcBorders/>
    </w:tcPr>
    <w:tblStylePr w:type="band1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fill="efd2d2"/>
        <w:tcBorders/>
      </w:tcPr>
    </w:tblStylePr>
    <w:tblStylePr w:type="band2Horz">
      <w:rPr>
        <w:rFonts w:ascii="Arial" w:hAnsi="Arial"/>
        <w:color w:val="d996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sz="4" w:space="0"/>
        </w:tcBorders>
      </w:tcPr>
    </w:tblStylePr>
    <w:tblStylePr w:type="fir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d99695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d996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9">
    <w:name w:val="List Table 7 Colorful Accent 3"/>
    <w:basedOn w:val="1236"/>
    <w:uiPriority w:val="99"/>
    <w:pPr>
      <w:pBdr/>
      <w:spacing/>
      <w:ind/>
    </w:pPr>
    <w:tblPr>
      <w:tblStyleRowBandSize w:val="1"/>
      <w:tblStyleColBandSize w:val="1"/>
      <w:tblBorders>
        <w:right w:val="single" w:color="c3d69b" w:sz="4" w:space="0"/>
      </w:tblBorders>
    </w:tblPr>
    <w:tcPr>
      <w:tcBorders/>
    </w:tcPr>
    <w:tblStylePr w:type="band1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fill="e5eed5"/>
        <w:tcBorders/>
      </w:tcPr>
    </w:tblStylePr>
    <w:tblStylePr w:type="band2Horz">
      <w:rPr>
        <w:rFonts w:ascii="Arial" w:hAnsi="Arial"/>
        <w:color w:val="c3d69b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sz="4" w:space="0"/>
        </w:tcBorders>
      </w:tcPr>
    </w:tblStylePr>
    <w:tblStylePr w:type="fir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c3d69b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c3d69b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0">
    <w:name w:val="List Table 7 Colorful Accent 4"/>
    <w:basedOn w:val="1236"/>
    <w:uiPriority w:val="99"/>
    <w:pPr>
      <w:pBdr/>
      <w:spacing/>
      <w:ind/>
    </w:pPr>
    <w:tblPr>
      <w:tblStyleRowBandSize w:val="1"/>
      <w:tblStyleColBandSize w:val="1"/>
      <w:tblBorders>
        <w:right w:val="single" w:color="b2a1c6" w:sz="4" w:space="0"/>
      </w:tblBorders>
    </w:tblPr>
    <w:tcPr>
      <w:tcBorders/>
    </w:tcPr>
    <w:tblStylePr w:type="band1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fill="dfd8e7"/>
        <w:tcBorders/>
      </w:tcPr>
    </w:tblStylePr>
    <w:tblStylePr w:type="band2Horz">
      <w:rPr>
        <w:rFonts w:ascii="Arial" w:hAnsi="Arial"/>
        <w:color w:val="b2a1c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sz="4" w:space="0"/>
        </w:tcBorders>
      </w:tcPr>
    </w:tblStylePr>
    <w:tblStylePr w:type="fir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b2a1c6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b2a1c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1">
    <w:name w:val="List Table 7 Colorful Accent 5"/>
    <w:basedOn w:val="1236"/>
    <w:uiPriority w:val="99"/>
    <w:pPr>
      <w:pBdr/>
      <w:spacing/>
      <w:ind/>
    </w:pPr>
    <w:tblPr>
      <w:tblStyleRowBandSize w:val="1"/>
      <w:tblStyleColBandSize w:val="1"/>
      <w:tblBorders>
        <w:right w:val="single" w:color="92ccdc" w:sz="4" w:space="0"/>
      </w:tblBorders>
    </w:tblPr>
    <w:tcPr>
      <w:tcBorders/>
    </w:tcPr>
    <w:tblStylePr w:type="band1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fill="d1eaf0"/>
        <w:tcBorders/>
      </w:tcPr>
    </w:tblStylePr>
    <w:tblStylePr w:type="band2Horz">
      <w:rPr>
        <w:rFonts w:ascii="Arial" w:hAnsi="Arial"/>
        <w:color w:val="92ccdc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sz="4" w:space="0"/>
        </w:tcBorders>
      </w:tcPr>
    </w:tblStylePr>
    <w:tblStylePr w:type="fir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92ccdc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92ccdc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2">
    <w:name w:val="List Table 7 Colorful Accent 6"/>
    <w:basedOn w:val="1236"/>
    <w:uiPriority w:val="99"/>
    <w:pPr>
      <w:pBdr/>
      <w:spacing/>
      <w:ind/>
    </w:pPr>
    <w:tblPr>
      <w:tblStyleRowBandSize w:val="1"/>
      <w:tblStyleColBandSize w:val="1"/>
      <w:tblBorders>
        <w:right w:val="single" w:color="fac090" w:sz="4" w:space="0"/>
      </w:tblBorders>
    </w:tblPr>
    <w:tcPr>
      <w:tcBorders/>
    </w:tcPr>
    <w:tblStylePr w:type="band1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fill="fde4d0"/>
        <w:tcBorders/>
      </w:tcPr>
    </w:tblStylePr>
    <w:tblStylePr w:type="band2Horz">
      <w:rPr>
        <w:rFonts w:ascii="Arial" w:hAnsi="Arial"/>
        <w:color w:val="fac09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sz="4" w:space="0"/>
        </w:tcBorders>
      </w:tcPr>
    </w:tblStylePr>
    <w:tblStylePr w:type="fir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none" w:color="000000" w:sz="4" w:space="0"/>
          <w:left w:val="none" w:color="000000" w:sz="4" w:space="0"/>
          <w:bottom w:val="single" w:color="fac0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/>
        <w:sz w:val="22"/>
      </w:rPr>
      <w:pPr>
        <w:pBdr/>
        <w:spacing/>
        <w:ind/>
      </w:pPr>
      <w:tblPr>
        <w:tblBorders/>
      </w:tblPr>
      <w:tcPr>
        <w:shd w:val="clear" w:color="ffffff" w:fill="ffffff"/>
        <w:tcBorders>
          <w:top w:val="single" w:color="fac0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3" w:customStyle="1">
    <w:name w:val="Lined - Accent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 w:customStyle="1">
    <w:name w:val="Lined - Accent 1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 w:customStyle="1">
    <w:name w:val="Lined - Accent 2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 w:customStyle="1">
    <w:name w:val="Lined - Accent 3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 w:customStyle="1">
    <w:name w:val="Lined - Accent 4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 w:customStyle="1">
    <w:name w:val="Lined - Accent 5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 w:customStyle="1">
    <w:name w:val="Lined - Accent 6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 w:customStyle="1">
    <w:name w:val="Bordered &amp; Lined - Accent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fill="f2f2f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fill="7f7f7f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 w:customStyle="1">
    <w:name w:val="Bordered &amp; Lined - Accent 1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a4a71" w:sz="4" w:space="0"/>
        <w:left w:val="single" w:color="2a4a71" w:sz="4" w:space="0"/>
        <w:bottom w:val="single" w:color="2a4a71" w:sz="4" w:space="0"/>
        <w:right w:val="single" w:color="2a4a71" w:sz="4" w:space="0"/>
        <w:insideH w:val="single" w:color="2a4a71" w:sz="4" w:space="0"/>
        <w:insideV w:val="single" w:color="2a4a7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fill="c7d7ea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fill="5d8ac2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 w:customStyle="1">
    <w:name w:val="Bordered &amp; Lined - Accent 2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732a29" w:sz="4" w:space="0"/>
        <w:left w:val="single" w:color="732a29" w:sz="4" w:space="0"/>
        <w:bottom w:val="single" w:color="732a29" w:sz="4" w:space="0"/>
        <w:right w:val="single" w:color="732a29" w:sz="4" w:space="0"/>
        <w:insideH w:val="single" w:color="732a29" w:sz="4" w:space="0"/>
        <w:insideV w:val="single" w:color="732a2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fill="f2dc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fill="d9969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 w:customStyle="1">
    <w:name w:val="Bordered &amp; Lined - Accent 3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5b722e" w:sz="4" w:space="0"/>
        <w:left w:val="single" w:color="5b722e" w:sz="4" w:space="0"/>
        <w:bottom w:val="single" w:color="5b722e" w:sz="4" w:space="0"/>
        <w:right w:val="single" w:color="5b722e" w:sz="4" w:space="0"/>
        <w:insideH w:val="single" w:color="5b722e" w:sz="4" w:space="0"/>
        <w:insideV w:val="single" w:color="5b722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fill="eaf1d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fill="9abb59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 w:customStyle="1">
    <w:name w:val="Bordered &amp; Lined - Accent 4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fill="e5dfec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fill="b2a1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 w:customStyle="1">
    <w:name w:val="Bordered &amp; Lined - Accent 5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fill="daeef3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fill="4bacc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 w:customStyle="1">
    <w:name w:val="Bordered &amp; Lined - Accent 6"/>
    <w:basedOn w:val="1236"/>
    <w:uiPriority w:val="99"/>
    <w:pPr>
      <w:pBdr/>
      <w:spacing/>
      <w:ind/>
    </w:pPr>
    <w:rPr>
      <w:color w:val="404040"/>
    </w:rPr>
    <w:tblPr>
      <w:tblStyleRowBandSize w:val="1"/>
      <w:tblStyleColBandSize w:val="1"/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fill="fde9d8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fill="f7964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 w:customStyle="1">
    <w:name w:val="Bordered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 w:customStyle="1">
    <w:name w:val="Bordered - Accent 1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b7cbe4" w:sz="4" w:space="0"/>
        <w:left w:val="single" w:color="b7cbe4" w:sz="4" w:space="0"/>
        <w:bottom w:val="single" w:color="b7cbe4" w:sz="4" w:space="0"/>
        <w:right w:val="single" w:color="b7cbe4" w:sz="4" w:space="0"/>
        <w:insideH w:val="single" w:color="b7cbe4" w:sz="4" w:space="0"/>
        <w:insideV w:val="single" w:color="b7cbe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sz="4" w:space="0"/>
          <w:left w:val="single" w:color="b7cbe4" w:sz="4" w:space="0"/>
          <w:bottom w:val="single" w:color="b7cbe4" w:sz="4" w:space="0"/>
          <w:right w:val="single" w:color="b7cbe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 w:customStyle="1">
    <w:name w:val="Bordered - Accent 2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e5b7b6" w:sz="4" w:space="0"/>
        <w:left w:val="single" w:color="e5b7b6" w:sz="4" w:space="0"/>
        <w:bottom w:val="single" w:color="e5b7b6" w:sz="4" w:space="0"/>
        <w:right w:val="single" w:color="e5b7b6" w:sz="4" w:space="0"/>
        <w:insideH w:val="single" w:color="e5b7b6" w:sz="4" w:space="0"/>
        <w:insideV w:val="single" w:color="e5b7b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sz="4" w:space="0"/>
          <w:left w:val="single" w:color="e5b7b6" w:sz="4" w:space="0"/>
          <w:bottom w:val="single" w:color="e5b7b6" w:sz="4" w:space="0"/>
          <w:right w:val="single" w:color="e5b7b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 w:customStyle="1">
    <w:name w:val="Bordered - Accent 3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sz="4" w:space="0"/>
          <w:left w:val="single" w:color="d6e3bb" w:sz="4" w:space="0"/>
          <w:bottom w:val="single" w:color="d6e3bb" w:sz="4" w:space="0"/>
          <w:right w:val="single" w:color="d6e3bb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 w:customStyle="1">
    <w:name w:val="Bordered - Accent 4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sz="4" w:space="0"/>
          <w:left w:val="single" w:color="cbc0d9" w:sz="4" w:space="0"/>
          <w:bottom w:val="single" w:color="cbc0d9" w:sz="4" w:space="0"/>
          <w:right w:val="single" w:color="cbc0d9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 w:customStyle="1">
    <w:name w:val="Bordered - Accent 5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sz="4" w:space="0"/>
          <w:left w:val="single" w:color="b6dde8" w:sz="4" w:space="0"/>
          <w:bottom w:val="single" w:color="b6dde8" w:sz="4" w:space="0"/>
          <w:right w:val="single" w:color="b6dde8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 w:customStyle="1">
    <w:name w:val="Bordered - Accent 6"/>
    <w:basedOn w:val="1236"/>
    <w:uiPriority w:val="99"/>
    <w:pPr>
      <w:pBdr/>
      <w:spacing/>
      <w:ind/>
    </w:pPr>
    <w:tblPr>
      <w:tblStyleRowBandSize w:val="1"/>
      <w:tblStyleColBandSize w:val="1"/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sz="4" w:space="0"/>
          <w:left w:val="single" w:color="fbd4b4" w:sz="4" w:space="0"/>
          <w:bottom w:val="single" w:color="fbd4b4" w:sz="4" w:space="0"/>
          <w:right w:val="single" w:color="fbd4b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364" w:customStyle="1">
    <w:name w:val="Heading 1 Char"/>
    <w:link w:val="1226"/>
    <w:uiPriority w:val="9"/>
    <w:pPr>
      <w:pBdr/>
      <w:spacing/>
      <w:ind/>
    </w:pPr>
    <w:rPr>
      <w:rFonts w:ascii="Arial" w:hAnsi="Arial" w:eastAsia="Arial" w:cs="Arial"/>
      <w:color w:val="365f91"/>
      <w:sz w:val="40"/>
      <w:szCs w:val="40"/>
    </w:rPr>
  </w:style>
  <w:style w:type="character" w:styleId="1365" w:customStyle="1">
    <w:name w:val="Heading 2 Char"/>
    <w:link w:val="1227"/>
    <w:uiPriority w:val="9"/>
    <w:pPr>
      <w:pBdr/>
      <w:spacing/>
      <w:ind/>
    </w:pPr>
    <w:rPr>
      <w:rFonts w:ascii="Arial" w:hAnsi="Arial" w:eastAsia="Arial" w:cs="Arial"/>
      <w:color w:val="365f91"/>
      <w:sz w:val="32"/>
      <w:szCs w:val="32"/>
    </w:rPr>
  </w:style>
  <w:style w:type="character" w:styleId="1366" w:customStyle="1">
    <w:name w:val="Heading 3 Char"/>
    <w:link w:val="1228"/>
    <w:pPr>
      <w:pBdr/>
      <w:spacing/>
      <w:ind/>
    </w:pPr>
    <w:rPr>
      <w:i/>
      <w:lang w:val="en-US" w:eastAsia="zh-CN"/>
    </w:rPr>
  </w:style>
  <w:style w:type="character" w:styleId="1367" w:customStyle="1">
    <w:name w:val="Heading 4 Char"/>
    <w:link w:val="1229"/>
    <w:pPr>
      <w:pBdr/>
      <w:spacing/>
      <w:ind/>
    </w:pPr>
    <w:rPr>
      <w:i/>
      <w:lang w:val="en-US" w:eastAsia="zh-CN"/>
    </w:rPr>
  </w:style>
  <w:style w:type="character" w:styleId="1368" w:customStyle="1">
    <w:name w:val="Heading 5 Char"/>
    <w:link w:val="1230"/>
    <w:pPr>
      <w:pBdr/>
      <w:spacing/>
      <w:ind/>
    </w:pPr>
    <w:rPr>
      <w:i/>
      <w:lang w:val="en-US" w:eastAsia="zh-CN"/>
    </w:rPr>
  </w:style>
  <w:style w:type="character" w:styleId="1369" w:customStyle="1">
    <w:name w:val="Heading 6 Char"/>
    <w:link w:val="1231"/>
    <w:pPr>
      <w:pBdr/>
      <w:spacing/>
      <w:ind/>
    </w:pPr>
    <w:rPr>
      <w:i/>
      <w:lang w:val="en-US" w:eastAsia="zh-CN"/>
    </w:rPr>
  </w:style>
  <w:style w:type="character" w:styleId="1370" w:customStyle="1">
    <w:name w:val="Heading 7 Char"/>
    <w:link w:val="1232"/>
    <w:pPr>
      <w:pBdr/>
      <w:spacing/>
      <w:ind/>
    </w:pPr>
    <w:rPr>
      <w:i/>
      <w:lang w:val="en-US" w:eastAsia="zh-CN"/>
    </w:rPr>
  </w:style>
  <w:style w:type="character" w:styleId="1371" w:customStyle="1">
    <w:name w:val="Heading 8 Char"/>
    <w:link w:val="1233"/>
    <w:pPr>
      <w:pBdr/>
      <w:spacing/>
      <w:ind/>
    </w:pPr>
    <w:rPr>
      <w:i/>
      <w:lang w:val="en-US" w:eastAsia="zh-CN"/>
    </w:rPr>
  </w:style>
  <w:style w:type="character" w:styleId="1372" w:customStyle="1">
    <w:name w:val="Heading 9 Char"/>
    <w:link w:val="1234"/>
    <w:pPr>
      <w:pBdr/>
      <w:spacing/>
      <w:ind/>
    </w:pPr>
    <w:rPr>
      <w:i/>
      <w:lang w:val="en-US" w:eastAsia="zh-CN"/>
    </w:rPr>
  </w:style>
  <w:style w:type="paragraph" w:styleId="1373">
    <w:name w:val="Title"/>
    <w:basedOn w:val="1225"/>
    <w:next w:val="1225"/>
    <w:link w:val="1374"/>
    <w:uiPriority w:val="10"/>
    <w:qFormat/>
    <w:pPr>
      <w:pBdr/>
      <w:spacing w:after="80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74" w:customStyle="1">
    <w:name w:val="Title Char"/>
    <w:link w:val="13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75">
    <w:name w:val="Subtitle"/>
    <w:basedOn w:val="1225"/>
    <w:next w:val="1225"/>
    <w:link w:val="1376"/>
    <w:uiPriority w:val="11"/>
    <w:qFormat/>
    <w:pPr>
      <w:numPr>
        <w:ilvl w:val="1"/>
      </w:numPr>
      <w:pBdr/>
      <w:spacing/>
      <w:ind/>
    </w:pPr>
    <w:rPr>
      <w:color w:val="595959"/>
      <w:spacing w:val="15"/>
      <w:sz w:val="28"/>
      <w:szCs w:val="28"/>
    </w:rPr>
  </w:style>
  <w:style w:type="character" w:styleId="1376" w:customStyle="1">
    <w:name w:val="Subtitle Char"/>
    <w:link w:val="1375"/>
    <w:uiPriority w:val="11"/>
    <w:pPr>
      <w:pBdr/>
      <w:spacing/>
      <w:ind/>
    </w:pPr>
    <w:rPr>
      <w:color w:val="595959"/>
      <w:spacing w:val="15"/>
      <w:sz w:val="28"/>
      <w:szCs w:val="28"/>
    </w:rPr>
  </w:style>
  <w:style w:type="paragraph" w:styleId="1377">
    <w:name w:val="Quote"/>
    <w:basedOn w:val="1225"/>
    <w:next w:val="1225"/>
    <w:link w:val="1378"/>
    <w:uiPriority w:val="29"/>
    <w:qFormat/>
    <w:pPr>
      <w:pBdr/>
      <w:spacing w:before="160"/>
      <w:ind/>
      <w:jc w:val="center"/>
    </w:pPr>
    <w:rPr>
      <w:i/>
      <w:iCs/>
      <w:color w:val="404040"/>
    </w:rPr>
  </w:style>
  <w:style w:type="character" w:styleId="1378" w:customStyle="1">
    <w:name w:val="Quote Char"/>
    <w:link w:val="1377"/>
    <w:uiPriority w:val="29"/>
    <w:pPr>
      <w:pBdr/>
      <w:spacing/>
      <w:ind/>
    </w:pPr>
    <w:rPr>
      <w:i/>
      <w:iCs/>
      <w:color w:val="404040"/>
    </w:rPr>
  </w:style>
  <w:style w:type="paragraph" w:styleId="1379">
    <w:name w:val="List Paragraph"/>
    <w:basedOn w:val="1225"/>
    <w:uiPriority w:val="34"/>
    <w:qFormat/>
    <w:pPr>
      <w:pBdr/>
      <w:spacing/>
      <w:ind w:left="720"/>
      <w:contextualSpacing w:val="true"/>
    </w:pPr>
  </w:style>
  <w:style w:type="character" w:styleId="1380">
    <w:name w:val="Intense Emphasis"/>
    <w:uiPriority w:val="21"/>
    <w:qFormat/>
    <w:pPr>
      <w:pBdr/>
      <w:spacing/>
      <w:ind/>
    </w:pPr>
    <w:rPr>
      <w:i/>
      <w:iCs/>
      <w:color w:val="365f91"/>
    </w:rPr>
  </w:style>
  <w:style w:type="paragraph" w:styleId="1381">
    <w:name w:val="Intense Quote"/>
    <w:basedOn w:val="1225"/>
    <w:next w:val="1225"/>
    <w:link w:val="1382"/>
    <w:uiPriority w:val="30"/>
    <w:qFormat/>
    <w:pPr>
      <w:pBdr>
        <w:top w:val="single" w:color="365f91" w:sz="4" w:space="10"/>
        <w:bottom w:val="single" w:color="365f91" w:sz="4" w:space="10"/>
      </w:pBdr>
      <w:spacing w:after="360" w:before="360"/>
      <w:ind w:right="864" w:left="864"/>
      <w:jc w:val="center"/>
    </w:pPr>
    <w:rPr>
      <w:i/>
      <w:iCs/>
      <w:color w:val="365f91"/>
    </w:rPr>
  </w:style>
  <w:style w:type="character" w:styleId="1382" w:customStyle="1">
    <w:name w:val="Intense Quote Char"/>
    <w:link w:val="1381"/>
    <w:uiPriority w:val="30"/>
    <w:pPr>
      <w:pBdr/>
      <w:spacing/>
      <w:ind/>
    </w:pPr>
    <w:rPr>
      <w:i/>
      <w:iCs/>
      <w:color w:val="365f91"/>
    </w:rPr>
  </w:style>
  <w:style w:type="character" w:styleId="1383">
    <w:name w:val="Intense Reference"/>
    <w:uiPriority w:val="32"/>
    <w:qFormat/>
    <w:pPr>
      <w:pBdr/>
      <w:spacing/>
      <w:ind/>
    </w:pPr>
    <w:rPr>
      <w:b/>
      <w:bCs/>
      <w:smallCaps/>
      <w:color w:val="365f91"/>
      <w:spacing w:val="5"/>
    </w:rPr>
  </w:style>
  <w:style w:type="paragraph" w:styleId="1384">
    <w:name w:val="No Spacing"/>
    <w:basedOn w:val="1225"/>
    <w:uiPriority w:val="1"/>
    <w:qFormat/>
    <w:pPr>
      <w:pBdr/>
      <w:spacing/>
      <w:ind/>
    </w:pPr>
  </w:style>
  <w:style w:type="character" w:styleId="1385">
    <w:name w:val="Subtle Emphasis"/>
    <w:uiPriority w:val="19"/>
    <w:qFormat/>
    <w:pPr>
      <w:pBdr/>
      <w:spacing/>
      <w:ind/>
    </w:pPr>
    <w:rPr>
      <w:i/>
      <w:iCs/>
      <w:color w:val="404040"/>
    </w:rPr>
  </w:style>
  <w:style w:type="character" w:styleId="1386">
    <w:name w:val="Subtle Reference"/>
    <w:uiPriority w:val="31"/>
    <w:qFormat/>
    <w:pPr>
      <w:pBdr/>
      <w:spacing/>
      <w:ind/>
    </w:pPr>
    <w:rPr>
      <w:smallCaps/>
      <w:color w:val="5a5a5a"/>
    </w:rPr>
  </w:style>
  <w:style w:type="character" w:styleId="1387">
    <w:name w:val="Book Title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88" w:customStyle="1">
    <w:name w:val="Header Char"/>
    <w:basedOn w:val="1235"/>
    <w:link w:val="1473"/>
    <w:uiPriority w:val="99"/>
    <w:pPr>
      <w:pBdr/>
      <w:spacing/>
      <w:ind/>
    </w:pPr>
  </w:style>
  <w:style w:type="character" w:styleId="1389" w:customStyle="1">
    <w:name w:val="Footer Char"/>
    <w:basedOn w:val="1235"/>
    <w:link w:val="1474"/>
    <w:uiPriority w:val="99"/>
    <w:pPr>
      <w:pBdr/>
      <w:spacing/>
      <w:ind/>
    </w:pPr>
  </w:style>
  <w:style w:type="character" w:styleId="1390" w:customStyle="1">
    <w:name w:val="Footnote Text Char"/>
    <w:link w:val="1466"/>
    <w:uiPriority w:val="99"/>
    <w:semiHidden/>
    <w:pPr>
      <w:pBdr/>
      <w:spacing/>
      <w:ind/>
    </w:pPr>
    <w:rPr>
      <w:sz w:val="20"/>
      <w:szCs w:val="20"/>
    </w:rPr>
  </w:style>
  <w:style w:type="character" w:styleId="139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392">
    <w:name w:val="endnote text"/>
    <w:basedOn w:val="1225"/>
    <w:link w:val="1393"/>
    <w:uiPriority w:val="99"/>
    <w:semiHidden/>
    <w:unhideWhenUsed/>
    <w:pPr>
      <w:pBdr/>
      <w:spacing/>
      <w:ind/>
    </w:pPr>
  </w:style>
  <w:style w:type="character" w:styleId="1393" w:customStyle="1">
    <w:name w:val="Endnote Text Char"/>
    <w:link w:val="1392"/>
    <w:uiPriority w:val="99"/>
    <w:semiHidden/>
    <w:pPr>
      <w:pBdr/>
      <w:spacing/>
      <w:ind/>
    </w:pPr>
    <w:rPr>
      <w:sz w:val="20"/>
      <w:szCs w:val="20"/>
    </w:rPr>
  </w:style>
  <w:style w:type="character" w:styleId="139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395">
    <w:name w:val="toc 1"/>
    <w:basedOn w:val="1225"/>
    <w:next w:val="1225"/>
    <w:uiPriority w:val="39"/>
    <w:unhideWhenUsed/>
    <w:pPr>
      <w:pBdr/>
      <w:spacing w:after="100"/>
      <w:ind/>
    </w:pPr>
  </w:style>
  <w:style w:type="paragraph" w:styleId="1396">
    <w:name w:val="toc 2"/>
    <w:basedOn w:val="1225"/>
    <w:next w:val="1225"/>
    <w:uiPriority w:val="39"/>
    <w:unhideWhenUsed/>
    <w:pPr>
      <w:pBdr/>
      <w:spacing w:after="100"/>
      <w:ind w:left="220"/>
    </w:pPr>
  </w:style>
  <w:style w:type="paragraph" w:styleId="1397">
    <w:name w:val="toc 3"/>
    <w:basedOn w:val="1225"/>
    <w:next w:val="1225"/>
    <w:uiPriority w:val="39"/>
    <w:unhideWhenUsed/>
    <w:pPr>
      <w:pBdr/>
      <w:spacing w:after="100"/>
      <w:ind w:left="440"/>
    </w:pPr>
  </w:style>
  <w:style w:type="paragraph" w:styleId="1398">
    <w:name w:val="toc 4"/>
    <w:basedOn w:val="1225"/>
    <w:next w:val="1225"/>
    <w:uiPriority w:val="39"/>
    <w:unhideWhenUsed/>
    <w:pPr>
      <w:pBdr/>
      <w:spacing w:after="100"/>
      <w:ind w:left="660"/>
    </w:pPr>
  </w:style>
  <w:style w:type="paragraph" w:styleId="1399">
    <w:name w:val="toc 5"/>
    <w:basedOn w:val="1225"/>
    <w:next w:val="1225"/>
    <w:uiPriority w:val="39"/>
    <w:unhideWhenUsed/>
    <w:pPr>
      <w:pBdr/>
      <w:spacing w:after="100"/>
      <w:ind w:left="880"/>
    </w:pPr>
  </w:style>
  <w:style w:type="paragraph" w:styleId="1400">
    <w:name w:val="toc 6"/>
    <w:basedOn w:val="1225"/>
    <w:next w:val="1225"/>
    <w:uiPriority w:val="39"/>
    <w:unhideWhenUsed/>
    <w:pPr>
      <w:pBdr/>
      <w:spacing w:after="100"/>
      <w:ind w:left="1100"/>
    </w:pPr>
  </w:style>
  <w:style w:type="paragraph" w:styleId="1401">
    <w:name w:val="toc 7"/>
    <w:basedOn w:val="1225"/>
    <w:next w:val="1225"/>
    <w:uiPriority w:val="39"/>
    <w:unhideWhenUsed/>
    <w:pPr>
      <w:pBdr/>
      <w:spacing w:after="100"/>
      <w:ind w:left="1320"/>
    </w:pPr>
  </w:style>
  <w:style w:type="paragraph" w:styleId="1402">
    <w:name w:val="toc 8"/>
    <w:basedOn w:val="1225"/>
    <w:next w:val="1225"/>
    <w:uiPriority w:val="39"/>
    <w:unhideWhenUsed/>
    <w:pPr>
      <w:pBdr/>
      <w:spacing w:after="100"/>
      <w:ind w:left="1540"/>
    </w:pPr>
  </w:style>
  <w:style w:type="paragraph" w:styleId="1403">
    <w:name w:val="toc 9"/>
    <w:basedOn w:val="1225"/>
    <w:next w:val="1225"/>
    <w:uiPriority w:val="39"/>
    <w:unhideWhenUsed/>
    <w:pPr>
      <w:pBdr/>
      <w:spacing w:after="100"/>
      <w:ind w:left="1760"/>
    </w:pPr>
  </w:style>
  <w:style w:type="character" w:styleId="1404">
    <w:name w:val="Placeholder Text"/>
    <w:uiPriority w:val="99"/>
    <w:semiHidden/>
    <w:pPr>
      <w:pBdr/>
      <w:spacing/>
      <w:ind/>
    </w:pPr>
    <w:rPr>
      <w:color w:val="666666"/>
    </w:rPr>
  </w:style>
  <w:style w:type="paragraph" w:styleId="1405">
    <w:name w:val="TOC Heading"/>
    <w:uiPriority w:val="39"/>
    <w:unhideWhenUsed/>
    <w:pPr>
      <w:pBdr/>
      <w:spacing/>
      <w:ind/>
    </w:pPr>
  </w:style>
  <w:style w:type="paragraph" w:styleId="1406">
    <w:name w:val="table of figures"/>
    <w:basedOn w:val="1225"/>
    <w:next w:val="1225"/>
    <w:uiPriority w:val="99"/>
    <w:unhideWhenUsed/>
    <w:pPr>
      <w:pBdr/>
      <w:spacing/>
      <w:ind/>
    </w:pPr>
  </w:style>
  <w:style w:type="character" w:styleId="1407" w:customStyle="1">
    <w:name w:val="WW8Num4z0"/>
    <w:pPr>
      <w:pBdr/>
      <w:spacing/>
      <w:ind/>
    </w:pPr>
    <w:rPr>
      <w:rFonts w:ascii="Symbol" w:hAnsi="Symbol" w:cs="Symbol"/>
    </w:rPr>
  </w:style>
  <w:style w:type="character" w:styleId="1408" w:customStyle="1">
    <w:name w:val="WW8Num4z1"/>
    <w:pPr>
      <w:pBdr/>
      <w:spacing/>
      <w:ind/>
    </w:pPr>
    <w:rPr>
      <w:rFonts w:ascii="Courier New" w:hAnsi="Courier New" w:cs="Courier New"/>
    </w:rPr>
  </w:style>
  <w:style w:type="character" w:styleId="1409" w:customStyle="1">
    <w:name w:val="WW8Num4z2"/>
    <w:pPr>
      <w:pBdr/>
      <w:spacing/>
      <w:ind/>
    </w:pPr>
    <w:rPr>
      <w:rFonts w:ascii="Wingdings" w:hAnsi="Wingdings" w:cs="Wingdings"/>
    </w:rPr>
  </w:style>
  <w:style w:type="character" w:styleId="1410" w:customStyle="1">
    <w:name w:val="WW8Num5z0"/>
    <w:pPr>
      <w:pBdr/>
      <w:spacing/>
      <w:ind/>
    </w:pPr>
    <w:rPr>
      <w:rFonts w:ascii="Symbol" w:hAnsi="Symbol" w:cs="Symbol"/>
    </w:rPr>
  </w:style>
  <w:style w:type="character" w:styleId="1411" w:customStyle="1">
    <w:name w:val="WW8Num7z0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412" w:customStyle="1">
    <w:name w:val="WW8Num7z1"/>
    <w:pPr>
      <w:pBdr/>
      <w:spacing/>
      <w:ind/>
    </w:pPr>
    <w:rPr>
      <w:rFonts w:ascii="Courier New" w:hAnsi="Courier New" w:cs="Courier New"/>
    </w:rPr>
  </w:style>
  <w:style w:type="character" w:styleId="1413" w:customStyle="1">
    <w:name w:val="WW8Num7z2"/>
    <w:pPr>
      <w:pBdr/>
      <w:spacing/>
      <w:ind/>
    </w:pPr>
    <w:rPr>
      <w:rFonts w:ascii="Wingdings" w:hAnsi="Wingdings" w:cs="Wingdings"/>
    </w:rPr>
  </w:style>
  <w:style w:type="character" w:styleId="1414" w:customStyle="1">
    <w:name w:val="WW8Num7z3"/>
    <w:pPr>
      <w:pBdr/>
      <w:spacing/>
      <w:ind/>
    </w:pPr>
    <w:rPr>
      <w:rFonts w:ascii="Symbol" w:hAnsi="Symbol" w:cs="Symbol"/>
    </w:rPr>
  </w:style>
  <w:style w:type="character" w:styleId="1415" w:customStyle="1">
    <w:name w:val="WW8Num8z0"/>
    <w:pPr>
      <w:pBdr/>
      <w:spacing/>
      <w:ind/>
    </w:pPr>
    <w:rPr>
      <w:rFonts w:ascii="Symbol" w:hAnsi="Symbol" w:cs="Symbol"/>
    </w:rPr>
  </w:style>
  <w:style w:type="character" w:styleId="1416" w:customStyle="1">
    <w:name w:val="WW8Num9z0"/>
    <w:pPr>
      <w:pBdr/>
      <w:spacing/>
      <w:ind/>
    </w:pPr>
    <w:rPr>
      <w:rFonts w:ascii="Symbol" w:hAnsi="Symbol" w:cs="Symbol"/>
    </w:rPr>
  </w:style>
  <w:style w:type="character" w:styleId="1417" w:customStyle="1">
    <w:name w:val="WW8Num9z1"/>
    <w:pPr>
      <w:pBdr/>
      <w:spacing/>
      <w:ind/>
    </w:pPr>
    <w:rPr>
      <w:rFonts w:ascii="Courier New" w:hAnsi="Courier New" w:cs="Courier New"/>
    </w:rPr>
  </w:style>
  <w:style w:type="character" w:styleId="1418" w:customStyle="1">
    <w:name w:val="WW8Num9z2"/>
    <w:pPr>
      <w:pBdr/>
      <w:spacing/>
      <w:ind/>
    </w:pPr>
    <w:rPr>
      <w:rFonts w:ascii="Wingdings" w:hAnsi="Wingdings" w:cs="Wingdings"/>
    </w:rPr>
  </w:style>
  <w:style w:type="character" w:styleId="1419" w:customStyle="1">
    <w:name w:val="WW8Num10z0"/>
    <w:pPr>
      <w:pBdr/>
      <w:spacing/>
      <w:ind/>
    </w:pPr>
  </w:style>
  <w:style w:type="character" w:styleId="1420" w:customStyle="1">
    <w:name w:val="WW8Num11z0"/>
    <w:pPr>
      <w:pBdr/>
      <w:spacing/>
      <w:ind/>
    </w:pPr>
  </w:style>
  <w:style w:type="character" w:styleId="1421" w:customStyle="1">
    <w:name w:val="WW8Num12z0"/>
    <w:pPr>
      <w:pBdr/>
      <w:spacing/>
      <w:ind/>
    </w:pPr>
    <w:rPr>
      <w:rFonts w:ascii="Symbol" w:hAnsi="Symbol" w:cs="Symbol"/>
    </w:rPr>
  </w:style>
  <w:style w:type="character" w:styleId="1422" w:customStyle="1">
    <w:name w:val="WW8Num14z0"/>
    <w:pPr>
      <w:pBdr/>
      <w:spacing/>
      <w:ind/>
    </w:pPr>
  </w:style>
  <w:style w:type="character" w:styleId="1423" w:customStyle="1">
    <w:name w:val="WW8Num16z0"/>
    <w:pPr>
      <w:pBdr/>
      <w:spacing/>
      <w:ind/>
    </w:pPr>
    <w:rPr>
      <w:rFonts w:ascii="Symbol" w:hAnsi="Symbol" w:cs="Symbol"/>
    </w:rPr>
  </w:style>
  <w:style w:type="character" w:styleId="1424" w:customStyle="1">
    <w:name w:val="WW8Num16z1"/>
    <w:pPr>
      <w:pBdr/>
      <w:spacing/>
      <w:ind/>
    </w:pPr>
    <w:rPr>
      <w:rFonts w:ascii="Courier New" w:hAnsi="Courier New" w:cs="Courier New"/>
    </w:rPr>
  </w:style>
  <w:style w:type="character" w:styleId="1425" w:customStyle="1">
    <w:name w:val="WW8Num16z2"/>
    <w:pPr>
      <w:pBdr/>
      <w:spacing/>
      <w:ind/>
    </w:pPr>
    <w:rPr>
      <w:rFonts w:ascii="Wingdings" w:hAnsi="Wingdings" w:cs="Wingdings"/>
    </w:rPr>
  </w:style>
  <w:style w:type="character" w:styleId="1426" w:customStyle="1">
    <w:name w:val="WW8Num17z0"/>
    <w:pPr>
      <w:pBdr/>
      <w:spacing/>
      <w:ind/>
    </w:pPr>
  </w:style>
  <w:style w:type="character" w:styleId="1427" w:customStyle="1">
    <w:name w:val="WW8Num18z0"/>
    <w:pPr>
      <w:pBdr/>
      <w:spacing/>
      <w:ind/>
    </w:pPr>
  </w:style>
  <w:style w:type="character" w:styleId="1428" w:customStyle="1">
    <w:name w:val="WW8Num20z0"/>
    <w:pPr>
      <w:pBdr/>
      <w:spacing/>
      <w:ind/>
    </w:pPr>
  </w:style>
  <w:style w:type="character" w:styleId="1429" w:customStyle="1">
    <w:name w:val="WW8Num21z0"/>
    <w:pPr>
      <w:pBdr/>
      <w:spacing/>
      <w:ind/>
    </w:pPr>
    <w:rPr>
      <w:rFonts w:ascii="Symbol" w:hAnsi="Symbol" w:cs="Symbol"/>
    </w:rPr>
  </w:style>
  <w:style w:type="character" w:styleId="1430" w:customStyle="1">
    <w:name w:val="WW8Num23z0"/>
    <w:pPr>
      <w:pBdr/>
      <w:spacing/>
      <w:ind/>
    </w:pPr>
  </w:style>
  <w:style w:type="character" w:styleId="1431" w:customStyle="1">
    <w:name w:val="WW8Num25z0"/>
    <w:pPr>
      <w:pBdr/>
      <w:spacing/>
      <w:ind/>
    </w:pPr>
  </w:style>
  <w:style w:type="character" w:styleId="1432" w:customStyle="1">
    <w:name w:val="WW8Num26z0"/>
    <w:pPr>
      <w:pBdr/>
      <w:spacing/>
      <w:ind/>
    </w:pPr>
  </w:style>
  <w:style w:type="character" w:styleId="1433" w:customStyle="1">
    <w:name w:val="WW8Num27z0"/>
    <w:pPr>
      <w:pBdr/>
      <w:spacing/>
      <w:ind/>
    </w:pPr>
    <w:rPr>
      <w:rFonts w:ascii="Symbol" w:hAnsi="Symbol" w:cs="Symbol"/>
    </w:rPr>
  </w:style>
  <w:style w:type="character" w:styleId="1434" w:customStyle="1">
    <w:name w:val="WW8Num28z0"/>
    <w:pPr>
      <w:pBdr/>
      <w:spacing/>
      <w:ind/>
    </w:pPr>
  </w:style>
  <w:style w:type="character" w:styleId="1435" w:customStyle="1">
    <w:name w:val="WW8Num30z0"/>
    <w:pPr>
      <w:pBdr/>
      <w:spacing/>
      <w:ind/>
    </w:pPr>
  </w:style>
  <w:style w:type="character" w:styleId="1436" w:customStyle="1">
    <w:name w:val="WW8Num31z0"/>
    <w:pPr>
      <w:pBdr/>
      <w:spacing/>
      <w:ind/>
    </w:pPr>
  </w:style>
  <w:style w:type="character" w:styleId="1437" w:customStyle="1">
    <w:name w:val="WW8Num32z0"/>
    <w:pPr>
      <w:pBdr/>
      <w:spacing/>
      <w:ind/>
    </w:pPr>
    <w:rPr>
      <w:rFonts w:ascii="Symbol" w:hAnsi="Symbol" w:cs="Symbol"/>
    </w:rPr>
  </w:style>
  <w:style w:type="character" w:styleId="1438" w:customStyle="1">
    <w:name w:val="WW8Num33z0"/>
    <w:pPr>
      <w:pBdr/>
      <w:spacing/>
      <w:ind/>
    </w:pPr>
  </w:style>
  <w:style w:type="character" w:styleId="1439" w:customStyle="1">
    <w:name w:val="WW8Num34z0"/>
    <w:pPr>
      <w:pBdr/>
      <w:spacing/>
      <w:ind/>
    </w:pPr>
  </w:style>
  <w:style w:type="character" w:styleId="1440" w:customStyle="1">
    <w:name w:val="WW8Num35z0"/>
    <w:pPr>
      <w:pBdr/>
      <w:spacing/>
      <w:ind/>
    </w:pPr>
  </w:style>
  <w:style w:type="character" w:styleId="1441" w:customStyle="1">
    <w:name w:val="WW8NumSt21z0"/>
    <w:pPr>
      <w:pBdr/>
      <w:spacing/>
      <w:ind/>
    </w:pPr>
    <w:rPr>
      <w:rFonts w:ascii="Arial" w:hAnsi="Arial" w:cs="Arial"/>
      <w:sz w:val="20"/>
    </w:rPr>
  </w:style>
  <w:style w:type="character" w:styleId="1442" w:customStyle="1">
    <w:name w:val="Fonte parág. padrão"/>
    <w:pPr>
      <w:pBdr/>
      <w:spacing/>
      <w:ind/>
    </w:pPr>
  </w:style>
  <w:style w:type="character" w:styleId="1443" w:customStyle="1">
    <w:name w:val="MemberType"/>
    <w:pPr>
      <w:pBdr/>
      <w:spacing/>
      <w:ind/>
    </w:pPr>
    <w:rPr>
      <w:rFonts w:ascii="Times New Roman" w:hAnsi="Times New Roman" w:cs="Times New Roman"/>
      <w:i/>
      <w:sz w:val="22"/>
    </w:rPr>
  </w:style>
  <w:style w:type="character" w:styleId="1444" w:customStyle="1">
    <w:name w:val="Caracteres de nota de rodapé"/>
    <w:pPr>
      <w:pBdr/>
      <w:spacing/>
      <w:ind/>
    </w:pPr>
    <w:rPr>
      <w:vertAlign w:val="superscript"/>
    </w:rPr>
  </w:style>
  <w:style w:type="character" w:styleId="1445" w:customStyle="1">
    <w:name w:val="Cabeçalho Char"/>
    <w:pPr>
      <w:pBdr/>
      <w:spacing/>
      <w:ind/>
    </w:pPr>
    <w:rPr>
      <w:lang w:val="en-US"/>
    </w:rPr>
  </w:style>
  <w:style w:type="character" w:styleId="1446" w:customStyle="1">
    <w:name w:val="Rodapé Char"/>
    <w:pPr>
      <w:pBdr/>
      <w:spacing/>
      <w:ind/>
    </w:pPr>
    <w:rPr>
      <w:lang w:val="en-US"/>
    </w:rPr>
  </w:style>
  <w:style w:type="character" w:styleId="1447">
    <w:name w:val="Hyperlink"/>
    <w:pPr>
      <w:pBdr/>
      <w:spacing/>
      <w:ind/>
    </w:pPr>
    <w:rPr>
      <w:color w:val="0000ff"/>
    </w:rPr>
  </w:style>
  <w:style w:type="character" w:styleId="1448">
    <w:name w:val="FollowedHyperlink"/>
    <w:pPr>
      <w:pBdr/>
      <w:spacing/>
      <w:ind/>
    </w:pPr>
    <w:rPr>
      <w:color w:val="800080"/>
    </w:rPr>
  </w:style>
  <w:style w:type="character" w:styleId="1449">
    <w:name w:val="page number"/>
    <w:basedOn w:val="1442"/>
    <w:pPr>
      <w:pBdr/>
      <w:spacing/>
      <w:ind/>
    </w:pPr>
  </w:style>
  <w:style w:type="character" w:styleId="1450">
    <w:name w:val="Strong"/>
    <w:pPr>
      <w:pBdr/>
      <w:spacing/>
      <w:ind/>
    </w:pPr>
    <w:rPr>
      <w:b/>
    </w:rPr>
  </w:style>
  <w:style w:type="character" w:styleId="1451" w:customStyle="1">
    <w:name w:val="Ref. de comentário"/>
    <w:pPr>
      <w:pBdr/>
      <w:spacing/>
      <w:ind/>
    </w:pPr>
    <w:rPr>
      <w:sz w:val="16"/>
      <w:szCs w:val="16"/>
    </w:rPr>
  </w:style>
  <w:style w:type="character" w:styleId="1452" w:customStyle="1">
    <w:name w:val="Texto de balão Char"/>
    <w:pPr>
      <w:pBdr/>
      <w:spacing/>
      <w:ind/>
    </w:pPr>
    <w:rPr>
      <w:rFonts w:ascii="Tahoma" w:hAnsi="Tahoma" w:cs="Tahoma"/>
      <w:sz w:val="16"/>
      <w:szCs w:val="16"/>
      <w:lang w:val="en-US"/>
    </w:rPr>
  </w:style>
  <w:style w:type="character" w:styleId="1453" w:customStyle="1">
    <w:name w:val="Título 3 Char"/>
    <w:pPr>
      <w:pBdr/>
      <w:spacing/>
      <w:ind/>
    </w:pPr>
    <w:rPr>
      <w:b/>
      <w:caps/>
      <w:sz w:val="24"/>
      <w:lang w:val="en-US" w:bidi="ar-SA"/>
    </w:rPr>
  </w:style>
  <w:style w:type="character" w:styleId="1454">
    <w:name w:val="Emphasis"/>
    <w:pPr>
      <w:pBdr/>
      <w:spacing/>
      <w:ind/>
    </w:pPr>
    <w:rPr>
      <w:i/>
      <w:iCs/>
    </w:rPr>
  </w:style>
  <w:style w:type="character" w:styleId="1455" w:customStyle="1">
    <w:name w:val="style91"/>
    <w:pPr>
      <w:pBdr/>
      <w:spacing/>
      <w:ind/>
    </w:pPr>
    <w:rPr>
      <w:b/>
      <w:bCs/>
      <w:i/>
      <w:iCs/>
      <w:color w:val="660000"/>
    </w:rPr>
  </w:style>
  <w:style w:type="character" w:styleId="1456" w:customStyle="1">
    <w:name w:val="Recuo de corpo de texto 3 Char"/>
    <w:pPr>
      <w:pBdr/>
      <w:spacing/>
      <w:ind/>
    </w:pPr>
    <w:rPr>
      <w:sz w:val="16"/>
      <w:szCs w:val="16"/>
      <w:lang w:val="en-US"/>
    </w:rPr>
  </w:style>
  <w:style w:type="character" w:styleId="1457" w:customStyle="1">
    <w:name w:val="Título Char"/>
    <w:pPr>
      <w:pBdr/>
      <w:spacing/>
      <w:ind/>
    </w:pPr>
    <w:rPr>
      <w:sz w:val="48"/>
      <w:lang w:val="en-US"/>
    </w:rPr>
  </w:style>
  <w:style w:type="character" w:styleId="1458" w:customStyle="1">
    <w:name w:val="Recuo de corpo de texto Char"/>
    <w:pPr>
      <w:pBdr/>
      <w:spacing/>
      <w:ind/>
    </w:pPr>
    <w:rPr>
      <w:sz w:val="16"/>
      <w:lang w:val="en-US"/>
    </w:rPr>
  </w:style>
  <w:style w:type="paragraph" w:styleId="1459" w:customStyle="1">
    <w:name w:val="Título"/>
    <w:basedOn w:val="1225"/>
    <w:next w:val="1225"/>
    <w:pPr>
      <w:pBdr/>
      <w:spacing/>
      <w:ind/>
      <w:jc w:val="center"/>
    </w:pPr>
    <w:rPr>
      <w:sz w:val="48"/>
    </w:rPr>
  </w:style>
  <w:style w:type="paragraph" w:styleId="1460">
    <w:name w:val="Body Text"/>
    <w:basedOn w:val="1225"/>
    <w:pPr>
      <w:pBdr/>
      <w:spacing/>
      <w:ind/>
      <w:jc w:val="both"/>
    </w:pPr>
  </w:style>
  <w:style w:type="paragraph" w:styleId="1461">
    <w:name w:val="List"/>
    <w:basedOn w:val="1460"/>
    <w:pPr>
      <w:pBdr/>
      <w:spacing/>
      <w:ind/>
    </w:pPr>
    <w:rPr>
      <w:rFonts w:cs="Arial"/>
    </w:rPr>
  </w:style>
  <w:style w:type="paragraph" w:styleId="1462">
    <w:name w:val="Caption"/>
    <w:basedOn w:val="1225"/>
    <w:next w:val="1225"/>
    <w:pPr>
      <w:pBdr/>
      <w:spacing/>
      <w:ind/>
    </w:pPr>
    <w:rPr>
      <w:b/>
      <w:bCs/>
    </w:rPr>
  </w:style>
  <w:style w:type="paragraph" w:styleId="1463" w:customStyle="1">
    <w:name w:val="Índice"/>
    <w:basedOn w:val="1225"/>
    <w:pPr>
      <w:suppressLineNumbers w:val="true"/>
      <w:pBdr/>
      <w:spacing/>
      <w:ind/>
    </w:pPr>
    <w:rPr>
      <w:rFonts w:cs="Arial"/>
    </w:rPr>
  </w:style>
  <w:style w:type="paragraph" w:styleId="1464" w:customStyle="1">
    <w:name w:val="Abstract"/>
    <w:basedOn w:val="1225"/>
    <w:next w:val="1225"/>
    <w:pPr>
      <w:pBdr/>
      <w:spacing w:before="20"/>
      <w:ind w:firstLine="240"/>
      <w:jc w:val="both"/>
    </w:pPr>
    <w:rPr>
      <w:b/>
      <w:sz w:val="18"/>
    </w:rPr>
  </w:style>
  <w:style w:type="paragraph" w:styleId="1465" w:customStyle="1">
    <w:name w:val="Authors"/>
    <w:basedOn w:val="1225"/>
    <w:next w:val="1225"/>
    <w:pPr>
      <w:pBdr/>
      <w:spacing w:after="320"/>
      <w:ind/>
      <w:jc w:val="center"/>
    </w:pPr>
    <w:rPr>
      <w:sz w:val="22"/>
    </w:rPr>
  </w:style>
  <w:style w:type="paragraph" w:styleId="1466">
    <w:name w:val="footnote text"/>
    <w:basedOn w:val="1225"/>
    <w:link w:val="1390"/>
    <w:pPr>
      <w:pBdr/>
      <w:spacing/>
      <w:ind w:firstLine="240"/>
      <w:jc w:val="both"/>
    </w:pPr>
    <w:rPr>
      <w:sz w:val="16"/>
    </w:rPr>
  </w:style>
  <w:style w:type="paragraph" w:styleId="1467" w:customStyle="1">
    <w:name w:val="Numerada"/>
    <w:basedOn w:val="1225"/>
    <w:pPr>
      <w:numPr>
        <w:numId w:val="7"/>
      </w:numPr>
      <w:pBdr/>
      <w:spacing/>
      <w:ind/>
    </w:pPr>
  </w:style>
  <w:style w:type="paragraph" w:styleId="1468" w:customStyle="1">
    <w:name w:val="References"/>
    <w:basedOn w:val="1467"/>
    <w:pPr>
      <w:numPr>
        <w:numId w:val="6"/>
      </w:numPr>
      <w:pBdr/>
      <w:spacing/>
      <w:ind/>
      <w:jc w:val="both"/>
    </w:pPr>
    <w:rPr>
      <w:sz w:val="16"/>
    </w:rPr>
  </w:style>
  <w:style w:type="paragraph" w:styleId="1469" w:customStyle="1">
    <w:name w:val="IndexTerms"/>
    <w:basedOn w:val="1225"/>
    <w:next w:val="1225"/>
    <w:pPr>
      <w:pBdr/>
      <w:spacing/>
      <w:ind w:firstLine="240"/>
      <w:jc w:val="both"/>
    </w:pPr>
    <w:rPr>
      <w:b/>
      <w:sz w:val="18"/>
    </w:rPr>
  </w:style>
  <w:style w:type="paragraph" w:styleId="1470" w:customStyle="1">
    <w:name w:val="Theorem"/>
    <w:basedOn w:val="1228"/>
    <w:pPr>
      <w:numPr>
        <w:numId w:val="8"/>
      </w:numPr>
      <w:pBdr/>
      <w:spacing/>
      <w:ind/>
      <w:outlineLvl w:val="9"/>
    </w:pPr>
  </w:style>
  <w:style w:type="paragraph" w:styleId="1471" w:customStyle="1">
    <w:name w:val="Lemma"/>
    <w:basedOn w:val="1228"/>
    <w:pPr>
      <w:numPr>
        <w:numId w:val="9"/>
      </w:numPr>
      <w:pBdr/>
      <w:spacing/>
      <w:ind/>
      <w:outlineLvl w:val="9"/>
    </w:pPr>
  </w:style>
  <w:style w:type="paragraph" w:styleId="1472" w:customStyle="1">
    <w:name w:val="Cabeçalho e rodapé"/>
    <w:basedOn w:val="1225"/>
    <w:pPr>
      <w:suppressLineNumbers w:val="true"/>
      <w:pBdr/>
      <w:tabs>
        <w:tab w:val="center" w:leader="none" w:pos="4819"/>
        <w:tab w:val="right" w:leader="none" w:pos="9638"/>
      </w:tabs>
      <w:spacing/>
      <w:ind/>
    </w:pPr>
  </w:style>
  <w:style w:type="paragraph" w:styleId="1473">
    <w:name w:val="Header"/>
    <w:basedOn w:val="1225"/>
    <w:link w:val="1388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474">
    <w:name w:val="Footer"/>
    <w:basedOn w:val="1225"/>
    <w:link w:val="1389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475">
    <w:name w:val="Body Text Indent"/>
    <w:basedOn w:val="1225"/>
    <w:pPr>
      <w:pBdr/>
      <w:tabs>
        <w:tab w:val="left" w:leader="none" w:pos="-720"/>
        <w:tab w:val="left" w:leader="none" w:pos="0"/>
        <w:tab w:val="left" w:leader="none" w:pos="216"/>
        <w:tab w:val="left" w:leader="none" w:pos="360"/>
        <w:tab w:val="left" w:leader="none" w:pos="844"/>
        <w:tab w:val="left" w:leader="none" w:pos="1440"/>
        <w:tab w:val="left" w:leader="none" w:pos="2160"/>
        <w:tab w:val="left" w:leader="none" w:pos="2880"/>
        <w:tab w:val="left" w:leader="none" w:pos="3456"/>
        <w:tab w:val="left" w:leader="none" w:pos="430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</w:tabs>
      <w:spacing w:line="226" w:lineRule="auto"/>
      <w:ind w:firstLine="216"/>
      <w:jc w:val="both"/>
    </w:pPr>
    <w:rPr>
      <w:sz w:val="16"/>
    </w:rPr>
  </w:style>
  <w:style w:type="paragraph" w:styleId="1476" w:customStyle="1">
    <w:name w:val="Text"/>
    <w:basedOn w:val="1225"/>
    <w:pPr>
      <w:widowControl w:val="false"/>
      <w:pBdr/>
      <w:spacing w:line="252" w:lineRule="auto"/>
      <w:ind w:firstLine="240"/>
      <w:jc w:val="both"/>
    </w:pPr>
  </w:style>
  <w:style w:type="paragraph" w:styleId="1477" w:customStyle="1">
    <w:name w:val="Figure Caption"/>
    <w:basedOn w:val="1225"/>
    <w:pPr>
      <w:pBdr/>
      <w:spacing/>
      <w:ind/>
      <w:jc w:val="both"/>
    </w:pPr>
    <w:rPr>
      <w:sz w:val="16"/>
    </w:rPr>
  </w:style>
  <w:style w:type="paragraph" w:styleId="1478" w:customStyle="1">
    <w:name w:val="Table Title"/>
    <w:basedOn w:val="1225"/>
    <w:pPr>
      <w:pBdr/>
      <w:spacing/>
      <w:ind/>
      <w:jc w:val="center"/>
    </w:pPr>
    <w:rPr>
      <w:smallCaps/>
      <w:sz w:val="16"/>
    </w:rPr>
  </w:style>
  <w:style w:type="paragraph" w:styleId="1479" w:customStyle="1">
    <w:name w:val="Texto sem Formatação"/>
    <w:basedOn w:val="1225"/>
    <w:pPr>
      <w:pBdr/>
      <w:spacing/>
      <w:ind/>
    </w:pPr>
    <w:rPr>
      <w:rFonts w:ascii="Courier New" w:hAnsi="Courier New" w:cs="Courier New"/>
    </w:rPr>
  </w:style>
  <w:style w:type="paragraph" w:styleId="1480" w:customStyle="1">
    <w:name w:val="Biography"/>
    <w:basedOn w:val="1479"/>
    <w:pPr>
      <w:pBdr/>
      <w:spacing w:before="240"/>
      <w:ind/>
      <w:jc w:val="both"/>
    </w:pPr>
    <w:rPr>
      <w:rFonts w:ascii="Times New Roman" w:hAnsi="Times New Roman" w:cs="Times New Roman"/>
      <w:sz w:val="16"/>
    </w:rPr>
  </w:style>
  <w:style w:type="paragraph" w:styleId="1481" w:customStyle="1">
    <w:name w:val="Biography Body"/>
    <w:basedOn w:val="1480"/>
    <w:pPr>
      <w:pBdr/>
      <w:spacing w:before="0"/>
      <w:ind w:firstLine="240"/>
    </w:pPr>
  </w:style>
  <w:style w:type="paragraph" w:styleId="1482" w:customStyle="1">
    <w:name w:val="Corpo de texto 2"/>
    <w:basedOn w:val="1225"/>
    <w:pPr>
      <w:widowControl w:val="false"/>
      <w:pBdr/>
      <w:spacing/>
      <w:ind/>
      <w:jc w:val="both"/>
    </w:pPr>
    <w:rPr>
      <w:rFonts w:ascii="Arial" w:hAnsi="Arial" w:cs="Arial"/>
    </w:rPr>
  </w:style>
  <w:style w:type="paragraph" w:styleId="1483" w:customStyle="1">
    <w:name w:val="Texto de comentário"/>
    <w:basedOn w:val="1225"/>
    <w:pPr>
      <w:pBdr/>
      <w:spacing/>
      <w:ind/>
    </w:pPr>
  </w:style>
  <w:style w:type="paragraph" w:styleId="1484" w:customStyle="1">
    <w:name w:val="Texto de balão"/>
    <w:basedOn w:val="1225"/>
    <w:pPr>
      <w:pBdr/>
      <w:spacing/>
      <w:ind/>
    </w:pPr>
    <w:rPr>
      <w:rFonts w:ascii="Tahoma" w:hAnsi="Tahoma" w:cs="Tahoma"/>
      <w:sz w:val="16"/>
      <w:szCs w:val="16"/>
    </w:rPr>
  </w:style>
  <w:style w:type="paragraph" w:styleId="1485" w:customStyle="1">
    <w:name w:val="IEEE Body Text"/>
    <w:basedOn w:val="1225"/>
    <w:pPr>
      <w:pBdr/>
      <w:tabs>
        <w:tab w:val="left" w:leader="none" w:pos="4536"/>
      </w:tabs>
      <w:spacing/>
      <w:ind w:firstLine="238"/>
      <w:jc w:val="both"/>
    </w:pPr>
  </w:style>
  <w:style w:type="paragraph" w:styleId="1486">
    <w:name w:val="Normal (Web)"/>
    <w:basedOn w:val="1225"/>
    <w:pPr>
      <w:pBdr/>
      <w:spacing w:after="100" w:before="100"/>
      <w:ind/>
    </w:pPr>
    <w:rPr>
      <w:color w:val="000000"/>
      <w:sz w:val="24"/>
      <w:szCs w:val="24"/>
      <w:lang w:val="es-ES"/>
    </w:rPr>
  </w:style>
  <w:style w:type="paragraph" w:styleId="1487" w:customStyle="1">
    <w:name w:val="Legenda2"/>
    <w:basedOn w:val="1225"/>
    <w:next w:val="1225"/>
    <w:pPr>
      <w:pBdr/>
      <w:tabs>
        <w:tab w:val="left" w:leader="none" w:pos="720"/>
      </w:tabs>
      <w:spacing/>
      <w:ind/>
      <w:jc w:val="center"/>
    </w:pPr>
    <w:rPr>
      <w:bCs/>
      <w:sz w:val="24"/>
      <w:lang w:val="pt-BR"/>
    </w:rPr>
  </w:style>
  <w:style w:type="paragraph" w:styleId="1488" w:customStyle="1">
    <w:name w:val="Recuo de corpo de texto 3"/>
    <w:basedOn w:val="1225"/>
    <w:pPr>
      <w:pBdr/>
      <w:spacing w:after="120"/>
      <w:ind w:left="283"/>
    </w:pPr>
    <w:rPr>
      <w:sz w:val="16"/>
      <w:szCs w:val="16"/>
    </w:rPr>
  </w:style>
  <w:style w:type="paragraph" w:styleId="1489" w:customStyle="1">
    <w:name w:val="Reference Head"/>
    <w:basedOn w:val="1226"/>
    <w:pPr>
      <w:numPr>
        <w:numId w:val="0"/>
      </w:numPr>
      <w:pBdr/>
      <w:spacing/>
      <w:ind/>
    </w:pPr>
  </w:style>
  <w:style w:type="paragraph" w:styleId="1490" w:customStyle="1">
    <w:name w:val="Conteúdo do quadro"/>
    <w:basedOn w:val="1225"/>
    <w:pPr>
      <w:pBdr/>
      <w:spacing/>
      <w:ind/>
    </w:pPr>
  </w:style>
  <w:style w:type="paragraph" w:styleId="1491" w:customStyle="1">
    <w:name w:val="Conteúdo da tabela"/>
    <w:basedOn w:val="1225"/>
    <w:pPr>
      <w:widowControl w:val="false"/>
      <w:suppressLineNumbers w:val="true"/>
      <w:pBdr/>
      <w:spacing/>
      <w:ind/>
    </w:pPr>
  </w:style>
  <w:style w:type="paragraph" w:styleId="1492" w:customStyle="1">
    <w:name w:val="Título de tabela"/>
    <w:basedOn w:val="1491"/>
    <w:pPr>
      <w:pBdr/>
      <w:spacing/>
      <w:ind/>
      <w:jc w:val="center"/>
    </w:pPr>
    <w:rPr>
      <w:b/>
      <w:bCs/>
    </w:rPr>
  </w:style>
  <w:style w:type="paragraph" w:styleId="1493" w:customStyle="1">
    <w:name w:val="Título 2"/>
    <w:qFormat/>
    <w:pPr>
      <w:keepNext w:val="true"/>
      <w:numPr>
        <w:numId w:val="38"/>
      </w:num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pacing w:after="80" w:before="240"/>
      <w:ind w:firstLine="0" w:left="0"/>
      <w:outlineLvl w:val="1"/>
    </w:pPr>
    <w:rPr>
      <w:b/>
      <w:color w:val="002060"/>
      <w:sz w:val="28"/>
      <w:lang w:val="en-US" w:eastAsia="en-US"/>
    </w:rPr>
  </w:style>
  <w:style w:type="character" w:styleId="1494">
    <w:name w:val="Unresolved Mention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footer" Target="footer1.xml" /><Relationship Id="rId18" Type="http://schemas.openxmlformats.org/officeDocument/2006/relationships/footer" Target="footer2.xml" /><Relationship Id="rId19" Type="http://schemas.openxmlformats.org/officeDocument/2006/relationships/footer" Target="footer3.xml" /><Relationship Id="rId20" Type="http://schemas.openxmlformats.org/officeDocument/2006/relationships/footer" Target="footer4.xml" /><Relationship Id="rId21" Type="http://schemas.openxmlformats.org/officeDocument/2006/relationships/footer" Target="footer5.xml" /><Relationship Id="rId22" Type="http://schemas.openxmlformats.org/officeDocument/2006/relationships/customXml" Target="../customXml/item1.xml" /><Relationship Id="rId23" Type="http://schemas.openxmlformats.org/officeDocument/2006/relationships/image" Target="media/image2.png"/><Relationship Id="rId24" Type="http://schemas.openxmlformats.org/officeDocument/2006/relationships/image" Target="media/image3.png"/><Relationship Id="rId25" Type="http://schemas.openxmlformats.org/officeDocument/2006/relationships/image" Target="media/image4.png"/><Relationship Id="rId26" Type="http://schemas.openxmlformats.org/officeDocument/2006/relationships/image" Target="media/image5.png"/><Relationship Id="rId27" Type="http://schemas.openxmlformats.org/officeDocument/2006/relationships/image" Target="media/image6.png"/><Relationship Id="rId28" Type="http://schemas.openxmlformats.org/officeDocument/2006/relationships/image" Target="media/image7.png"/><Relationship Id="rId29" Type="http://schemas.openxmlformats.org/officeDocument/2006/relationships/hyperlink" Target="https://duckdb.org/docs/" TargetMode="External"/><Relationship Id="rId30" Type="http://schemas.openxmlformats.org/officeDocument/2006/relationships/hyperlink" Target="https://pandas.pydata.org/docs/" TargetMode="External"/><Relationship Id="rId31" Type="http://schemas.openxmlformats.org/officeDocument/2006/relationships/hyperlink" Target="https://plotly.com/python/" TargetMode="External"/><Relationship Id="rId32" Type="http://schemas.openxmlformats.org/officeDocument/2006/relationships/hyperlink" Target="https://docs.streamlit.io/" TargetMode="External"/><Relationship Id="rId33" Type="http://schemas.openxmlformats.org/officeDocument/2006/relationships/hyperlink" Target="https://pypi.org/project/yfinance/" TargetMode="External"/><Relationship Id="rId34" Type="http://schemas.openxmlformats.org/officeDocument/2006/relationships/hyperlink" Target="https://www.napkin.ai/" TargetMode="External"/><Relationship Id="rId35" Type="http://schemas.openxmlformats.org/officeDocument/2006/relationships/hyperlink" Target="https://code.visualstudio.com/docs" TargetMode="External"/><Relationship Id="rId36" Type="http://schemas.openxmlformats.org/officeDocument/2006/relationships/hyperlink" Target="https://github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97A4EE-D027-4DDC-8280-16CEF89F4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creator>Luiz</dc:creator>
  <cp:revision>24</cp:revision>
  <dcterms:created xsi:type="dcterms:W3CDTF">2020-04-17T01:24:00Z</dcterms:created>
  <dcterms:modified xsi:type="dcterms:W3CDTF">2025-10-08T16:51:22Z</dcterms:modified>
</cp:coreProperties>
</file>