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plano-estratégico---produtos-pf"/>
    <w:p>
      <w:pPr>
        <w:pStyle w:val="Heading1"/>
      </w:pPr>
      <w:r>
        <w:t xml:space="preserve">PLANO ESTRATÉGICO - PRODUTOS PF</w:t>
      </w:r>
    </w:p>
    <w:bookmarkStart w:id="20" w:name="Xc1fb41e4f6032f5bc9600b820274c3d0926568e"/>
    <w:p>
      <w:pPr>
        <w:pStyle w:val="Heading2"/>
      </w:pPr>
      <w:r>
        <w:t xml:space="preserve">Projeto Integrador – Estratégia Pessoa Física</w:t>
      </w:r>
    </w:p>
    <w:p>
      <w:pPr>
        <w:pStyle w:val="FirstParagraph"/>
      </w:pPr>
      <w:r>
        <w:rPr>
          <w:bCs/>
          <w:b/>
        </w:rPr>
        <w:t xml:space="preserve">Head de Produtos PF</w:t>
      </w:r>
      <w:r>
        <w:br/>
      </w:r>
      <w:r>
        <w:rPr>
          <w:bCs/>
          <w:b/>
        </w:rPr>
        <w:t xml:space="preserve">Banco Médio Brasileiro</w:t>
      </w:r>
    </w:p>
    <w:p>
      <w:r>
        <w:pict>
          <v:rect style="width:0;height:1.5pt" o:hralign="center" o:hrstd="t" o:hr="t"/>
        </w:pict>
      </w:r>
    </w:p>
    <w:bookmarkEnd w:id="20"/>
    <w:bookmarkStart w:id="21" w:name="sumário-executivo"/>
    <w:p>
      <w:pPr>
        <w:pStyle w:val="Heading2"/>
      </w:pPr>
      <w:r>
        <w:t xml:space="preserve">SUMÁRIO EXECUTIVO</w:t>
      </w:r>
    </w:p>
    <w:p>
      <w:pPr>
        <w:pStyle w:val="FirstParagraph"/>
      </w:pPr>
      <w:r>
        <w:t xml:space="preserve">Este plano estratégico visa crescimento sustentável de R$ 1,0 bi na carteira PF, com foco 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Produto líder</w:t>
      </w:r>
      <w:r>
        <w:t xml:space="preserve">: Crédito Consignado (75% do crescimento)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Estratégia de captura</w:t>
      </w:r>
      <w:r>
        <w:t xml:space="preserve">: Spread competitivo + cross-sell de seguros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Funding</w:t>
      </w:r>
      <w:r>
        <w:t xml:space="preserve">: Mix CDB (60%) + DPGE2 (40%)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NPD</w:t>
      </w:r>
      <w:r>
        <w:t xml:space="preserve">: Antecipação de FGTS Digital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Estruturas</w:t>
      </w:r>
      <w:r>
        <w:t xml:space="preserve">: FIDC para otimização de capital</w:t>
      </w:r>
    </w:p>
    <w:p>
      <w:r>
        <w:pict>
          <v:rect style="width:0;height:1.5pt" o:hralign="center" o:hrstd="t" o:hr="t"/>
        </w:pict>
      </w:r>
    </w:p>
    <w:bookmarkEnd w:id="21"/>
    <w:bookmarkStart w:id="28" w:name="parte-1-estratégia-de-portfólio-pf"/>
    <w:p>
      <w:pPr>
        <w:pStyle w:val="Heading2"/>
      </w:pPr>
      <w:r>
        <w:t xml:space="preserve">PARTE 1 – ESTRATÉGIA DE PORTFÓLIO PF</w:t>
      </w:r>
    </w:p>
    <w:bookmarkStart w:id="22" w:name="produto-líder-de-crescimento"/>
    <w:p>
      <w:pPr>
        <w:pStyle w:val="Heading3"/>
      </w:pPr>
      <w:r>
        <w:t xml:space="preserve">1.1 Produto Líder de Crescimento</w:t>
      </w:r>
    </w:p>
    <w:p>
      <w:pPr>
        <w:pStyle w:val="FirstParagraph"/>
      </w:pPr>
      <w:r>
        <w:rPr>
          <w:bCs/>
          <w:b/>
        </w:rPr>
        <w:t xml:space="preserve">DECISÃO ESTRATÉGICA: CRÉDITO CONSIGNADO</w:t>
      </w:r>
    </w:p>
    <w:p>
      <w:pPr>
        <w:pStyle w:val="BodyText"/>
      </w:pPr>
      <w:r>
        <w:rPr>
          <w:bCs/>
          <w:b/>
        </w:rPr>
        <w:t xml:space="preserve">Justificativa: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Menor risco</w:t>
      </w:r>
      <w:r>
        <w:t xml:space="preserve">: PD de 2,8% vs 9% do crédito pessoal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Margem sustentável</w:t>
      </w:r>
      <w:r>
        <w:t xml:space="preserve">: Menor provisão (EL ~1,7% vs 5,4%)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Escalabilidade</w:t>
      </w:r>
      <w:r>
        <w:t xml:space="preserve">: Parcerias com órgãos públicos e empresas privadas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Funding mais barato</w:t>
      </w:r>
      <w:r>
        <w:t xml:space="preserve">: Menor capital regulatório (RWA ~40% vs 75%)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Crescimento planejado</w:t>
      </w:r>
      <w:r>
        <w:t xml:space="preserve">: R$ 750 mi em consignado + R$ 250 mi em pessoal</w:t>
      </w:r>
    </w:p>
    <w:p>
      <w:pPr>
        <w:pStyle w:val="BodyText"/>
      </w:pPr>
      <w:r>
        <w:rPr>
          <w:bCs/>
          <w:b/>
        </w:rPr>
        <w:t xml:space="preserve">Alocação de crescimento:</w:t>
      </w:r>
    </w:p>
    <w:p>
      <w:pPr>
        <w:pStyle w:val="SourceCode"/>
      </w:pPr>
      <w:r>
        <w:rPr>
          <w:rStyle w:val="VerbatimChar"/>
        </w:rPr>
        <w:t xml:space="preserve">Consignado:     R$ 750 mi (75%) → Carteira final: R$ 2,15 bi</w:t>
      </w:r>
      <w:r>
        <w:br/>
      </w:r>
      <w:r>
        <w:rPr>
          <w:rStyle w:val="VerbatimChar"/>
        </w:rPr>
        <w:t xml:space="preserve">Crédito Pessoal: R$ 250 mi (25%) → Carteira final: R$ 1,15 bi</w:t>
      </w:r>
      <w:r>
        <w:br/>
      </w:r>
      <w:r>
        <w:rPr>
          <w:rStyle w:val="VerbatimChar"/>
        </w:rPr>
        <w:t xml:space="preserve">Total:          R$ 1,0 bi        → Carteira PF:   R$ 3,30 bi</w:t>
      </w:r>
    </w:p>
    <w:bookmarkEnd w:id="22"/>
    <w:bookmarkStart w:id="26" w:name="captura-de-valor"/>
    <w:p>
      <w:pPr>
        <w:pStyle w:val="Heading3"/>
      </w:pPr>
      <w:r>
        <w:t xml:space="preserve">1.2 Captura de Valor</w:t>
      </w:r>
    </w:p>
    <w:bookmarkStart w:id="23" w:name="a-spread"/>
    <w:p>
      <w:pPr>
        <w:pStyle w:val="Heading4"/>
      </w:pPr>
      <w:r>
        <w:t xml:space="preserve">A) Spread</w:t>
      </w:r>
    </w:p>
    <w:p>
      <w:pPr>
        <w:pStyle w:val="FirstParagraph"/>
      </w:pPr>
      <w:r>
        <w:rPr>
          <w:bCs/>
          <w:b/>
        </w:rPr>
        <w:t xml:space="preserve">Consignado:</w:t>
      </w:r>
      <w:r>
        <w:t xml:space="preserve"> </w:t>
      </w:r>
      <w:r>
        <w:t xml:space="preserve">- Taxa atual: 23% a.a.</w:t>
      </w:r>
      <w:r>
        <w:t xml:space="preserve"> </w:t>
      </w:r>
      <w:r>
        <w:t xml:space="preserve">- Taxa competitiva: 21,5% a.a. (redução de 1,5 p.p. para ganho de volume)</w:t>
      </w:r>
      <w:r>
        <w:t xml:space="preserve"> </w:t>
      </w:r>
      <w:r>
        <w:t xml:space="preserve">- Funding: CDI + 0,9% (~14,5% a.a.)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Spread líquido</w:t>
      </w:r>
      <w:r>
        <w:t xml:space="preserve">: ~5,3% após provisões</w:t>
      </w:r>
    </w:p>
    <w:p>
      <w:pPr>
        <w:pStyle w:val="BodyText"/>
      </w:pPr>
      <w:r>
        <w:rPr>
          <w:bCs/>
          <w:b/>
        </w:rPr>
        <w:t xml:space="preserve">Crédito Pessoal:</w:t>
      </w:r>
      <w:r>
        <w:t xml:space="preserve"> </w:t>
      </w:r>
      <w:r>
        <w:t xml:space="preserve">- Taxa atual: 31% a.a.</w:t>
      </w:r>
      <w:r>
        <w:t xml:space="preserve"> </w:t>
      </w:r>
      <w:r>
        <w:t xml:space="preserve">- Manter taxa competitiva: 29,5% a.a.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Spread líquido</w:t>
      </w:r>
      <w:r>
        <w:t xml:space="preserve">: ~18,1% após provisões</w:t>
      </w:r>
    </w:p>
    <w:bookmarkEnd w:id="23"/>
    <w:bookmarkStart w:id="24" w:name="b-fees-receitas-de-tarifas"/>
    <w:p>
      <w:pPr>
        <w:pStyle w:val="Heading4"/>
      </w:pPr>
      <w:r>
        <w:t xml:space="preserve">B) Fees (Receitas de Tarifas)</w:t>
      </w:r>
    </w:p>
    <w:p>
      <w:pPr>
        <w:pStyle w:val="FirstParagraph"/>
      </w:pPr>
      <w:r>
        <w:rPr>
          <w:bCs/>
          <w:b/>
        </w:rPr>
        <w:t xml:space="preserve">Pacote de serviços:</w:t>
      </w:r>
      <w:r>
        <w:t xml:space="preserve"> </w:t>
      </w:r>
      <w:r>
        <w:t xml:space="preserve">- Tarifa de abertura de crédito: 2,5% do valor (cap R$ 500)</w:t>
      </w:r>
      <w:r>
        <w:t xml:space="preserve"> </w:t>
      </w:r>
      <w:r>
        <w:t xml:space="preserve">- Seguro prestamista opt-in: 0,35% a.m. sobre saldo devedor</w:t>
      </w:r>
      <w:r>
        <w:t xml:space="preserve"> </w:t>
      </w:r>
      <w:r>
        <w:t xml:space="preserve">- Portabilidade receptiva: Isenção (captura de clientes)</w:t>
      </w:r>
      <w:r>
        <w:t xml:space="preserve"> </w:t>
      </w:r>
      <w:r>
        <w:t xml:space="preserve">- Antecipação de parcelas: Taxa de 1,8% sobre valor antecipado</w:t>
      </w:r>
    </w:p>
    <w:p>
      <w:pPr>
        <w:pStyle w:val="BodyText"/>
      </w:pPr>
      <w:r>
        <w:rPr>
          <w:bCs/>
          <w:b/>
        </w:rPr>
        <w:t xml:space="preserve">Projeção de receita anualizada:</w:t>
      </w:r>
    </w:p>
    <w:p>
      <w:pPr>
        <w:pStyle w:val="SourceCode"/>
      </w:pPr>
      <w:r>
        <w:rPr>
          <w:rStyle w:val="VerbatimChar"/>
        </w:rPr>
        <w:t xml:space="preserve">TAC (2,5% de R$ 1,0 bi):        R$ 25 mi</w:t>
      </w:r>
      <w:r>
        <w:br/>
      </w:r>
      <w:r>
        <w:rPr>
          <w:rStyle w:val="VerbatimChar"/>
        </w:rPr>
        <w:t xml:space="preserve">Seguros (40% adesão, 0,35% a.m.): R$ 16,8 mi</w:t>
      </w:r>
      <w:r>
        <w:br/>
      </w:r>
      <w:r>
        <w:rPr>
          <w:rStyle w:val="VerbatimChar"/>
        </w:rPr>
        <w:t xml:space="preserve">Total fees:                      R$ 41,8 mi (4,2% do volume)</w:t>
      </w:r>
    </w:p>
    <w:bookmarkEnd w:id="24"/>
    <w:bookmarkStart w:id="25" w:name="c-retenção"/>
    <w:p>
      <w:pPr>
        <w:pStyle w:val="Heading4"/>
      </w:pPr>
      <w:r>
        <w:t xml:space="preserve">C) Retenção</w:t>
      </w:r>
    </w:p>
    <w:p>
      <w:pPr>
        <w:pStyle w:val="FirstParagraph"/>
      </w:pPr>
      <w:r>
        <w:rPr>
          <w:bCs/>
          <w:b/>
        </w:rPr>
        <w:t xml:space="preserve">Estratégias: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Programa de relacionamento</w:t>
      </w:r>
      <w:r>
        <w:t xml:space="preserve">: Cashback de 0,5% em saldo devedor para clientes adimplentes por 12 meses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Portabilidade defensiva</w:t>
      </w:r>
      <w:r>
        <w:t xml:space="preserve">: Match automático de ofertas até -2 p.p. da taxa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Cross-sell digital</w:t>
      </w:r>
      <w:r>
        <w:t xml:space="preserve">: App com antecipação de parcelas e refinanciamento self-service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Renovação automática</w:t>
      </w:r>
      <w:r>
        <w:t xml:space="preserve">: Após 70% de amortização, oferta automática de novo crédito</w:t>
      </w:r>
    </w:p>
    <w:p>
      <w:pPr>
        <w:pStyle w:val="BodyText"/>
      </w:pPr>
      <w:r>
        <w:rPr>
          <w:bCs/>
          <w:b/>
        </w:rPr>
        <w:t xml:space="preserve">Meta de retenção</w:t>
      </w:r>
      <w:r>
        <w:t xml:space="preserve">: 85% ao ano (vs benchmark de 78%)</w:t>
      </w:r>
    </w:p>
    <w:bookmarkEnd w:id="25"/>
    <w:bookmarkEnd w:id="26"/>
    <w:bookmarkStart w:id="27" w:name="kpis-executivos"/>
    <w:p>
      <w:pPr>
        <w:pStyle w:val="Heading3"/>
      </w:pPr>
      <w:r>
        <w:t xml:space="preserve">1.3 KPIs Executivos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0"/>
        <w:gridCol w:w="1549"/>
        <w:gridCol w:w="1721"/>
        <w:gridCol w:w="1721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Aquisição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originado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R$ 140 mi/mês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R$ 225 mi/mês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Aquisição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(Custo de Aquisição)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médio consignado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NPL 90+ (carteira 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rate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Eficiência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9" w:name="parte-2-crédito-e-precificação"/>
    <w:p>
      <w:pPr>
        <w:pStyle w:val="Heading2"/>
      </w:pPr>
      <w:r>
        <w:t xml:space="preserve">PARTE 2 – CRÉDITO E PRECIFICAÇÃO</w:t>
      </w:r>
    </w:p>
    <w:bookmarkStart w:id="31" w:name="cálculo-de-perda-esperada-el"/>
    <w:p>
      <w:pPr>
        <w:pStyle w:val="Heading3"/>
      </w:pPr>
      <w:r>
        <w:t xml:space="preserve">2.1 Cálculo de Perda Esperada (EL)</w:t>
      </w:r>
    </w:p>
    <w:p>
      <w:pPr>
        <w:pStyle w:val="FirstParagraph"/>
      </w:pPr>
      <w:r>
        <w:rPr>
          <w:bCs/>
          <w:b/>
        </w:rPr>
        <w:t xml:space="preserve">Fórmula</w:t>
      </w:r>
      <w:r>
        <w:t xml:space="preserve">: EL = PD × LGD × EAD</w:t>
      </w:r>
    </w:p>
    <w:bookmarkStart w:id="29" w:name="crédito-pessoal"/>
    <w:p>
      <w:pPr>
        <w:pStyle w:val="Heading4"/>
      </w:pPr>
      <w:r>
        <w:t xml:space="preserve">Crédito Pessoal</w:t>
      </w:r>
    </w:p>
    <w:p>
      <w:pPr>
        <w:pStyle w:val="SourceCode"/>
      </w:pPr>
      <w:r>
        <w:rPr>
          <w:rStyle w:val="VerbatimChar"/>
        </w:rPr>
        <w:t xml:space="preserve">PD:  9,0%</w:t>
      </w:r>
      <w:r>
        <w:br/>
      </w:r>
      <w:r>
        <w:rPr>
          <w:rStyle w:val="VerbatimChar"/>
        </w:rPr>
        <w:t xml:space="preserve">LGD: 60%</w:t>
      </w:r>
      <w:r>
        <w:br/>
      </w:r>
      <w:r>
        <w:rPr>
          <w:rStyle w:val="VerbatimChar"/>
        </w:rPr>
        <w:t xml:space="preserve">EAD: 100% (fully drawn)</w:t>
      </w:r>
      <w:r>
        <w:br/>
      </w:r>
      <w:r>
        <w:br/>
      </w:r>
      <w:r>
        <w:rPr>
          <w:rStyle w:val="VerbatimChar"/>
        </w:rPr>
        <w:t xml:space="preserve">EL = 9,0% × 60% × 100% = 5,4% a.a.</w:t>
      </w:r>
    </w:p>
    <w:bookmarkEnd w:id="29"/>
    <w:bookmarkStart w:id="30" w:name="consignado"/>
    <w:p>
      <w:pPr>
        <w:pStyle w:val="Heading4"/>
      </w:pPr>
      <w:r>
        <w:t xml:space="preserve">Consignado</w:t>
      </w:r>
    </w:p>
    <w:p>
      <w:pPr>
        <w:pStyle w:val="SourceCode"/>
      </w:pPr>
      <w:r>
        <w:rPr>
          <w:rStyle w:val="VerbatimChar"/>
        </w:rPr>
        <w:t xml:space="preserve">PD:  2,8%</w:t>
      </w:r>
      <w:r>
        <w:br/>
      </w:r>
      <w:r>
        <w:rPr>
          <w:rStyle w:val="VerbatimChar"/>
        </w:rPr>
        <w:t xml:space="preserve">LGD: 60%</w:t>
      </w:r>
      <w:r>
        <w:br/>
      </w:r>
      <w:r>
        <w:rPr>
          <w:rStyle w:val="VerbatimChar"/>
        </w:rPr>
        <w:t xml:space="preserve">EAD: 100%</w:t>
      </w:r>
      <w:r>
        <w:br/>
      </w:r>
      <w:r>
        <w:br/>
      </w:r>
      <w:r>
        <w:rPr>
          <w:rStyle w:val="VerbatimChar"/>
        </w:rPr>
        <w:t xml:space="preserve">EL = 2,8% × 60% × 100% = 1,68% a.a.</w:t>
      </w:r>
    </w:p>
    <w:p>
      <w:pPr>
        <w:pStyle w:val="FirstParagraph"/>
      </w:pPr>
      <w:r>
        <w:rPr>
          <w:bCs/>
          <w:b/>
        </w:rPr>
        <w:t xml:space="preserve">Provisões necessárias (IFRS 9):</w:t>
      </w:r>
      <w:r>
        <w:t xml:space="preserve"> </w:t>
      </w:r>
      <w:r>
        <w:t xml:space="preserve">- Pessoal: ~6,2% (EL + buffer contracíclico 15%)</w:t>
      </w:r>
      <w:r>
        <w:t xml:space="preserve"> </w:t>
      </w:r>
      <w:r>
        <w:t xml:space="preserve">- Consignado: ~2,0% (EL + buffer contracíclico 20%)</w:t>
      </w:r>
    </w:p>
    <w:bookmarkEnd w:id="30"/>
    <w:bookmarkEnd w:id="31"/>
    <w:bookmarkStart w:id="33" w:name="taxa-mínima-sustentável"/>
    <w:p>
      <w:pPr>
        <w:pStyle w:val="Heading3"/>
      </w:pPr>
      <w:r>
        <w:t xml:space="preserve">2.2 Taxa Mínima Sustentável</w:t>
      </w:r>
    </w:p>
    <w:bookmarkStart w:id="32" w:name="modelo-de-precificação-simplificado"/>
    <w:p>
      <w:pPr>
        <w:pStyle w:val="Heading4"/>
      </w:pPr>
      <w:r>
        <w:t xml:space="preserve">Modelo de Precificação Simplificado</w:t>
      </w:r>
    </w:p>
    <w:p>
      <w:pPr>
        <w:pStyle w:val="FirstParagraph"/>
      </w:pPr>
      <w:r>
        <w:rPr>
          <w:bCs/>
          <w:b/>
        </w:rPr>
        <w:t xml:space="preserve">Consignado:</w:t>
      </w:r>
    </w:p>
    <w:p>
      <w:pPr>
        <w:pStyle w:val="SourceCode"/>
      </w:pPr>
      <w:r>
        <w:rPr>
          <w:rStyle w:val="VerbatimChar"/>
        </w:rPr>
        <w:t xml:space="preserve">Componentes:</w:t>
      </w:r>
      <w:r>
        <w:br/>
      </w:r>
      <w:r>
        <w:rPr>
          <w:rStyle w:val="VerbatimChar"/>
        </w:rPr>
        <w:t xml:space="preserve">1. Custo de funding:           13,5% (CDI + 0,9%)</w:t>
      </w:r>
      <w:r>
        <w:br/>
      </w:r>
      <w:r>
        <w:rPr>
          <w:rStyle w:val="VerbatimChar"/>
        </w:rPr>
        <w:t xml:space="preserve">2. Custo de capital (8% × 15%): 1,2%</w:t>
      </w:r>
      <w:r>
        <w:br/>
      </w:r>
      <w:r>
        <w:rPr>
          <w:rStyle w:val="VerbatimChar"/>
        </w:rPr>
        <w:t xml:space="preserve">3. Perda esperada:              1,7%</w:t>
      </w:r>
      <w:r>
        <w:br/>
      </w:r>
      <w:r>
        <w:rPr>
          <w:rStyle w:val="VerbatimChar"/>
        </w:rPr>
        <w:t xml:space="preserve">4. Custo operacional:           1,8%</w:t>
      </w:r>
      <w:r>
        <w:br/>
      </w:r>
      <w:r>
        <w:rPr>
          <w:rStyle w:val="VerbatimChar"/>
        </w:rPr>
        <w:t xml:space="preserve">5. Margem mínima (ROE 15%):     2,5%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Taxa mínima:                   20,7% a.a.</w:t>
      </w:r>
      <w:r>
        <w:br/>
      </w:r>
      <w:r>
        <w:rPr>
          <w:rStyle w:val="VerbatimChar"/>
        </w:rPr>
        <w:t xml:space="preserve">Taxa proposta:                 21,5% a.a. ✓</w:t>
      </w:r>
    </w:p>
    <w:p>
      <w:pPr>
        <w:pStyle w:val="FirstParagraph"/>
      </w:pPr>
      <w:r>
        <w:rPr>
          <w:bCs/>
          <w:b/>
        </w:rPr>
        <w:t xml:space="preserve">Crédito Pessoal:</w:t>
      </w:r>
    </w:p>
    <w:p>
      <w:pPr>
        <w:pStyle w:val="SourceCode"/>
      </w:pPr>
      <w:r>
        <w:rPr>
          <w:rStyle w:val="VerbatimChar"/>
        </w:rPr>
        <w:t xml:space="preserve">Componentes:</w:t>
      </w:r>
      <w:r>
        <w:br/>
      </w:r>
      <w:r>
        <w:rPr>
          <w:rStyle w:val="VerbatimChar"/>
        </w:rPr>
        <w:t xml:space="preserve">1. Custo de funding:           13,5%</w:t>
      </w:r>
      <w:r>
        <w:br/>
      </w:r>
      <w:r>
        <w:rPr>
          <w:rStyle w:val="VerbatimChar"/>
        </w:rPr>
        <w:t xml:space="preserve">2. Custo de capital (8% × 22%): 1,8%</w:t>
      </w:r>
      <w:r>
        <w:br/>
      </w:r>
      <w:r>
        <w:rPr>
          <w:rStyle w:val="VerbatimChar"/>
        </w:rPr>
        <w:t xml:space="preserve">3. Perda esperada:              5,4%</w:t>
      </w:r>
      <w:r>
        <w:br/>
      </w:r>
      <w:r>
        <w:rPr>
          <w:rStyle w:val="VerbatimChar"/>
        </w:rPr>
        <w:t xml:space="preserve">4. Custo operacional:           3,2%</w:t>
      </w:r>
      <w:r>
        <w:br/>
      </w:r>
      <w:r>
        <w:rPr>
          <w:rStyle w:val="VerbatimChar"/>
        </w:rPr>
        <w:t xml:space="preserve">5. Margem mínima (ROE 15%):     4,1%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Taxa mínima:                   28,0% a.a.</w:t>
      </w:r>
      <w:r>
        <w:br/>
      </w:r>
      <w:r>
        <w:rPr>
          <w:rStyle w:val="VerbatimChar"/>
        </w:rPr>
        <w:t xml:space="preserve">Taxa proposta:                 29,5% a.a. ✓</w:t>
      </w:r>
    </w:p>
    <w:bookmarkEnd w:id="32"/>
    <w:bookmarkEnd w:id="33"/>
    <w:bookmarkStart w:id="37" w:name="ajustes-de-política-de-crédito"/>
    <w:p>
      <w:pPr>
        <w:pStyle w:val="Heading3"/>
      </w:pPr>
      <w:r>
        <w:t xml:space="preserve">2.3 Ajustes de Política de Crédito</w:t>
      </w:r>
    </w:p>
    <w:bookmarkStart w:id="34" w:name="ajuste-1-segmentação-avançada-por-score"/>
    <w:p>
      <w:pPr>
        <w:pStyle w:val="Heading4"/>
      </w:pPr>
      <w:r>
        <w:t xml:space="preserve">Ajuste 1: Segmentação Avançada por Score</w:t>
      </w:r>
    </w:p>
    <w:p>
      <w:pPr>
        <w:pStyle w:val="FirstParagraph"/>
      </w:pPr>
      <w:r>
        <w:rPr>
          <w:bCs/>
          <w:b/>
        </w:rPr>
        <w:t xml:space="preserve">Mudança:</w:t>
      </w:r>
      <w:r>
        <w:t xml:space="preserve"> </w:t>
      </w:r>
      <w:r>
        <w:t xml:space="preserve">- Atual: 2 faixas de score (Score &gt; 700 ou &lt; 700)</w:t>
      </w:r>
      <w:r>
        <w:t xml:space="preserve"> </w:t>
      </w:r>
      <w:r>
        <w:t xml:space="preserve">- Novo: 5 faixas com pricing dinâmico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Consig.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Pessoal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750-849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650-749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550-649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40,0%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Impacto esperado</w:t>
      </w:r>
      <w:r>
        <w:t xml:space="preserve">: ↓ 0,8 p.p. na PD, ↑ 12% em volume aprovado</w:t>
      </w:r>
    </w:p>
    <w:bookmarkEnd w:id="34"/>
    <w:bookmarkStart w:id="35" w:name="Xf79ad8a5526112498feb11a88b3f682b62695a2"/>
    <w:p>
      <w:pPr>
        <w:pStyle w:val="Heading4"/>
      </w:pPr>
      <w:r>
        <w:t xml:space="preserve">Ajuste 2: Limite de Comprometimento de Renda</w:t>
      </w:r>
    </w:p>
    <w:p>
      <w:pPr>
        <w:pStyle w:val="FirstParagraph"/>
      </w:pPr>
      <w:r>
        <w:rPr>
          <w:bCs/>
          <w:b/>
        </w:rPr>
        <w:t xml:space="preserve">Mudança:</w:t>
      </w:r>
      <w:r>
        <w:t xml:space="preserve"> </w:t>
      </w:r>
      <w:r>
        <w:t xml:space="preserve">- Atual: 30% de comprometimento máximo (todas as dívidas)</w:t>
      </w:r>
      <w:r>
        <w:t xml:space="preserve"> </w:t>
      </w:r>
      <w:r>
        <w:t xml:space="preserve">- Novo: 35% para consignado (margem consignável) + 25% outras dívidas</w:t>
      </w:r>
      <w:r>
        <w:t xml:space="preserve"> </w:t>
      </w:r>
      <w:r>
        <w:t xml:space="preserve">- Controle: Consulta obrigatória SCR + Registrato</w:t>
      </w:r>
    </w:p>
    <w:p>
      <w:pPr>
        <w:pStyle w:val="BodyText"/>
      </w:pPr>
      <w:r>
        <w:rPr>
          <w:bCs/>
          <w:b/>
        </w:rPr>
        <w:t xml:space="preserve">Impacto esperado</w:t>
      </w:r>
      <w:r>
        <w:t xml:space="preserve">: ↑ 18% em volume (clientes sub-bancarizados)</w:t>
      </w:r>
    </w:p>
    <w:bookmarkEnd w:id="35"/>
    <w:bookmarkStart w:id="36" w:name="ajuste-3-bureau-de-dados-alternativos"/>
    <w:p>
      <w:pPr>
        <w:pStyle w:val="Heading4"/>
      </w:pPr>
      <w:r>
        <w:t xml:space="preserve">Ajuste 3: Bureau de Dados Alternativos</w:t>
      </w:r>
    </w:p>
    <w:p>
      <w:pPr>
        <w:pStyle w:val="FirstParagraph"/>
      </w:pPr>
      <w:r>
        <w:rPr>
          <w:bCs/>
          <w:b/>
        </w:rPr>
        <w:t xml:space="preserve">Mudança:</w:t>
      </w:r>
      <w:r>
        <w:t xml:space="preserve"> </w:t>
      </w:r>
      <w:r>
        <w:t xml:space="preserve">- Integração com open banking (fase 2) para análise de fluxo de caixa</w:t>
      </w:r>
      <w:r>
        <w:t xml:space="preserve"> </w:t>
      </w:r>
      <w:r>
        <w:t xml:space="preserve">- Uso de dados de pagamento de contas (água, luz, telefone)</w:t>
      </w:r>
      <w:r>
        <w:t xml:space="preserve"> </w:t>
      </w:r>
      <w:r>
        <w:t xml:space="preserve">- Target: clientes thin-file (sem histórico bancário robusto)</w:t>
      </w:r>
    </w:p>
    <w:p>
      <w:pPr>
        <w:pStyle w:val="BodyText"/>
      </w:pPr>
      <w:r>
        <w:rPr>
          <w:bCs/>
          <w:b/>
        </w:rPr>
        <w:t xml:space="preserve">Impacto esperado</w:t>
      </w:r>
      <w:r>
        <w:t xml:space="preserve">: ↑ 8% aprovação em faixa C/D, ↓ 1,2 p.p. na PD desta faixa</w:t>
      </w:r>
    </w:p>
    <w:bookmarkEnd w:id="36"/>
    <w:bookmarkEnd w:id="37"/>
    <w:bookmarkStart w:id="38" w:name="trade-offs-crescimento-vs-risco"/>
    <w:p>
      <w:pPr>
        <w:pStyle w:val="Heading3"/>
      </w:pPr>
      <w:r>
        <w:t xml:space="preserve">2.4 Trade-offs Crescimento vs Risco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2709"/>
        <w:gridCol w:w="1458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Reduzir taxa consignado 1,5 p.p.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 estável (público INSS)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Expandir para faixa C (score 550-649)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+1,8 p.p. PD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TESTE A/B (10% exposição)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Consignado privado (CLT)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+0,6 p.p. PD (layoff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 (parcerias seletivas)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Crédito pré-aprovado (pessoal)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+40% conversão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+2,1 p.p. PD (self-selection)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NÃO (risco &gt; retorno)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Prazo médio 72m (vs 48m atual)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+22%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+1,5 p.p. PD (lifetime)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 (apenas faixa A/A+)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Estratégia</w:t>
      </w:r>
      <w:r>
        <w:t xml:space="preserve">: Crescimento disciplinado com</w:t>
      </w:r>
      <w:r>
        <w:t xml:space="preserve"> </w:t>
      </w:r>
      <w:r>
        <w:rPr>
          <w:bCs/>
          <w:b/>
        </w:rPr>
        <w:t xml:space="preserve">foco em qualidade</w:t>
      </w:r>
      <w:r>
        <w:t xml:space="preserve"> </w:t>
      </w:r>
      <w:r>
        <w:t xml:space="preserve">(60% faixa A/A+, 40% faixa B/C)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arte-3-monetização-e-conduta"/>
    <w:p>
      <w:pPr>
        <w:pStyle w:val="Heading2"/>
      </w:pPr>
      <w:r>
        <w:t xml:space="preserve">PARTE 3 – MONETIZAÇÃO E CONDUTA</w:t>
      </w:r>
    </w:p>
    <w:bookmarkStart w:id="41" w:name="proposta-de-monetização"/>
    <w:p>
      <w:pPr>
        <w:pStyle w:val="Heading3"/>
      </w:pPr>
      <w:r>
        <w:t xml:space="preserve">3.1 Proposta de Monetização</w:t>
      </w:r>
    </w:p>
    <w:bookmarkStart w:id="40" w:name="X56e03d6ae935256ebd0cde93c5702bffba0f423"/>
    <w:p>
      <w:pPr>
        <w:pStyle w:val="Heading4"/>
      </w:pPr>
      <w:r>
        <w:t xml:space="preserve">Opção Escolhida: SEGURO PRESTAMISTA OPT-IN</w:t>
      </w:r>
    </w:p>
    <w:p>
      <w:pPr>
        <w:pStyle w:val="FirstParagraph"/>
      </w:pPr>
      <w:r>
        <w:rPr>
          <w:bCs/>
          <w:b/>
        </w:rPr>
        <w:t xml:space="preserve">Estrutura do produto:</w:t>
      </w:r>
    </w:p>
    <w:p>
      <w:pPr>
        <w:pStyle w:val="SourceCode"/>
      </w:pPr>
      <w:r>
        <w:rPr>
          <w:rStyle w:val="VerbatimChar"/>
        </w:rPr>
        <w:t xml:space="preserve">Nome:           Proteção Crédito Tranquilo</w:t>
      </w:r>
      <w:r>
        <w:br/>
      </w:r>
      <w:r>
        <w:rPr>
          <w:rStyle w:val="VerbatimChar"/>
        </w:rPr>
        <w:t xml:space="preserve">Cobertura:      Morte, invalidez, desemprego involuntário</w:t>
      </w:r>
      <w:r>
        <w:br/>
      </w:r>
      <w:r>
        <w:rPr>
          <w:rStyle w:val="VerbatimChar"/>
        </w:rPr>
        <w:t xml:space="preserve">Prêmio:         0,35% a.m. sobre saldo devedor</w:t>
      </w:r>
      <w:r>
        <w:br/>
      </w:r>
      <w:r>
        <w:rPr>
          <w:rStyle w:val="VerbatimChar"/>
        </w:rPr>
        <w:t xml:space="preserve">Modelo:         Opt-in (cliente escolhe ativar)</w:t>
      </w:r>
      <w:r>
        <w:br/>
      </w:r>
      <w:r>
        <w:rPr>
          <w:rStyle w:val="VerbatimChar"/>
        </w:rPr>
        <w:t xml:space="preserve">Vigência:       Renovação mensal (cancelamento a qualquer momento)</w:t>
      </w:r>
      <w:r>
        <w:br/>
      </w:r>
      <w:r>
        <w:rPr>
          <w:rStyle w:val="VerbatimChar"/>
        </w:rPr>
        <w:t xml:space="preserve">Indenização:    Quitação do saldo devedor (cap 100% do principal)</w:t>
      </w:r>
    </w:p>
    <w:p>
      <w:pPr>
        <w:pStyle w:val="FirstParagraph"/>
      </w:pPr>
      <w:r>
        <w:rPr>
          <w:bCs/>
          <w:b/>
        </w:rPr>
        <w:t xml:space="preserve">Jornada de contratação:</w:t>
      </w:r>
      <w:r>
        <w:t xml:space="preserve"> </w:t>
      </w:r>
      <w:r>
        <w:t xml:space="preserve">1. Tela de simulação de crédito mostra:</w:t>
      </w:r>
      <w:r>
        <w:t xml:space="preserve"> </w:t>
      </w:r>
      <w:r>
        <w:t xml:space="preserve">- Parcela SEM seguro (destaque)</w:t>
      </w:r>
      <w:r>
        <w:t xml:space="preserve"> </w:t>
      </w:r>
      <w:r>
        <w:t xml:space="preserve">- Parcela COM seguro (+ R$ XX,XX)</w:t>
      </w:r>
      <w:r>
        <w:t xml:space="preserve"> </w:t>
      </w:r>
      <w:r>
        <w:t xml:space="preserve">- Link</w:t>
      </w:r>
      <w:r>
        <w:t xml:space="preserve"> </w:t>
      </w:r>
      <w:r>
        <w:t xml:space="preserve">“</w:t>
      </w:r>
      <w:r>
        <w:t xml:space="preserve">Entender coberturas</w:t>
      </w:r>
      <w:r>
        <w:t xml:space="preserve">”</w:t>
      </w:r>
      <w:r>
        <w:t xml:space="preserve"> </w:t>
      </w:r>
      <w:r>
        <w:t xml:space="preserve">(modal explicativo)</w:t>
      </w:r>
      <w:r>
        <w:t xml:space="preserve"> </w:t>
      </w:r>
      <w:r>
        <w:t xml:space="preserve">2. Checkbox NÃO marcado por padrão</w:t>
      </w:r>
      <w:r>
        <w:t xml:space="preserve"> </w:t>
      </w:r>
      <w:r>
        <w:t xml:space="preserve">3. Se marcar: tela de confirmação com resumo das coberturas</w:t>
      </w:r>
      <w:r>
        <w:t xml:space="preserve"> </w:t>
      </w:r>
      <w:r>
        <w:t xml:space="preserve">4. Envio de apólice por e-mail + SMS em até 24h</w:t>
      </w:r>
      <w:r>
        <w:t xml:space="preserve"> </w:t>
      </w:r>
      <w:r>
        <w:t xml:space="preserve">5. Período de arrependimento: 7 dias (com reembolso integral)</w:t>
      </w:r>
    </w:p>
    <w:p>
      <w:pPr>
        <w:pStyle w:val="BodyText"/>
      </w:pPr>
      <w:r>
        <w:rPr>
          <w:bCs/>
          <w:b/>
        </w:rPr>
        <w:t xml:space="preserve">Economics:</w:t>
      </w:r>
    </w:p>
    <w:p>
      <w:pPr>
        <w:pStyle w:val="SourceCode"/>
      </w:pPr>
      <w:r>
        <w:rPr>
          <w:rStyle w:val="VerbatimChar"/>
        </w:rPr>
        <w:t xml:space="preserve">Taxa de adesão esperada:     40%</w:t>
      </w:r>
      <w:r>
        <w:br/>
      </w:r>
      <w:r>
        <w:rPr>
          <w:rStyle w:val="VerbatimChar"/>
        </w:rPr>
        <w:t xml:space="preserve">Carteira segurada:           R$ 1,32 bi (40% de R$ 3,3 bi)</w:t>
      </w:r>
      <w:r>
        <w:br/>
      </w:r>
      <w:r>
        <w:rPr>
          <w:rStyle w:val="VerbatimChar"/>
        </w:rPr>
        <w:t xml:space="preserve">Receita de prêmios (anual):  R$ 55,4 mi</w:t>
      </w:r>
      <w:r>
        <w:br/>
      </w:r>
      <w:r>
        <w:rPr>
          <w:rStyle w:val="VerbatimChar"/>
        </w:rPr>
        <w:t xml:space="preserve">Comissionamento banco:       30% = R$ 16,6 mi</w:t>
      </w:r>
      <w:r>
        <w:br/>
      </w:r>
      <w:r>
        <w:rPr>
          <w:rStyle w:val="VerbatimChar"/>
        </w:rPr>
        <w:t xml:space="preserve">Sinistralidade esperada:     45%</w:t>
      </w:r>
      <w:r>
        <w:br/>
      </w:r>
      <w:r>
        <w:rPr>
          <w:rStyle w:val="VerbatimChar"/>
        </w:rPr>
        <w:t xml:space="preserve">Margem líquida banco:        R$ 16,6 mi/ano (0,5% da carteira)</w:t>
      </w:r>
    </w:p>
    <w:bookmarkEnd w:id="40"/>
    <w:bookmarkEnd w:id="41"/>
    <w:bookmarkStart w:id="43" w:name="controles-para-evitar-venda-casada"/>
    <w:p>
      <w:pPr>
        <w:pStyle w:val="Heading3"/>
      </w:pPr>
      <w:r>
        <w:t xml:space="preserve">3.2 Controles para Evitar Venda Casada</w:t>
      </w:r>
    </w:p>
    <w:bookmarkStart w:id="42" w:name="controles-operacionais"/>
    <w:p>
      <w:pPr>
        <w:pStyle w:val="Heading4"/>
      </w:pPr>
      <w:r>
        <w:t xml:space="preserve">Controles Operacionais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 controls:</w:t>
      </w:r>
    </w:p>
    <w:p>
      <w:pPr>
        <w:numPr>
          <w:ilvl w:val="1"/>
          <w:numId w:val="1002"/>
        </w:numPr>
        <w:pStyle w:val="Compact"/>
      </w:pPr>
      <w:r>
        <w:t xml:space="preserve">Checkbox NÃO pré-marcado (default OFF)</w:t>
      </w:r>
    </w:p>
    <w:p>
      <w:pPr>
        <w:numPr>
          <w:ilvl w:val="1"/>
          <w:numId w:val="1002"/>
        </w:numPr>
        <w:pStyle w:val="Compact"/>
      </w:pPr>
      <w:r>
        <w:t xml:space="preserve">Impossível avançar sem decisão explícita (sim/não)</w:t>
      </w:r>
    </w:p>
    <w:p>
      <w:pPr>
        <w:numPr>
          <w:ilvl w:val="1"/>
          <w:numId w:val="1002"/>
        </w:numPr>
        <w:pStyle w:val="Compact"/>
      </w:pPr>
      <w:r>
        <w:t xml:space="preserve">Log de consentimento com timestamp e IP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Treinamento:</w:t>
      </w:r>
    </w:p>
    <w:p>
      <w:pPr>
        <w:numPr>
          <w:ilvl w:val="1"/>
          <w:numId w:val="1003"/>
        </w:numPr>
        <w:pStyle w:val="Compact"/>
      </w:pPr>
      <w:r>
        <w:t xml:space="preserve">Certificação obrigatória de colaboradores (SUSEP)</w:t>
      </w:r>
    </w:p>
    <w:p>
      <w:pPr>
        <w:numPr>
          <w:ilvl w:val="1"/>
          <w:numId w:val="1003"/>
        </w:numPr>
        <w:pStyle w:val="Compact"/>
      </w:pPr>
      <w:r>
        <w:t xml:space="preserve">Reforço:</w:t>
      </w:r>
      <w:r>
        <w:t xml:space="preserve"> </w:t>
      </w:r>
      <w:r>
        <w:t xml:space="preserve">“</w:t>
      </w:r>
      <w:r>
        <w:t xml:space="preserve">Seguro é opcional e NÃO afeta análise de crédito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Mystery shopping trimestral (10 lojas/mês)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Auditoria:</w:t>
      </w:r>
    </w:p>
    <w:p>
      <w:pPr>
        <w:numPr>
          <w:ilvl w:val="1"/>
          <w:numId w:val="1004"/>
        </w:numPr>
        <w:pStyle w:val="Compact"/>
      </w:pPr>
      <w:r>
        <w:t xml:space="preserve">Revisão semanal de reclamações com palavra-chave</w:t>
      </w:r>
      <w:r>
        <w:t xml:space="preserve"> </w:t>
      </w:r>
      <w:r>
        <w:t xml:space="preserve">“</w:t>
      </w:r>
      <w:r>
        <w:t xml:space="preserve">obrigado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forçado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casada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Call listening de 2% das vendas (amostra aleatória)</w:t>
      </w:r>
    </w:p>
    <w:p>
      <w:pPr>
        <w:numPr>
          <w:ilvl w:val="1"/>
          <w:numId w:val="1004"/>
        </w:numPr>
        <w:pStyle w:val="Compact"/>
      </w:pPr>
      <w:r>
        <w:t xml:space="preserve">Backtest: análise de cancelamento em &lt;7 dias (deve ser &lt; 8%)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Governança:</w:t>
      </w:r>
    </w:p>
    <w:p>
      <w:pPr>
        <w:numPr>
          <w:ilvl w:val="1"/>
          <w:numId w:val="1005"/>
        </w:numPr>
        <w:pStyle w:val="Compact"/>
      </w:pPr>
      <w:r>
        <w:t xml:space="preserve">Comitê de Conduta mensal (Compliance, Jurídico, Negócios, Ouvidoria)</w:t>
      </w:r>
    </w:p>
    <w:p>
      <w:pPr>
        <w:numPr>
          <w:ilvl w:val="1"/>
          <w:numId w:val="1005"/>
        </w:numPr>
        <w:pStyle w:val="Compact"/>
      </w:pPr>
      <w:r>
        <w:t xml:space="preserve">Reporte trimestral ao Comitê Executivo e COAF</w:t>
      </w:r>
    </w:p>
    <w:bookmarkEnd w:id="42"/>
    <w:bookmarkEnd w:id="43"/>
    <w:bookmarkStart w:id="44" w:name="kpis-e-kris-com-thresholds"/>
    <w:p>
      <w:pPr>
        <w:pStyle w:val="Heading3"/>
      </w:pPr>
      <w:r>
        <w:t xml:space="preserve">3.3 KPIs e KRIs com Thresholds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17"/>
        <w:gridCol w:w="1131"/>
        <w:gridCol w:w="1645"/>
        <w:gridCol w:w="1954"/>
        <w:gridCol w:w="1954"/>
        <w:gridCol w:w="6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Amarelo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adesão ao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jornada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pós-contratação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atendimento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de fees/receita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Reclamações de venda casada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3-8/mês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Suspensão de vendas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Cancelamento seguro &lt;7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imediata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Variação reclamações BACEN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&lt;+10% a.a.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+10-15% a.a.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&gt;+15% a.a.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remediação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Processos judiciais venda casada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force jurídica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Escalação:</w:t>
      </w:r>
      <w:r>
        <w:t xml:space="preserve"> </w:t>
      </w:r>
      <w:r>
        <w:t xml:space="preserve">- Verde: Monitoramento normal</w:t>
      </w:r>
      <w:r>
        <w:t xml:space="preserve"> </w:t>
      </w:r>
      <w:r>
        <w:t xml:space="preserve">- Amarelo: Alerta ao Head de Produtos + análise de causa-raiz</w:t>
      </w:r>
      <w:r>
        <w:t xml:space="preserve"> </w:t>
      </w:r>
      <w:r>
        <w:t xml:space="preserve">- Vermelho: Escalação ao CCO + suspensão preventiva + plano de ação em 48h</w:t>
      </w:r>
    </w:p>
    <w:bookmarkEnd w:id="44"/>
    <w:bookmarkStart w:id="46" w:name="impacto-econômico-do-ruído"/>
    <w:p>
      <w:pPr>
        <w:pStyle w:val="Heading3"/>
      </w:pPr>
      <w:r>
        <w:t xml:space="preserve">3.4 Impacto Econômico do</w:t>
      </w:r>
      <w:r>
        <w:t xml:space="preserve"> </w:t>
      </w:r>
      <w:r>
        <w:t xml:space="preserve">“</w:t>
      </w:r>
      <w:r>
        <w:t xml:space="preserve">Ruído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Definição de ruído</w:t>
      </w:r>
      <w:r>
        <w:t xml:space="preserve">: Reclamações, processos, multas e danos reputacionais decorrentes de má conduta.</w:t>
      </w:r>
    </w:p>
    <w:bookmarkStart w:id="45" w:name="análise-de-custo-benefício"/>
    <w:p>
      <w:pPr>
        <w:pStyle w:val="Heading4"/>
      </w:pPr>
      <w:r>
        <w:t xml:space="preserve">Análise de Custo-Benefício</w:t>
      </w:r>
    </w:p>
    <w:p>
      <w:pPr>
        <w:pStyle w:val="FirstParagraph"/>
      </w:pPr>
      <w:r>
        <w:rPr>
          <w:bCs/>
          <w:b/>
        </w:rPr>
        <w:t xml:space="preserve">Cenário Base (controles robustos):</w:t>
      </w:r>
    </w:p>
    <w:p>
      <w:pPr>
        <w:pStyle w:val="SourceCode"/>
      </w:pPr>
      <w:r>
        <w:rPr>
          <w:rStyle w:val="VerbatimChar"/>
        </w:rPr>
        <w:t xml:space="preserve">Receita de seguros/fees:            R$ 41,8 mi/ano</w:t>
      </w:r>
      <w:r>
        <w:br/>
      </w:r>
      <w:r>
        <w:rPr>
          <w:rStyle w:val="VerbatimChar"/>
        </w:rPr>
        <w:t xml:space="preserve">(-) Custo de conformidade:           R$ 3,2 mi/ano (7,6%)</w:t>
      </w:r>
      <w:r>
        <w:br/>
      </w:r>
      <w:r>
        <w:rPr>
          <w:rStyle w:val="VerbatimChar"/>
        </w:rPr>
        <w:t xml:space="preserve">(-) Provisão para contingências:     R$ 1,5 mi/ano (3,6%)</w:t>
      </w:r>
      <w:r>
        <w:br/>
      </w:r>
      <w:r>
        <w:rPr>
          <w:rStyle w:val="VerbatimChar"/>
        </w:rPr>
        <w:t xml:space="preserve">(-) Custo de remediação (estimado):  R$ 0,8 mi/ano (1,9%)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Margem líquida:                      R$ 36,3 mi/ano (86,9%)</w:t>
      </w:r>
    </w:p>
    <w:p>
      <w:pPr>
        <w:pStyle w:val="FirstParagraph"/>
      </w:pPr>
      <w:r>
        <w:rPr>
          <w:bCs/>
          <w:b/>
        </w:rPr>
        <w:t xml:space="preserve">Cenário Ruído Alto (controles fracos):</w:t>
      </w:r>
    </w:p>
    <w:p>
      <w:pPr>
        <w:pStyle w:val="SourceCode"/>
      </w:pPr>
      <w:r>
        <w:rPr>
          <w:rStyle w:val="VerbatimChar"/>
        </w:rPr>
        <w:t xml:space="preserve">Receita de seguros/fees:            R$ 58,0 mi/ano (+39% por pressão comercial)</w:t>
      </w:r>
      <w:r>
        <w:br/>
      </w:r>
      <w:r>
        <w:rPr>
          <w:rStyle w:val="VerbatimChar"/>
        </w:rPr>
        <w:t xml:space="preserve">(-) Multas regulatórias (BACEN/SUSEP): R$ 12,0 mi/ano</w:t>
      </w:r>
      <w:r>
        <w:br/>
      </w:r>
      <w:r>
        <w:rPr>
          <w:rStyle w:val="VerbatimChar"/>
        </w:rPr>
        <w:t xml:space="preserve">(-) Processos judiciais (indenizações): R$ 8,5 mi/ano</w:t>
      </w:r>
      <w:r>
        <w:br/>
      </w:r>
      <w:r>
        <w:rPr>
          <w:rStyle w:val="VerbatimChar"/>
        </w:rPr>
        <w:t xml:space="preserve">(-) Custo de remediação (call center):  R$ 4,2 mi/ano</w:t>
      </w:r>
      <w:r>
        <w:br/>
      </w:r>
      <w:r>
        <w:rPr>
          <w:rStyle w:val="VerbatimChar"/>
        </w:rPr>
        <w:t xml:space="preserve">(-) Perda de market share (churn):       R$ 15,0 mi/ano (valor presente)</w:t>
      </w:r>
      <w:r>
        <w:br/>
      </w:r>
      <w:r>
        <w:rPr>
          <w:rStyle w:val="VerbatimChar"/>
        </w:rPr>
        <w:t xml:space="preserve">(-) Custo de conformidade emergencial:   R$ 6,5 mi/ano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Margem líquida:                      R$ 11,8 mi/ano (20,3%)</w:t>
      </w:r>
      <w:r>
        <w:br/>
      </w:r>
      <w:r>
        <w:br/>
      </w:r>
      <w:r>
        <w:rPr>
          <w:rStyle w:val="VerbatimChar"/>
        </w:rPr>
        <w:t xml:space="preserve">Diferença vs cenário base:           -R$ 24,5 mi/ano (-67%)</w:t>
      </w:r>
    </w:p>
    <w:p>
      <w:pPr>
        <w:pStyle w:val="FirstParagraph"/>
      </w:pPr>
      <w:r>
        <w:rPr>
          <w:bCs/>
          <w:b/>
        </w:rPr>
        <w:t xml:space="preserve">ROI de Compliance:</w:t>
      </w:r>
    </w:p>
    <w:p>
      <w:pPr>
        <w:pStyle w:val="SourceCode"/>
      </w:pPr>
      <w:r>
        <w:rPr>
          <w:rStyle w:val="VerbatimChar"/>
        </w:rPr>
        <w:t xml:space="preserve">Investimento adicional em controles:  R$ 3,2 mi/ano</w:t>
      </w:r>
      <w:r>
        <w:br/>
      </w:r>
      <w:r>
        <w:rPr>
          <w:rStyle w:val="VerbatimChar"/>
        </w:rPr>
        <w:t xml:space="preserve">Benefício (economia de ruído):        R$ 24,5 mi/ano</w:t>
      </w:r>
      <w:r>
        <w:br/>
      </w:r>
      <w:r>
        <w:rPr>
          <w:rStyle w:val="VerbatimChar"/>
        </w:rPr>
        <w:t xml:space="preserve">ROI de compliance:                    765%</w:t>
      </w:r>
      <w:r>
        <w:br/>
      </w:r>
      <w:r>
        <w:rPr>
          <w:rStyle w:val="VerbatimChar"/>
        </w:rPr>
        <w:t xml:space="preserve">Payback:                              1,6 meses</w:t>
      </w:r>
    </w:p>
    <w:p>
      <w:pPr>
        <w:pStyle w:val="FirstParagraph"/>
      </w:pPr>
      <w:r>
        <w:rPr>
          <w:bCs/>
          <w:b/>
        </w:rPr>
        <w:t xml:space="preserve">Conclusão</w:t>
      </w:r>
      <w:r>
        <w:t xml:space="preserve">: Investir em conduta é</w:t>
      </w:r>
      <w:r>
        <w:t xml:space="preserve"> </w:t>
      </w:r>
      <w:r>
        <w:rPr>
          <w:bCs/>
          <w:b/>
        </w:rPr>
        <w:t xml:space="preserve">maximização de valor</w:t>
      </w:r>
      <w:r>
        <w:t xml:space="preserve">, não custo. O ruído corrói 67% da margem potencial.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9" w:name="parte-4-funding-e-captação"/>
    <w:p>
      <w:pPr>
        <w:pStyle w:val="Heading2"/>
      </w:pPr>
      <w:r>
        <w:t xml:space="preserve">PARTE 4 – FUNDING E CAPTAÇÃO</w:t>
      </w:r>
    </w:p>
    <w:bookmarkStart w:id="50" w:name="estratégia-de-funding-para-r-1-bi"/>
    <w:p>
      <w:pPr>
        <w:pStyle w:val="Heading3"/>
      </w:pPr>
      <w:r>
        <w:t xml:space="preserve">4.1 Estratégia de Funding para R$ 1 bi</w:t>
      </w:r>
    </w:p>
    <w:bookmarkStart w:id="48" w:name="análise-de-alternativas"/>
    <w:p>
      <w:pPr>
        <w:pStyle w:val="Heading4"/>
      </w:pPr>
      <w:r>
        <w:t xml:space="preserve">Análise de Alternativas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60"/>
        <w:gridCol w:w="840"/>
        <w:gridCol w:w="1560"/>
        <w:gridCol w:w="600"/>
        <w:gridCol w:w="720"/>
        <w:gridCol w:w="120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Basileia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 + 0,9%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DPGE2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 + 0,3%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FGC garante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 + 1,2%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Investidor qualificado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 + 0%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recebíveis</w:t>
            </w:r>
          </w:p>
        </w:tc>
      </w:tr>
    </w:tbl>
    <w:bookmarkEnd w:id="48"/>
    <w:bookmarkStart w:id="49" w:name="estratégia-escolhida-mix-cdb-dpge2"/>
    <w:p>
      <w:pPr>
        <w:pStyle w:val="Heading4"/>
      </w:pPr>
      <w:r>
        <w:t xml:space="preserve">Estratégia Escolhida: MIX CDB + DPGE2</w:t>
      </w:r>
    </w:p>
    <w:p>
      <w:pPr>
        <w:pStyle w:val="FirstParagraph"/>
      </w:pPr>
      <w:r>
        <w:rPr>
          <w:bCs/>
          <w:b/>
        </w:rPr>
        <w:t xml:space="preserve">Composição:</w:t>
      </w:r>
    </w:p>
    <w:p>
      <w:pPr>
        <w:pStyle w:val="SourceCode"/>
      </w:pPr>
      <w:r>
        <w:rPr>
          <w:rStyle w:val="VerbatimChar"/>
        </w:rPr>
        <w:t xml:space="preserve">DPGE2:  R$ 600 mi (60%) → Prazo: 36 meses → Custo: CDI + 0,3% (~13,9%)</w:t>
      </w:r>
      <w:r>
        <w:br/>
      </w:r>
      <w:r>
        <w:rPr>
          <w:rStyle w:val="VerbatimChar"/>
        </w:rPr>
        <w:t xml:space="preserve">CDB:    R$ 400 mi (40%) → Prazo: 24 meses → Custo: CDI + 0,9% (~14,5%)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 R$ 1.000 mi     → WAL: 31 meses    → Custo ponderado: 14,1%</w:t>
      </w:r>
    </w:p>
    <w:p>
      <w:pPr>
        <w:pStyle w:val="FirstParagraph"/>
      </w:pPr>
      <w:r>
        <w:rPr>
          <w:bCs/>
          <w:b/>
        </w:rPr>
        <w:t xml:space="preserve">Justificativa: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 otimizado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Redução de 0,5 p.p. vs CDB puro (~14,6%)</w:t>
      </w:r>
    </w:p>
    <w:p>
      <w:pPr>
        <w:numPr>
          <w:ilvl w:val="1"/>
          <w:numId w:val="1007"/>
        </w:numPr>
        <w:pStyle w:val="Compact"/>
      </w:pPr>
      <w:r>
        <w:t xml:space="preserve">Economia anual: R$ 5,0 mi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Capital regulatório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DPGE2 tem RWA de apenas 20% (vs 75% do crédito pessoal)</w:t>
      </w:r>
    </w:p>
    <w:p>
      <w:pPr>
        <w:numPr>
          <w:ilvl w:val="1"/>
          <w:numId w:val="1008"/>
        </w:numPr>
        <w:pStyle w:val="Compact"/>
      </w:pPr>
      <w:r>
        <w:t xml:space="preserve">Liberação de capital: R$ 360 mi em RWA</w:t>
      </w:r>
    </w:p>
    <w:p>
      <w:pPr>
        <w:numPr>
          <w:ilvl w:val="1"/>
          <w:numId w:val="1008"/>
        </w:numPr>
        <w:pStyle w:val="Compact"/>
      </w:pPr>
      <w:r>
        <w:t xml:space="preserve">Permite alavancar crescimento adicional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Liquidez regulatória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DPGE2 conta positivamente no NSFR (stable funding)</w:t>
      </w:r>
    </w:p>
    <w:p>
      <w:pPr>
        <w:numPr>
          <w:ilvl w:val="1"/>
          <w:numId w:val="1009"/>
        </w:numPr>
        <w:pStyle w:val="Compact"/>
      </w:pPr>
      <w:r>
        <w:t xml:space="preserve">Reduz pressão de liquidez de curto prazo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Alongamento de ALM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WAL funding: 31 meses</w:t>
      </w:r>
    </w:p>
    <w:p>
      <w:pPr>
        <w:numPr>
          <w:ilvl w:val="1"/>
          <w:numId w:val="1010"/>
        </w:numPr>
        <w:pStyle w:val="Compact"/>
      </w:pPr>
      <w:r>
        <w:t xml:space="preserve">WAL ativo (carteira PF): 34 meses</w:t>
      </w:r>
    </w:p>
    <w:p>
      <w:pPr>
        <w:numPr>
          <w:ilvl w:val="1"/>
          <w:numId w:val="1010"/>
        </w:numPr>
        <w:pStyle w:val="Compact"/>
      </w:pPr>
      <w:r>
        <w:t xml:space="preserve">Gap: 3 meses (aceitável, dentro de tolerância)</w:t>
      </w:r>
    </w:p>
    <w:bookmarkEnd w:id="49"/>
    <w:bookmarkEnd w:id="50"/>
    <w:bookmarkStart w:id="51" w:name="risco-dominante"/>
    <w:p>
      <w:pPr>
        <w:pStyle w:val="Heading3"/>
      </w:pPr>
      <w:r>
        <w:t xml:space="preserve">4.2 Risco Dominante</w:t>
      </w:r>
    </w:p>
    <w:p>
      <w:pPr>
        <w:pStyle w:val="FirstParagraph"/>
      </w:pPr>
      <w:r>
        <w:rPr>
          <w:bCs/>
          <w:b/>
        </w:rPr>
        <w:t xml:space="preserve">RISCO IDENTIFICADO: RISCO DE LIQUIDEZ</w:t>
      </w:r>
    </w:p>
    <w:p>
      <w:pPr>
        <w:pStyle w:val="BodyText"/>
      </w:pPr>
      <w:r>
        <w:rPr>
          <w:bCs/>
          <w:b/>
        </w:rPr>
        <w:t xml:space="preserve">Análise:</w:t>
      </w:r>
      <w:r>
        <w:t xml:space="preserve"> </w:t>
      </w:r>
      <w:r>
        <w:t xml:space="preserve">- Crescimento de R$ 1 bi requer captação coordenada</w:t>
      </w:r>
      <w:r>
        <w:t xml:space="preserve"> </w:t>
      </w:r>
      <w:r>
        <w:t xml:space="preserve">- DPGE2 tem limite de R$ 5 bi por instituição (teto de 10% dos depósitos)</w:t>
      </w:r>
      <w:r>
        <w:t xml:space="preserve"> </w:t>
      </w:r>
      <w:r>
        <w:t xml:space="preserve">- CDB depende de apetite do investidor varejo</w:t>
      </w:r>
      <w:r>
        <w:t xml:space="preserve"> </w:t>
      </w:r>
      <w:r>
        <w:t xml:space="preserve">- Stress: corrida bancária reduz renovação de CDB em 40%</w:t>
      </w:r>
    </w:p>
    <w:p>
      <w:pPr>
        <w:pStyle w:val="BodyText"/>
      </w:pPr>
      <w:r>
        <w:rPr>
          <w:bCs/>
          <w:b/>
        </w:rPr>
        <w:t xml:space="preserve">Quantificação do risco:</w:t>
      </w:r>
    </w:p>
    <w:p>
      <w:pPr>
        <w:pStyle w:val="SourceCode"/>
      </w:pPr>
      <w:r>
        <w:rPr>
          <w:rStyle w:val="VerbatimChar"/>
        </w:rPr>
        <w:t xml:space="preserve">Cenário stress (30 dias):</w:t>
      </w:r>
      <w:r>
        <w:br/>
      </w:r>
      <w:r>
        <w:rPr>
          <w:rStyle w:val="VerbatimChar"/>
        </w:rPr>
        <w:t xml:space="preserve">- Vencimento CDB:              R$ 120 mi</w:t>
      </w:r>
      <w:r>
        <w:br/>
      </w:r>
      <w:r>
        <w:rPr>
          <w:rStyle w:val="VerbatimChar"/>
        </w:rPr>
        <w:t xml:space="preserve">- Renovação esperada:          50% (vs 85% em cenário base)</w:t>
      </w:r>
      <w:r>
        <w:br/>
      </w:r>
      <w:r>
        <w:rPr>
          <w:rStyle w:val="VerbatimChar"/>
        </w:rPr>
        <w:t xml:space="preserve">- Gap de liquidez:             R$ 60 mi</w:t>
      </w:r>
      <w:r>
        <w:br/>
      </w:r>
      <w:r>
        <w:rPr>
          <w:rStyle w:val="VerbatimChar"/>
        </w:rPr>
        <w:t xml:space="preserve">- Colateral disponível (LFT):  R$ 85 mi</w:t>
      </w:r>
      <w:r>
        <w:br/>
      </w:r>
      <w:r>
        <w:rPr>
          <w:rStyle w:val="VerbatimChar"/>
        </w:rPr>
        <w:t xml:space="preserve">- Margem de segurança:         R$ 25 mi ✓</w:t>
      </w:r>
    </w:p>
    <w:bookmarkEnd w:id="51"/>
    <w:bookmarkStart w:id="55" w:name="controles-mínimos"/>
    <w:p>
      <w:pPr>
        <w:pStyle w:val="Heading3"/>
      </w:pPr>
      <w:r>
        <w:t xml:space="preserve">4.3 Controles Mínimos</w:t>
      </w:r>
    </w:p>
    <w:bookmarkStart w:id="52" w:name="limites-e-triggers"/>
    <w:p>
      <w:pPr>
        <w:pStyle w:val="Heading4"/>
      </w:pPr>
      <w:r>
        <w:t xml:space="preserve">1. Limites e Triggers</w:t>
      </w:r>
    </w:p>
    <w:p>
      <w:pPr>
        <w:pStyle w:val="SourceCode"/>
      </w:pPr>
      <w:r>
        <w:rPr>
          <w:rStyle w:val="VerbatimChar"/>
        </w:rPr>
        <w:t xml:space="preserve">Indicador                        | Limite    | Trigger Ação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─────────────────────────────────|───────────|──────────────</w:t>
      </w:r>
      <w:r>
        <w:br/>
      </w:r>
      <w:r>
        <w:rPr>
          <w:rStyle w:val="VerbatimChar"/>
        </w:rPr>
        <w:t xml:space="preserve">LCR (Liquidity Coverage Ratio)  | &gt;120%     | &lt;130% → Alerta ao Tesouraria</w:t>
      </w:r>
      <w:r>
        <w:br/>
      </w:r>
      <w:r>
        <w:rPr>
          <w:rStyle w:val="VerbatimChar"/>
        </w:rPr>
        <w:t xml:space="preserve">NSFR (Net Stable Funding Ratio) | &gt;110%     | &lt;115% → Revisar estratégia funding</w:t>
      </w:r>
      <w:r>
        <w:br/>
      </w:r>
      <w:r>
        <w:rPr>
          <w:rStyle w:val="VerbatimChar"/>
        </w:rPr>
        <w:t xml:space="preserve">Concentração DPGE2/Total        | &lt;40%      | &gt;35% → Diversificar</w:t>
      </w:r>
      <w:r>
        <w:br/>
      </w:r>
      <w:r>
        <w:rPr>
          <w:rStyle w:val="VerbatimChar"/>
        </w:rPr>
        <w:t xml:space="preserve">Prazo médio funding             | &gt;24 meses | &lt;27 meses → Alongar emissões</w:t>
      </w:r>
      <w:r>
        <w:br/>
      </w:r>
      <w:r>
        <w:rPr>
          <w:rStyle w:val="VerbatimChar"/>
        </w:rPr>
        <w:t xml:space="preserve">Gap ALM (funding-ativo)         | &lt;6 meses  | &gt;5 meses → Ajustar mix</w:t>
      </w:r>
      <w:r>
        <w:br/>
      </w:r>
      <w:r>
        <w:rPr>
          <w:rStyle w:val="VerbatimChar"/>
        </w:rPr>
        <w:t xml:space="preserve">Taxa de renovação CDB           | &gt;75%      | &lt;78% → Aumentar remuneração</w:t>
      </w:r>
    </w:p>
    <w:bookmarkEnd w:id="52"/>
    <w:bookmarkStart w:id="53" w:name="governança"/>
    <w:p>
      <w:pPr>
        <w:pStyle w:val="Heading4"/>
      </w:pPr>
      <w:r>
        <w:t xml:space="preserve">2. Governança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Comitê de ALM</w:t>
      </w:r>
      <w:r>
        <w:t xml:space="preserve">: Reunião quinzenal (Tesouraria, Funding, Risco, Produtos)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Stress test</w:t>
      </w:r>
      <w:r>
        <w:t xml:space="preserve">: Mensal (cenários -30%, -50% renovação CDB)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Plano de contingência</w:t>
      </w:r>
      <w:r>
        <w:t xml:space="preserve">: Acesso a redesconto, venda de carteira (FIDC)</w:t>
      </w:r>
    </w:p>
    <w:bookmarkEnd w:id="53"/>
    <w:bookmarkStart w:id="54" w:name="hedge-de-taxa"/>
    <w:p>
      <w:pPr>
        <w:pStyle w:val="Heading4"/>
      </w:pPr>
      <w:r>
        <w:t xml:space="preserve">3. Hedge de Taxa</w:t>
      </w:r>
    </w:p>
    <w:p>
      <w:pPr>
        <w:numPr>
          <w:ilvl w:val="0"/>
          <w:numId w:val="1012"/>
        </w:numPr>
        <w:pStyle w:val="Compact"/>
      </w:pPr>
      <w:r>
        <w:t xml:space="preserve">Swap CDI x Pré-fixado para 30% da carteira DPGE2 (proteção contra alta de juros)</w:t>
      </w:r>
    </w:p>
    <w:p>
      <w:pPr>
        <w:numPr>
          <w:ilvl w:val="0"/>
          <w:numId w:val="1012"/>
        </w:numPr>
        <w:pStyle w:val="Compact"/>
      </w:pPr>
      <w:r>
        <w:t xml:space="preserve">Mark-to-market mensal</w:t>
      </w:r>
    </w:p>
    <w:bookmarkEnd w:id="54"/>
    <w:bookmarkEnd w:id="55"/>
    <w:bookmarkStart w:id="58" w:name="justificativa-prazo-e-custo"/>
    <w:p>
      <w:pPr>
        <w:pStyle w:val="Heading3"/>
      </w:pPr>
      <w:r>
        <w:t xml:space="preserve">4.4 Justificativa Prazo e Custo</w:t>
      </w:r>
    </w:p>
    <w:bookmarkStart w:id="56" w:name="prazo-31-meses-wal-ponderado"/>
    <w:p>
      <w:pPr>
        <w:pStyle w:val="Heading4"/>
      </w:pPr>
      <w:r>
        <w:t xml:space="preserve">Prazo: 31 meses (WAL ponderado)</w:t>
      </w:r>
    </w:p>
    <w:p>
      <w:pPr>
        <w:pStyle w:val="FirstParagraph"/>
      </w:pPr>
      <w:r>
        <w:rPr>
          <w:bCs/>
          <w:b/>
        </w:rPr>
        <w:t xml:space="preserve">Por que este prazo?</w:t>
      </w:r>
      <w:r>
        <w:t xml:space="preserve"> </w:t>
      </w:r>
      <w:r>
        <w:t xml:space="preserve">1. Match com duration da carteira PF (34 meses)</w:t>
      </w:r>
      <w:r>
        <w:t xml:space="preserve"> </w:t>
      </w:r>
      <w:r>
        <w:t xml:space="preserve">2. Reduz risco de refinanciamento</w:t>
      </w:r>
      <w:r>
        <w:t xml:space="preserve"> </w:t>
      </w:r>
      <w:r>
        <w:t xml:space="preserve">3. DPGE2 exige prazo mínimo de 24 meses (optamos por 36m para taxa melhor)</w:t>
      </w:r>
      <w:r>
        <w:t xml:space="preserve"> </w:t>
      </w:r>
      <w:r>
        <w:t xml:space="preserve">4. Equilibra custo (prazo maior = juros mais altos) e estabilidade</w:t>
      </w:r>
    </w:p>
    <w:bookmarkEnd w:id="56"/>
    <w:bookmarkStart w:id="57" w:name="custo-141-a.a.-cdi-05-p.p.-ponderado"/>
    <w:p>
      <w:pPr>
        <w:pStyle w:val="Heading4"/>
      </w:pPr>
      <w:r>
        <w:t xml:space="preserve">Custo: 14,1% a.a. (CDI + 0,5 p.p. ponderado)</w:t>
      </w:r>
    </w:p>
    <w:p>
      <w:pPr>
        <w:pStyle w:val="FirstParagraph"/>
      </w:pPr>
      <w:r>
        <w:rPr>
          <w:bCs/>
          <w:b/>
        </w:rPr>
        <w:t xml:space="preserve">Por que este custo?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Benchmark de mercado</w:t>
      </w:r>
      <w:r>
        <w:t xml:space="preserve">: CDB médio a 14,6% (CDI + 0,9%)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Economia vs status quo</w:t>
      </w:r>
      <w:r>
        <w:t xml:space="preserve">: R$ 5 mi/ano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Viabilidade do negócio</w:t>
      </w:r>
      <w:r>
        <w:t xml:space="preserve">:</w:t>
      </w:r>
      <w:r>
        <w:t xml:space="preserve"> </w:t>
      </w:r>
      <w:r>
        <w:rPr>
          <w:rStyle w:val="VerbatimChar"/>
        </w:rPr>
        <w:t xml:space="preserve">Receita de juros (carteira):    21,8% média ponderada    (-) Custo de funding:            14,1%    (-) Perda esperada:               2,8%    (-) Custo operacional:            2,2%    ─────────────────────────────────────────────────    Margem líquida (NIM):             2,7%    ROE esperado:                    ~22% ✓ (meta: &gt;18%)</w:t>
      </w:r>
    </w:p>
    <w:p>
      <w:pPr>
        <w:pStyle w:val="BodyText"/>
      </w:pPr>
      <w:r>
        <w:rPr>
          <w:bCs/>
          <w:b/>
        </w:rPr>
        <w:t xml:space="preserve">Conclusão</w:t>
      </w:r>
      <w:r>
        <w:t xml:space="preserve">: Custo de 14,1% permite ROE de 22%, acima do custo de capital (15%) e da meta estratégica (18%).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4" w:name="parte-5-npd-new-product-development"/>
    <w:p>
      <w:pPr>
        <w:pStyle w:val="Heading2"/>
      </w:pPr>
      <w:r>
        <w:t xml:space="preserve">PARTE 5 – NPD (NEW PRODUCT DEVELOPMENT)</w:t>
      </w:r>
    </w:p>
    <w:bookmarkStart w:id="60" w:name="X83c6dcc45b2835ecf1b56072434d842c4053863"/>
    <w:p>
      <w:pPr>
        <w:pStyle w:val="Heading3"/>
      </w:pPr>
      <w:r>
        <w:t xml:space="preserve">5.1 Novo Produto Escolhido: ANTECIPAÇÃO DE FGTS DIGITAL</w:t>
      </w:r>
    </w:p>
    <w:p>
      <w:pPr>
        <w:pStyle w:val="FirstParagraph"/>
      </w:pPr>
      <w:r>
        <w:rPr>
          <w:bCs/>
          <w:b/>
        </w:rPr>
        <w:t xml:space="preserve">Racional estratégico:</w:t>
      </w:r>
      <w:r>
        <w:t xml:space="preserve"> </w:t>
      </w:r>
      <w:r>
        <w:t xml:space="preserve">- Mercado: 40 milhões de trabalhadores CLT com FGTS</w:t>
      </w:r>
      <w:r>
        <w:t xml:space="preserve"> </w:t>
      </w:r>
      <w:r>
        <w:t xml:space="preserve">- Ticket médio: R$ 3.500 (saldo médio FGTS ativo)</w:t>
      </w:r>
      <w:r>
        <w:t xml:space="preserve"> </w:t>
      </w:r>
      <w:r>
        <w:t xml:space="preserve">- Penetração atual: 12% (oportunidade de crescimento)</w:t>
      </w:r>
      <w:r>
        <w:t xml:space="preserve"> </w:t>
      </w:r>
      <w:r>
        <w:t xml:space="preserve">- Diferencial: 100% digital via open banking (FGTS Digital - MP 1.185/2023)</w:t>
      </w:r>
      <w:r>
        <w:t xml:space="preserve"> </w:t>
      </w:r>
      <w:r>
        <w:t xml:space="preserve">- Risco baixo: Lastro garantido (saldo FGTS)</w:t>
      </w:r>
    </w:p>
    <w:bookmarkEnd w:id="60"/>
    <w:bookmarkStart w:id="66" w:name="stage-gate-0-a-4"/>
    <w:p>
      <w:pPr>
        <w:pStyle w:val="Heading3"/>
      </w:pPr>
      <w:r>
        <w:t xml:space="preserve">5.2 Stage-Gate (0 a 4)</w:t>
      </w:r>
    </w:p>
    <w:bookmarkStart w:id="61" w:name="gate-0-ideação"/>
    <w:p>
      <w:pPr>
        <w:pStyle w:val="Heading4"/>
      </w:pPr>
      <w:r>
        <w:t xml:space="preserve">GATE 0: IDEAÇÃO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Validar problema e oportunidade</w:t>
      </w:r>
    </w:p>
    <w:p>
      <w:pPr>
        <w:pStyle w:val="BodyText"/>
      </w:pPr>
      <w:r>
        <w:rPr>
          <w:bCs/>
          <w:b/>
        </w:rPr>
        <w:t xml:space="preserve">Atividades:</w:t>
      </w:r>
      <w:r>
        <w:t xml:space="preserve"> </w:t>
      </w:r>
      <w:r>
        <w:t xml:space="preserve">- Survey com 2.000 clientes: 68% demonstraram interesse em antecipar FGTS</w:t>
      </w:r>
      <w:r>
        <w:t xml:space="preserve"> </w:t>
      </w:r>
      <w:r>
        <w:t xml:space="preserve">- Análise de mercado: Concorrentes oferecem taxa média de 1,99% a.m. (26,7% a.a.)</w:t>
      </w:r>
      <w:r>
        <w:t xml:space="preserve"> </w:t>
      </w:r>
      <w:r>
        <w:t xml:space="preserve">- Workshop interno: Alinhamento de Produtos, TI, Risco, Jurídico</w:t>
      </w:r>
    </w:p>
    <w:p>
      <w:pPr>
        <w:pStyle w:val="BodyText"/>
      </w:pPr>
      <w:r>
        <w:rPr>
          <w:bCs/>
          <w:b/>
        </w:rPr>
        <w:t xml:space="preserve">Critérios de aprovação:</w:t>
      </w:r>
      <w:r>
        <w:t xml:space="preserve"> </w:t>
      </w:r>
      <w:r>
        <w:t xml:space="preserve">- ✅ Demanda validada (&gt;50% interesse)</w:t>
      </w:r>
      <w:r>
        <w:t xml:space="preserve"> </w:t>
      </w:r>
      <w:r>
        <w:t xml:space="preserve">- ✅ Viabilidade regulatória confirmada (MP 1.185 e Resolução FGTS 1.048)</w:t>
      </w:r>
      <w:r>
        <w:t xml:space="preserve"> </w:t>
      </w:r>
      <w:r>
        <w:t xml:space="preserve">- ✅ Patrocínio executivo (CCO)</w:t>
      </w:r>
    </w:p>
    <w:p>
      <w:pPr>
        <w:pStyle w:val="BodyText"/>
      </w:pPr>
      <w:r>
        <w:rPr>
          <w:bCs/>
          <w:b/>
        </w:rPr>
        <w:t xml:space="preserve">Decisão</w:t>
      </w:r>
      <w:r>
        <w:t xml:space="preserve">: GO para Gate 1</w:t>
      </w:r>
    </w:p>
    <w:p>
      <w:r>
        <w:pict>
          <v:rect style="width:0;height:1.5pt" o:hralign="center" o:hrstd="t" o:hr="t"/>
        </w:pict>
      </w:r>
    </w:p>
    <w:bookmarkEnd w:id="61"/>
    <w:bookmarkStart w:id="62" w:name="gate-1-descoberta"/>
    <w:p>
      <w:pPr>
        <w:pStyle w:val="Heading4"/>
      </w:pPr>
      <w:r>
        <w:t xml:space="preserve">GATE 1: DESCOBERTA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Refinar proposta de valor e modelo de negócio</w:t>
      </w:r>
    </w:p>
    <w:p>
      <w:pPr>
        <w:pStyle w:val="BodyText"/>
      </w:pPr>
      <w:r>
        <w:rPr>
          <w:bCs/>
          <w:b/>
        </w:rPr>
        <w:t xml:space="preserve">Atividades: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Customer discovery:</w:t>
      </w:r>
      <w:r>
        <w:t xml:space="preserve"> </w:t>
      </w:r>
      <w:r>
        <w:t xml:space="preserve">- 50 entrevistas em profundidade</w:t>
      </w:r>
      <w:r>
        <w:t xml:space="preserve"> </w:t>
      </w:r>
      <w:r>
        <w:t xml:space="preserve">- Jobs-to-be-done:</w:t>
      </w:r>
      <w:r>
        <w:t xml:space="preserve"> </w:t>
      </w:r>
      <w:r>
        <w:t xml:space="preserve">“</w:t>
      </w:r>
      <w:r>
        <w:t xml:space="preserve">Preciso de dinheiro rápido sem burocracia</w:t>
      </w:r>
      <w:r>
        <w:t xml:space="preserve">”</w:t>
      </w:r>
      <w:r>
        <w:t xml:space="preserve"> </w:t>
      </w:r>
      <w:r>
        <w:t xml:space="preserve">- Personas: João (CLT, renda R$ 3,5k), Maria (autônoma, ex-CLT)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Análise competitiva:</w:t>
      </w:r>
      <w:r>
        <w:t xml:space="preserve"> </w:t>
      </w:r>
      <w:r>
        <w:t xml:space="preserve">| Concorrente | Taxa | Prazo | Processo | NPS |</w:t>
      </w:r>
      <w:r>
        <w:t xml:space="preserve"> </w:t>
      </w:r>
      <w:r>
        <w:t xml:space="preserve">|————-|——|——-|———-|—–|</w:t>
      </w:r>
      <w:r>
        <w:t xml:space="preserve"> </w:t>
      </w:r>
      <w:r>
        <w:t xml:space="preserve">| Banco A | 1,99% a.m. | 72h | Presencial | 62 |</w:t>
      </w:r>
      <w:r>
        <w:t xml:space="preserve"> </w:t>
      </w:r>
      <w:r>
        <w:t xml:space="preserve">| Fintech B | 1,79% a.m. | 48h | App | 78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Nossa proposta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1,49% a.m.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15 min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App 100% digital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Meta: 80</w:t>
      </w:r>
      <w:r>
        <w:t xml:space="preserve"> </w:t>
      </w:r>
      <w:r>
        <w:t xml:space="preserve">|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Unit economics (versão preliminar):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Ticket médio:                R$ 3.500</w:t>
      </w:r>
      <w:r>
        <w:br/>
      </w:r>
      <w:r>
        <w:rPr>
          <w:rStyle w:val="VerbatimChar"/>
        </w:rPr>
        <w:t xml:space="preserve">Taxa:                        1,49% a.m. (19,5% a.a.)</w:t>
      </w:r>
      <w:r>
        <w:br/>
      </w:r>
      <w:r>
        <w:rPr>
          <w:rStyle w:val="VerbatimChar"/>
        </w:rPr>
        <w:t xml:space="preserve">Prazo médio:                 12 meses (desconto do FGTS futuro)</w:t>
      </w:r>
      <w:r>
        <w:br/>
      </w:r>
      <w:r>
        <w:br/>
      </w:r>
      <w:r>
        <w:rPr>
          <w:rStyle w:val="VerbatimChar"/>
        </w:rPr>
        <w:t xml:space="preserve">Receita por cliente:         R$ 626 (12 × R$ 52)</w:t>
      </w:r>
      <w:r>
        <w:br/>
      </w:r>
      <w:r>
        <w:rPr>
          <w:rStyle w:val="VerbatimChar"/>
        </w:rPr>
        <w:t xml:space="preserve">(-) Custo de funding:        R$ 441 (12,5% a.a.)</w:t>
      </w:r>
      <w:r>
        <w:br/>
      </w:r>
      <w:r>
        <w:rPr>
          <w:rStyle w:val="VerbatimChar"/>
        </w:rPr>
        <w:t xml:space="preserve">(-) Perda esperada:          R$ 18 (0,5% - garantia FGTS)</w:t>
      </w:r>
      <w:r>
        <w:br/>
      </w:r>
      <w:r>
        <w:rPr>
          <w:rStyle w:val="VerbatimChar"/>
        </w:rPr>
        <w:t xml:space="preserve">(-) Custo operacional:       R$ 70 (TI + atendimento)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Margem unitária:             R$ 97 (15,5% do ticket)</w:t>
      </w:r>
      <w:r>
        <w:br/>
      </w:r>
      <w:r>
        <w:rPr>
          <w:rStyle w:val="VerbatimChar"/>
        </w:rPr>
        <w:t xml:space="preserve">CAC target:                  R$ 80</w:t>
      </w:r>
      <w:r>
        <w:br/>
      </w:r>
      <w:r>
        <w:rPr>
          <w:rStyle w:val="VerbatimChar"/>
        </w:rPr>
        <w:t xml:space="preserve">LTV/CAC:                     7,8x (excelente) ✓</w:t>
      </w:r>
    </w:p>
    <w:p>
      <w:pPr>
        <w:pStyle w:val="FirstParagraph"/>
      </w:pPr>
      <w:r>
        <w:rPr>
          <w:bCs/>
          <w:b/>
        </w:rPr>
        <w:t xml:space="preserve">Critérios de aprovação:</w:t>
      </w:r>
      <w:r>
        <w:t xml:space="preserve"> </w:t>
      </w:r>
      <w:r>
        <w:t xml:space="preserve">- ✅ LTV/CAC &gt; 3x</w:t>
      </w:r>
      <w:r>
        <w:t xml:space="preserve"> </w:t>
      </w:r>
      <w:r>
        <w:t xml:space="preserve">- ✅ Margem unitária &gt; 10%</w:t>
      </w:r>
      <w:r>
        <w:t xml:space="preserve"> </w:t>
      </w:r>
      <w:r>
        <w:t xml:space="preserve">- ✅ Diferenciação clara (15min vs 48h concorrente)</w:t>
      </w:r>
    </w:p>
    <w:p>
      <w:pPr>
        <w:pStyle w:val="BodyText"/>
      </w:pPr>
      <w:r>
        <w:rPr>
          <w:bCs/>
          <w:b/>
        </w:rPr>
        <w:t xml:space="preserve">Decisão</w:t>
      </w:r>
      <w:r>
        <w:t xml:space="preserve">: GO para Gate 2</w:t>
      </w:r>
    </w:p>
    <w:p>
      <w:r>
        <w:pict>
          <v:rect style="width:0;height:1.5pt" o:hralign="center" o:hrstd="t" o:hr="t"/>
        </w:pict>
      </w:r>
    </w:p>
    <w:bookmarkEnd w:id="62"/>
    <w:bookmarkStart w:id="63" w:name="gate-2-desenvolvimento"/>
    <w:p>
      <w:pPr>
        <w:pStyle w:val="Heading4"/>
      </w:pPr>
      <w:r>
        <w:t xml:space="preserve">GATE 2: DESENVOLVIMENTO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Construir MVP e validar viabilidade técnica</w:t>
      </w:r>
    </w:p>
    <w:p>
      <w:pPr>
        <w:pStyle w:val="BodyText"/>
      </w:pPr>
      <w:r>
        <w:rPr>
          <w:bCs/>
          <w:b/>
        </w:rPr>
        <w:t xml:space="preserve">Atividades: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Desenvolvimento de produto:</w:t>
      </w:r>
      <w:r>
        <w:t xml:space="preserve"> </w:t>
      </w:r>
      <w:r>
        <w:t xml:space="preserve">- Integração com API FGTS Digital (Caixa Econômica)</w:t>
      </w:r>
      <w:r>
        <w:t xml:space="preserve"> </w:t>
      </w:r>
      <w:r>
        <w:t xml:space="preserve">- Fluxo de consentimento open banking</w:t>
      </w:r>
      <w:r>
        <w:t xml:space="preserve"> </w:t>
      </w:r>
      <w:r>
        <w:t xml:space="preserve">- Simulador de antecipação (cálculo de saldo disponível)</w:t>
      </w:r>
      <w:r>
        <w:t xml:space="preserve"> </w:t>
      </w:r>
      <w:r>
        <w:t xml:space="preserve">- Motor de crédito (score + validação de elegibilidade)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Arquitetura: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Cliente → App Banco → BFF → API FGTS Digital (Caixa)</w:t>
      </w:r>
      <w:r>
        <w:br/>
      </w:r>
      <w:r>
        <w:rPr>
          <w:rStyle w:val="VerbatimChar"/>
        </w:rPr>
        <w:t xml:space="preserve">                           → Motor de Crédito</w:t>
      </w:r>
      <w:r>
        <w:br/>
      </w:r>
      <w:r>
        <w:rPr>
          <w:rStyle w:val="VerbatimChar"/>
        </w:rPr>
        <w:t xml:space="preserve">                           → Core Bancário (desembolso)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Compliance:</w:t>
      </w:r>
    </w:p>
    <w:p>
      <w:pPr>
        <w:numPr>
          <w:ilvl w:val="1"/>
          <w:numId w:val="1015"/>
        </w:numPr>
        <w:pStyle w:val="Compact"/>
      </w:pPr>
      <w:r>
        <w:t xml:space="preserve">Adequação LGPD (consentimento, base legal)</w:t>
      </w:r>
    </w:p>
    <w:p>
      <w:pPr>
        <w:numPr>
          <w:ilvl w:val="1"/>
          <w:numId w:val="1015"/>
        </w:numPr>
        <w:pStyle w:val="Compact"/>
      </w:pPr>
      <w:r>
        <w:t xml:space="preserve">Certificação de segurança (OWASP Top 10)</w:t>
      </w:r>
    </w:p>
    <w:p>
      <w:pPr>
        <w:numPr>
          <w:ilvl w:val="1"/>
          <w:numId w:val="1015"/>
        </w:numPr>
        <w:pStyle w:val="Compact"/>
      </w:pPr>
      <w:r>
        <w:t xml:space="preserve">Parecer jurídico (legalidade da operação)</w:t>
      </w:r>
    </w:p>
    <w:p>
      <w:pPr>
        <w:pStyle w:val="FirstParagraph"/>
      </w:pPr>
      <w:r>
        <w:rPr>
          <w:bCs/>
          <w:b/>
        </w:rPr>
        <w:t xml:space="preserve">Investimento:</w:t>
      </w:r>
      <w:r>
        <w:t xml:space="preserve"> </w:t>
      </w:r>
      <w:r>
        <w:t xml:space="preserve">- Dev squad (6 pessoas × 3 meses): R$ 360k</w:t>
      </w:r>
      <w:r>
        <w:t xml:space="preserve"> </w:t>
      </w:r>
      <w:r>
        <w:t xml:space="preserve">- Infraestrutura cloud: R$ 45k</w:t>
      </w:r>
      <w:r>
        <w:t xml:space="preserve"> </w:t>
      </w:r>
      <w:r>
        <w:t xml:space="preserve">- Consultorias (jurídico, compliance): R$ 80k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</w:t>
      </w:r>
      <w:r>
        <w:t xml:space="preserve">: R$ 485k</w:t>
      </w:r>
    </w:p>
    <w:p>
      <w:pPr>
        <w:pStyle w:val="BodyText"/>
      </w:pPr>
      <w:r>
        <w:rPr>
          <w:bCs/>
          <w:b/>
        </w:rPr>
        <w:t xml:space="preserve">Critérios de aprovação:</w:t>
      </w:r>
      <w:r>
        <w:t xml:space="preserve"> </w:t>
      </w:r>
      <w:r>
        <w:t xml:space="preserve">- ✅ MVP funcional (testes internos)</w:t>
      </w:r>
      <w:r>
        <w:t xml:space="preserve"> </w:t>
      </w:r>
      <w:r>
        <w:t xml:space="preserve">- ✅ SLA API FGTS &lt; 5s (p95)</w:t>
      </w:r>
      <w:r>
        <w:t xml:space="preserve"> </w:t>
      </w:r>
      <w:r>
        <w:t xml:space="preserve">- ✅ Taxa de conversão simulação→aprovação &gt; 40% (teste interno)</w:t>
      </w:r>
    </w:p>
    <w:p>
      <w:pPr>
        <w:pStyle w:val="BodyText"/>
      </w:pPr>
      <w:r>
        <w:rPr>
          <w:bCs/>
          <w:b/>
        </w:rPr>
        <w:t xml:space="preserve">Decisão</w:t>
      </w:r>
      <w:r>
        <w:t xml:space="preserve">: GO para Gate 3</w:t>
      </w:r>
    </w:p>
    <w:p>
      <w:r>
        <w:pict>
          <v:rect style="width:0;height:1.5pt" o:hralign="center" o:hrstd="t" o:hr="t"/>
        </w:pict>
      </w:r>
    </w:p>
    <w:bookmarkEnd w:id="63"/>
    <w:bookmarkStart w:id="64" w:name="gate-3-teste-pilot"/>
    <w:p>
      <w:pPr>
        <w:pStyle w:val="Heading4"/>
      </w:pPr>
      <w:r>
        <w:t xml:space="preserve">GATE 3: TESTE (PILOT)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Validar product-market fit em escala reduzida</w:t>
      </w:r>
    </w:p>
    <w:p>
      <w:pPr>
        <w:pStyle w:val="BodyText"/>
      </w:pPr>
      <w:r>
        <w:rPr>
          <w:bCs/>
          <w:b/>
        </w:rPr>
        <w:t xml:space="preserve">Piloto: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Público</w:t>
      </w:r>
      <w:r>
        <w:t xml:space="preserve">: 5.000 clientes (base PF, faixa A/B)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Duração</w:t>
      </w:r>
      <w:r>
        <w:t xml:space="preserve">: 60 dias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Região</w:t>
      </w:r>
      <w:r>
        <w:t xml:space="preserve">: São Paulo e Rio de Janeiro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 de conversão</w:t>
      </w:r>
      <w:r>
        <w:t xml:space="preserve">: 8% (400 operações)</w:t>
      </w:r>
    </w:p>
    <w:p>
      <w:pPr>
        <w:pStyle w:val="BodyText"/>
      </w:pPr>
      <w:r>
        <w:rPr>
          <w:bCs/>
          <w:b/>
        </w:rPr>
        <w:t xml:space="preserve">Métricas de validação:</w:t>
      </w:r>
      <w:r>
        <w:t xml:space="preserve"> </w:t>
      </w:r>
      <w:r>
        <w:t xml:space="preserve">| Métrica | Meta | Real (60 dias) | Status |</w:t>
      </w:r>
      <w:r>
        <w:t xml:space="preserve"> </w:t>
      </w:r>
      <w:r>
        <w:t xml:space="preserve">|———|——|—————-|——–|</w:t>
      </w:r>
      <w:r>
        <w:t xml:space="preserve"> </w:t>
      </w:r>
      <w:r>
        <w:t xml:space="preserve">| Taxa de conversão | 8% | 9,2% | ✅ |</w:t>
      </w:r>
      <w:r>
        <w:t xml:space="preserve"> </w:t>
      </w:r>
      <w:r>
        <w:t xml:space="preserve">| NPS | &gt;70 | 82 | ✅ |</w:t>
      </w:r>
      <w:r>
        <w:t xml:space="preserve"> </w:t>
      </w:r>
      <w:r>
        <w:t xml:space="preserve">| Ticket médio | R$ 3.500 | R$ 3.780 | ✅ |</w:t>
      </w:r>
      <w:r>
        <w:t xml:space="preserve"> </w:t>
      </w:r>
      <w:r>
        <w:t xml:space="preserve">| Tempo médio de aprovação | &lt;20 min | 12 min | ✅ |</w:t>
      </w:r>
      <w:r>
        <w:t xml:space="preserve"> </w:t>
      </w:r>
      <w:r>
        <w:t xml:space="preserve">| Inadimplência 30+ | &lt;1% | 0,3% | ✅ |</w:t>
      </w:r>
      <w:r>
        <w:t xml:space="preserve"> </w:t>
      </w:r>
      <w:r>
        <w:t xml:space="preserve">| CAC | &lt;R$ 100 | R$ 76 | ✅ |</w:t>
      </w:r>
    </w:p>
    <w:p>
      <w:pPr>
        <w:pStyle w:val="BodyText"/>
      </w:pPr>
      <w:r>
        <w:rPr>
          <w:bCs/>
          <w:b/>
        </w:rPr>
        <w:t xml:space="preserve">Aprendizados:</w:t>
      </w:r>
      <w:r>
        <w:t xml:space="preserve"> </w:t>
      </w:r>
      <w:r>
        <w:t xml:space="preserve">- Feature mais usada: Simulador</w:t>
      </w:r>
      <w:r>
        <w:t xml:space="preserve"> </w:t>
      </w:r>
      <w:r>
        <w:t xml:space="preserve">“</w:t>
      </w:r>
      <w:r>
        <w:t xml:space="preserve">quanto posso antecipar?</w:t>
      </w:r>
      <w:r>
        <w:t xml:space="preserve">”</w:t>
      </w:r>
      <w:r>
        <w:t xml:space="preserve"> </w:t>
      </w:r>
      <w:r>
        <w:t xml:space="preserve">- Drop-off principal: Consentimento open banking (18% desistem) → Simplificar copy</w:t>
      </w:r>
      <w:r>
        <w:t xml:space="preserve"> </w:t>
      </w:r>
      <w:r>
        <w:t xml:space="preserve">- Upsell: 22% dos clientes aceitaram seguro de desemprego opt-in</w:t>
      </w:r>
    </w:p>
    <w:p>
      <w:pPr>
        <w:pStyle w:val="BodyText"/>
      </w:pPr>
      <w:r>
        <w:rPr>
          <w:bCs/>
          <w:b/>
        </w:rPr>
        <w:t xml:space="preserve">Critérios de aprovação:</w:t>
      </w:r>
      <w:r>
        <w:t xml:space="preserve"> </w:t>
      </w:r>
      <w:r>
        <w:t xml:space="preserve">- ✅ NPS &gt; 70</w:t>
      </w:r>
      <w:r>
        <w:t xml:space="preserve"> </w:t>
      </w:r>
      <w:r>
        <w:t xml:space="preserve">- ✅ Taxa de conversão &gt; 6%</w:t>
      </w:r>
      <w:r>
        <w:t xml:space="preserve"> </w:t>
      </w:r>
      <w:r>
        <w:t xml:space="preserve">- ✅ LTV/CAC validado (&gt; 3x)</w:t>
      </w:r>
      <w:r>
        <w:t xml:space="preserve"> </w:t>
      </w:r>
      <w:r>
        <w:t xml:space="preserve">- ✅ Inadimplência &lt; 1,5%</w:t>
      </w:r>
    </w:p>
    <w:p>
      <w:pPr>
        <w:pStyle w:val="BodyText"/>
      </w:pPr>
      <w:r>
        <w:rPr>
          <w:bCs/>
          <w:b/>
        </w:rPr>
        <w:t xml:space="preserve">Decisão</w:t>
      </w:r>
      <w:r>
        <w:t xml:space="preserve">: GO para Gate 4</w:t>
      </w:r>
    </w:p>
    <w:p>
      <w:r>
        <w:pict>
          <v:rect style="width:0;height:1.5pt" o:hralign="center" o:hrstd="t" o:hr="t"/>
        </w:pict>
      </w:r>
    </w:p>
    <w:bookmarkEnd w:id="64"/>
    <w:bookmarkStart w:id="65" w:name="gate-4-lançamento-scale-up"/>
    <w:p>
      <w:pPr>
        <w:pStyle w:val="Heading4"/>
      </w:pPr>
      <w:r>
        <w:t xml:space="preserve">GATE 4: LANÇAMENTO (SCALE-UP)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Ramp-up nacional e escala</w:t>
      </w:r>
    </w:p>
    <w:p>
      <w:pPr>
        <w:pStyle w:val="BodyText"/>
      </w:pPr>
      <w:r>
        <w:rPr>
          <w:bCs/>
          <w:b/>
        </w:rPr>
        <w:t xml:space="preserve">Plano de rollout:</w:t>
      </w:r>
    </w:p>
    <w:p>
      <w:pPr>
        <w:pStyle w:val="SourceCode"/>
      </w:pPr>
      <w:r>
        <w:rPr>
          <w:rStyle w:val="VerbatimChar"/>
        </w:rPr>
        <w:t xml:space="preserve">Fase 1 (M1-M2):   São Paulo + Rio (10% da base) →  20k clientes elegíveis</w:t>
      </w:r>
      <w:r>
        <w:br/>
      </w:r>
      <w:r>
        <w:rPr>
          <w:rStyle w:val="VerbatimChar"/>
        </w:rPr>
        <w:t xml:space="preserve">Fase 2 (M3-M4):   Sul + Sudeste (40% da base)   →  80k clientes elegíveis</w:t>
      </w:r>
      <w:r>
        <w:br/>
      </w:r>
      <w:r>
        <w:rPr>
          <w:rStyle w:val="VerbatimChar"/>
        </w:rPr>
        <w:t xml:space="preserve">Fase 3 (M5-M6):   Brasil inteiro (100% da base) → 200k clientes elegíveis</w:t>
      </w:r>
    </w:p>
    <w:p>
      <w:pPr>
        <w:pStyle w:val="FirstParagraph"/>
      </w:pPr>
      <w:r>
        <w:rPr>
          <w:bCs/>
          <w:b/>
        </w:rPr>
        <w:t xml:space="preserve">Investimento em marketing:</w:t>
      </w:r>
      <w:r>
        <w:t xml:space="preserve"> </w:t>
      </w:r>
      <w:r>
        <w:t xml:space="preserve">- Performance (Facebook, Google): R$ 400k</w:t>
      </w:r>
      <w:r>
        <w:t xml:space="preserve"> </w:t>
      </w:r>
      <w:r>
        <w:t xml:space="preserve">- Push interno (app, e-mail): R$ 80k</w:t>
      </w:r>
      <w:r>
        <w:t xml:space="preserve"> </w:t>
      </w:r>
      <w:r>
        <w:t xml:space="preserve">- PR e mídia: R$ 120k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</w:t>
      </w:r>
      <w:r>
        <w:t xml:space="preserve">: R$ 600k</w:t>
      </w:r>
    </w:p>
    <w:p>
      <w:pPr>
        <w:pStyle w:val="BodyText"/>
      </w:pPr>
      <w:r>
        <w:rPr>
          <w:bCs/>
          <w:b/>
        </w:rPr>
        <w:t xml:space="preserve">Projeção 12 meses:</w:t>
      </w:r>
    </w:p>
    <w:p>
      <w:pPr>
        <w:pStyle w:val="SourceCode"/>
      </w:pPr>
      <w:r>
        <w:rPr>
          <w:rStyle w:val="VerbatimChar"/>
        </w:rPr>
        <w:t xml:space="preserve">Clientes elegíveis contactados:  200.000</w:t>
      </w:r>
      <w:r>
        <w:br/>
      </w:r>
      <w:r>
        <w:rPr>
          <w:rStyle w:val="VerbatimChar"/>
        </w:rPr>
        <w:t xml:space="preserve">Taxa de conversão:                8,5%</w:t>
      </w:r>
      <w:r>
        <w:br/>
      </w:r>
      <w:r>
        <w:rPr>
          <w:rStyle w:val="VerbatimChar"/>
        </w:rPr>
        <w:t xml:space="preserve">Operações:                        17.000</w:t>
      </w:r>
      <w:r>
        <w:br/>
      </w:r>
      <w:r>
        <w:rPr>
          <w:rStyle w:val="VerbatimChar"/>
        </w:rPr>
        <w:t xml:space="preserve">Ticket médio:                     R$ 3.600</w:t>
      </w:r>
      <w:r>
        <w:br/>
      </w:r>
      <w:r>
        <w:rPr>
          <w:rStyle w:val="VerbatimChar"/>
        </w:rPr>
        <w:t xml:space="preserve">Volume total:                     R$ 61,2 mi</w:t>
      </w:r>
      <w:r>
        <w:br/>
      </w:r>
      <w:r>
        <w:rPr>
          <w:rStyle w:val="VerbatimChar"/>
        </w:rPr>
        <w:t xml:space="preserve">Margem líquida (15,5%):           R$ 9,5 mi</w:t>
      </w:r>
      <w:r>
        <w:br/>
      </w:r>
      <w:r>
        <w:rPr>
          <w:rStyle w:val="VerbatimChar"/>
        </w:rPr>
        <w:t xml:space="preserve">(-) Investimento (dev + mkt):     R$ 1,1 mi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Lucro líquido ano 1:              R$ 8,4 mi</w:t>
      </w:r>
      <w:r>
        <w:br/>
      </w:r>
      <w:r>
        <w:rPr>
          <w:rStyle w:val="VerbatimChar"/>
        </w:rPr>
        <w:t xml:space="preserve">ROI:                              764%</w:t>
      </w:r>
      <w:r>
        <w:br/>
      </w:r>
      <w:r>
        <w:rPr>
          <w:rStyle w:val="VerbatimChar"/>
        </w:rPr>
        <w:t xml:space="preserve">Payback:                          1,6 meses</w:t>
      </w:r>
    </w:p>
    <w:p>
      <w:pPr>
        <w:pStyle w:val="FirstParagraph"/>
      </w:pPr>
      <w:r>
        <w:rPr>
          <w:bCs/>
          <w:b/>
        </w:rPr>
        <w:t xml:space="preserve">Critérios de sucesso:</w:t>
      </w:r>
      <w:r>
        <w:t xml:space="preserve"> </w:t>
      </w:r>
      <w:r>
        <w:t xml:space="preserve">- ✅ Volume &gt; R$ 50 mi no ano 1</w:t>
      </w:r>
      <w:r>
        <w:t xml:space="preserve"> </w:t>
      </w:r>
      <w:r>
        <w:t xml:space="preserve">- ✅ ROI &gt; 300%</w:t>
      </w:r>
      <w:r>
        <w:t xml:space="preserve"> </w:t>
      </w:r>
      <w:r>
        <w:t xml:space="preserve">- ✅ Inadimplência &lt; 1,5%</w:t>
      </w:r>
      <w:r>
        <w:t xml:space="preserve"> </w:t>
      </w:r>
      <w:r>
        <w:t xml:space="preserve">- ✅ Reclamações BACEN &lt; 2 / 1.000 clientes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unit-economics-detalhado"/>
    <w:p>
      <w:pPr>
        <w:pStyle w:val="Heading3"/>
      </w:pPr>
      <w:r>
        <w:t xml:space="preserve">5.3 Unit Economics Detalhado</w:t>
      </w:r>
    </w:p>
    <w:p>
      <w:pPr>
        <w:pStyle w:val="FirstParagraph"/>
      </w:pPr>
      <w:r>
        <w:rPr>
          <w:bCs/>
          <w:b/>
        </w:rPr>
        <w:t xml:space="preserve">Cliente médio - Ano 1:</w:t>
      </w:r>
    </w:p>
    <w:p>
      <w:pPr>
        <w:pStyle w:val="SourceCode"/>
      </w:pPr>
      <w:r>
        <w:rPr>
          <w:rStyle w:val="VerbatimChar"/>
        </w:rPr>
        <w:t xml:space="preserve">RECEITAS:</w:t>
      </w:r>
      <w:r>
        <w:br/>
      </w:r>
      <w:r>
        <w:rPr>
          <w:rStyle w:val="VerbatimChar"/>
        </w:rPr>
        <w:t xml:space="preserve">Juros (1,49% a.m. × R$ 3.600 × 12m):      R$ 644</w:t>
      </w:r>
      <w:r>
        <w:br/>
      </w:r>
      <w:r>
        <w:rPr>
          <w:rStyle w:val="VerbatimChar"/>
        </w:rPr>
        <w:t xml:space="preserve">Tarifa abertura (1,5% × R$ 3.600):         R$ 54</w:t>
      </w:r>
      <w:r>
        <w:br/>
      </w:r>
      <w:r>
        <w:rPr>
          <w:rStyle w:val="VerbatimChar"/>
        </w:rPr>
        <w:t xml:space="preserve">Seguro opt-in (22% adesão, 0,25% a.m.):    R$ 24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Receita total:                             R$ 722</w:t>
      </w:r>
      <w:r>
        <w:br/>
      </w:r>
      <w:r>
        <w:br/>
      </w:r>
      <w:r>
        <w:rPr>
          <w:rStyle w:val="VerbatimChar"/>
        </w:rPr>
        <w:t xml:space="preserve">CUSTOS DIRETOS:</w:t>
      </w:r>
      <w:r>
        <w:br/>
      </w:r>
      <w:r>
        <w:rPr>
          <w:rStyle w:val="VerbatimChar"/>
        </w:rPr>
        <w:t xml:space="preserve">Funding (CDI + 0,5% × R$ 3.600):           R$ 450</w:t>
      </w:r>
      <w:r>
        <w:br/>
      </w:r>
      <w:r>
        <w:rPr>
          <w:rStyle w:val="VerbatimChar"/>
        </w:rPr>
        <w:t xml:space="preserve">Perda esperada (0,5% × R$ 3.600):          R$ 18</w:t>
      </w:r>
      <w:r>
        <w:br/>
      </w:r>
      <w:r>
        <w:rPr>
          <w:rStyle w:val="VerbatimChar"/>
        </w:rPr>
        <w:t xml:space="preserve">Custo operacional:                         R$ 70</w:t>
      </w:r>
      <w:r>
        <w:br/>
      </w:r>
      <w:r>
        <w:rPr>
          <w:rStyle w:val="VerbatimChar"/>
        </w:rPr>
        <w:t xml:space="preserve">CAC:                                       R$ 76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Custo total:                               R$ 614</w:t>
      </w:r>
      <w:r>
        <w:br/>
      </w:r>
      <w:r>
        <w:br/>
      </w:r>
      <w:r>
        <w:rPr>
          <w:rStyle w:val="VerbatimChar"/>
        </w:rPr>
        <w:t xml:space="preserve">MARGEM:</w:t>
      </w:r>
      <w:r>
        <w:br/>
      </w:r>
      <w:r>
        <w:rPr>
          <w:rStyle w:val="VerbatimChar"/>
        </w:rPr>
        <w:t xml:space="preserve">Lucro por cliente (ano 1):                 R$ 108</w:t>
      </w:r>
      <w:r>
        <w:br/>
      </w:r>
      <w:r>
        <w:rPr>
          <w:rStyle w:val="VerbatimChar"/>
        </w:rPr>
        <w:t xml:space="preserve">Margem %:                                  15,0%</w:t>
      </w:r>
      <w:r>
        <w:br/>
      </w:r>
      <w:r>
        <w:br/>
      </w:r>
      <w:r>
        <w:rPr>
          <w:rStyle w:val="VerbatimChar"/>
        </w:rPr>
        <w:t xml:space="preserve">LIFETIME VALUE (3 anos, renovação 40%):</w:t>
      </w:r>
      <w:r>
        <w:br/>
      </w:r>
      <w:r>
        <w:rPr>
          <w:rStyle w:val="VerbatimChar"/>
        </w:rPr>
        <w:t xml:space="preserve">LTV = R$ 108 + (R$ 108 × 0,4) + (R$ 108 × 0,16) = R$ 169</w:t>
      </w:r>
      <w:r>
        <w:br/>
      </w:r>
      <w:r>
        <w:rPr>
          <w:rStyle w:val="VerbatimChar"/>
        </w:rPr>
        <w:t xml:space="preserve">LTV / CAC:                                 2,2x ✓</w:t>
      </w:r>
    </w:p>
    <w:bookmarkEnd w:id="67"/>
    <w:bookmarkStart w:id="68" w:name="kpis-e-kris"/>
    <w:p>
      <w:pPr>
        <w:pStyle w:val="Heading3"/>
      </w:pPr>
      <w:r>
        <w:t xml:space="preserve">5.4 KPIs e KRIs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53"/>
        <w:gridCol w:w="1853"/>
        <w:gridCol w:w="1011"/>
        <w:gridCol w:w="2022"/>
        <w:gridCol w:w="11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Aquisição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qualificados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conversão lead→operação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Inadimplência 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fraude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Eficiência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&lt;R$ 85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Reclamações BACEN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&lt;2/1.000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unitária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Controladoria</w:t>
            </w:r>
          </w:p>
        </w:tc>
      </w:tr>
    </w:tbl>
    <w:bookmarkEnd w:id="68"/>
    <w:bookmarkStart w:id="72" w:name="plano-306090-dias"/>
    <w:p>
      <w:pPr>
        <w:pStyle w:val="Heading3"/>
      </w:pPr>
      <w:r>
        <w:t xml:space="preserve">5.5 Plano 30/60/90 Dias</w:t>
      </w:r>
    </w:p>
    <w:bookmarkStart w:id="69" w:name="dias-1-30-escalar-operação"/>
    <w:p>
      <w:pPr>
        <w:pStyle w:val="Heading4"/>
      </w:pPr>
      <w:r>
        <w:t xml:space="preserve">Dias 1-30: ESCALAR OPERAÇÃO</w:t>
      </w:r>
    </w:p>
    <w:p>
      <w:pPr>
        <w:pStyle w:val="FirstParagraph"/>
      </w:pPr>
      <w:r>
        <w:rPr>
          <w:bCs/>
          <w:b/>
        </w:rPr>
        <w:t xml:space="preserve">Foco:</w:t>
      </w:r>
      <w:r>
        <w:t xml:space="preserve"> </w:t>
      </w:r>
      <w:r>
        <w:t xml:space="preserve">Infraestrutura e treinamento</w:t>
      </w:r>
      <w:r>
        <w:t xml:space="preserve"> </w:t>
      </w:r>
      <w:r>
        <w:t xml:space="preserve">- [ ] Onboarding de 12 atendentes (central de dúvidas)</w:t>
      </w:r>
      <w:r>
        <w:t xml:space="preserve"> </w:t>
      </w:r>
      <w:r>
        <w:t xml:space="preserve">- [ ] Capacidade de processamento: 2.000 operações/dia</w:t>
      </w:r>
      <w:r>
        <w:t xml:space="preserve"> </w:t>
      </w:r>
      <w:r>
        <w:t xml:space="preserve">- [ ] SLA API FGTS: &lt;3s (p95)</w:t>
      </w:r>
      <w:r>
        <w:t xml:space="preserve"> </w:t>
      </w:r>
      <w:r>
        <w:t xml:space="preserve">- [ ] Treinamento gerentes de agência (pitch de 30s)</w:t>
      </w:r>
      <w:r>
        <w:t xml:space="preserve"> </w:t>
      </w:r>
      <w:r>
        <w:t xml:space="preserve">- [ ] Lançamento campanha nacional (mídia digital)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</w:t>
      </w:r>
      <w:r>
        <w:t xml:space="preserve">: 800 operações, R$ 2,8 mi</w:t>
      </w:r>
    </w:p>
    <w:bookmarkEnd w:id="69"/>
    <w:bookmarkStart w:id="70" w:name="dias-31-60-otimizar-conversão"/>
    <w:p>
      <w:pPr>
        <w:pStyle w:val="Heading4"/>
      </w:pPr>
      <w:r>
        <w:t xml:space="preserve">Dias 31-60: OTIMIZAR CONVERSÃO</w:t>
      </w:r>
    </w:p>
    <w:p>
      <w:pPr>
        <w:pStyle w:val="FirstParagraph"/>
      </w:pPr>
      <w:r>
        <w:rPr>
          <w:bCs/>
          <w:b/>
        </w:rPr>
        <w:t xml:space="preserve">Foco:</w:t>
      </w:r>
      <w:r>
        <w:t xml:space="preserve"> </w:t>
      </w:r>
      <w:r>
        <w:t xml:space="preserve">Redução de atrito e upsell</w:t>
      </w:r>
      <w:r>
        <w:t xml:space="preserve"> </w:t>
      </w:r>
      <w:r>
        <w:t xml:space="preserve">- [ ] A/B test: 3 variações de copy no consentimento open banking</w:t>
      </w:r>
      <w:r>
        <w:t xml:space="preserve"> </w:t>
      </w:r>
      <w:r>
        <w:t xml:space="preserve">- [ ] Push notification para clientes elegíveis (segmentação por saldo FGTS)</w:t>
      </w:r>
      <w:r>
        <w:t xml:space="preserve"> </w:t>
      </w:r>
      <w:r>
        <w:t xml:space="preserve">- [ ] Implementar chat in-app (suporte em tempo real)</w:t>
      </w:r>
      <w:r>
        <w:t xml:space="preserve"> </w:t>
      </w:r>
      <w:r>
        <w:t xml:space="preserve">- [ ] Cross-sell de conta corrente (25% dos clientes são only-credit)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</w:t>
      </w:r>
      <w:r>
        <w:t xml:space="preserve">: 1.400 operações (+75%), R$ 5,0 mi</w:t>
      </w:r>
    </w:p>
    <w:bookmarkEnd w:id="70"/>
    <w:bookmarkStart w:id="71" w:name="dias-61-90-escalar-e-sustentar"/>
    <w:p>
      <w:pPr>
        <w:pStyle w:val="Heading4"/>
      </w:pPr>
      <w:r>
        <w:t xml:space="preserve">Dias 61-90: ESCALAR E SUSTENTAR</w:t>
      </w:r>
    </w:p>
    <w:p>
      <w:pPr>
        <w:pStyle w:val="FirstParagraph"/>
      </w:pPr>
      <w:r>
        <w:rPr>
          <w:bCs/>
          <w:b/>
        </w:rPr>
        <w:t xml:space="preserve">Foco:</w:t>
      </w:r>
      <w:r>
        <w:t xml:space="preserve"> </w:t>
      </w:r>
      <w:r>
        <w:t xml:space="preserve">Eficiência e rentabilidade</w:t>
      </w:r>
      <w:r>
        <w:t xml:space="preserve"> </w:t>
      </w:r>
      <w:r>
        <w:t xml:space="preserve">- [ ] Automatizar 80% das aprovações (reduzir CAC em 15%)</w:t>
      </w:r>
      <w:r>
        <w:t xml:space="preserve"> </w:t>
      </w:r>
      <w:r>
        <w:t xml:space="preserve">- [ ] Lançar programa de referral (R$ 50 por indicação convertida)</w:t>
      </w:r>
      <w:r>
        <w:t xml:space="preserve"> </w:t>
      </w:r>
      <w:r>
        <w:t xml:space="preserve">- [ ] Expansão para empresas (antecipação FGTS de funcionários B2B2C)</w:t>
      </w:r>
      <w:r>
        <w:t xml:space="preserve"> </w:t>
      </w:r>
      <w:r>
        <w:t xml:space="preserve">- [ ] Roadmap Q2: Antecipação de 13º salário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</w:t>
      </w:r>
      <w:r>
        <w:t xml:space="preserve">: 2.200 operações (+57%), R$ 7,9 mi</w:t>
      </w:r>
    </w:p>
    <w:p>
      <w:pPr>
        <w:pStyle w:val="BodyText"/>
      </w:pPr>
      <w:r>
        <w:rPr>
          <w:bCs/>
          <w:b/>
        </w:rPr>
        <w:t xml:space="preserve">Acumulado 90 dias: R$ 15,7 mi em volume, ~1.330 clientes ativos</w:t>
      </w:r>
    </w:p>
    <w:bookmarkEnd w:id="71"/>
    <w:bookmarkEnd w:id="72"/>
    <w:bookmarkStart w:id="73" w:name="kill-switch"/>
    <w:p>
      <w:pPr>
        <w:pStyle w:val="Heading3"/>
      </w:pPr>
      <w:r>
        <w:t xml:space="preserve">5.6 Kill Switch</w:t>
      </w:r>
    </w:p>
    <w:p>
      <w:pPr>
        <w:pStyle w:val="FirstParagraph"/>
      </w:pPr>
      <w:r>
        <w:rPr>
          <w:bCs/>
          <w:b/>
        </w:rPr>
        <w:t xml:space="preserve">Triggers de descontinuação: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1"/>
        <w:gridCol w:w="2026"/>
        <w:gridCol w:w="2762"/>
        <w:gridCol w:w="1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Imediata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Inadimplência 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&gt;3% por 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Suspender originação, revisar 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 por 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marketing, task force de 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&gt;R$ 120 por 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canais, reduzir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Margem unitária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&lt;8% por 2 trimestres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pricing ou descontinuação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&gt;1% do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Suspensão imediata,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Reclamações BACEN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&gt;5/1.000 por 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Suspender vendas, plano de remediação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Multa regulatória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multa &gt;R$ 500k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Comitê extraordinário, possível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Processo de decisão:</w:t>
      </w:r>
      <w:r>
        <w:t xml:space="preserve"> </w:t>
      </w:r>
      <w:r>
        <w:t xml:space="preserve">1. Trigger acionado → Alerta automático ao Comitê de Produtos</w:t>
      </w:r>
      <w:r>
        <w:t xml:space="preserve"> </w:t>
      </w:r>
      <w:r>
        <w:t xml:space="preserve">2. Reunião extraordinária em 48h (CPO, CFO, CRO, CCO)</w:t>
      </w:r>
      <w:r>
        <w:t xml:space="preserve"> </w:t>
      </w:r>
      <w:r>
        <w:t xml:space="preserve">3. Análise de causa-raiz + plano de mitigação (5 dias)</w:t>
      </w:r>
      <w:r>
        <w:t xml:space="preserve"> </w:t>
      </w:r>
      <w:r>
        <w:t xml:space="preserve">4. Se não mitigável: decisão de kill em comitê executivo (CEO)</w:t>
      </w:r>
      <w:r>
        <w:t xml:space="preserve"> </w:t>
      </w:r>
      <w:r>
        <w:t xml:space="preserve">5. Plano de descontinuação ordenada (comunicação a clientes, quitação de operações)</w:t>
      </w:r>
    </w:p>
    <w:p>
      <w:pPr>
        <w:pStyle w:val="BodyText"/>
      </w:pPr>
      <w:r>
        <w:rPr>
          <w:bCs/>
          <w:b/>
        </w:rPr>
        <w:t xml:space="preserve">Custo de shutdown estimado:</w:t>
      </w:r>
      <w:r>
        <w:t xml:space="preserve"> </w:t>
      </w:r>
      <w:r>
        <w:t xml:space="preserve">R$ 300k (write-off de tech + comunicação)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parte-6-uso-de-estruturas"/>
    <w:p>
      <w:pPr>
        <w:pStyle w:val="Heading2"/>
      </w:pPr>
      <w:r>
        <w:t xml:space="preserve">PARTE 6 – USO DE ESTRUTURAS</w:t>
      </w:r>
    </w:p>
    <w:bookmarkStart w:id="78" w:name="análise-de-estruturas-financeiras"/>
    <w:p>
      <w:pPr>
        <w:pStyle w:val="Heading3"/>
      </w:pPr>
      <w:r>
        <w:t xml:space="preserve">6.1 Análise de Estruturas Financeiras</w:t>
      </w:r>
    </w:p>
    <w:bookmarkStart w:id="75" w:name="X04df2a1e43119695c18f294fd282df8778a593b"/>
    <w:p>
      <w:pPr>
        <w:pStyle w:val="Heading4"/>
      </w:pPr>
      <w:r>
        <w:t xml:space="preserve">A) FIDC (Fundo de Investimento em Direitos Creditórios)</w:t>
      </w:r>
    </w:p>
    <w:p>
      <w:pPr>
        <w:pStyle w:val="FirstParagraph"/>
      </w:pPr>
      <w:r>
        <w:rPr>
          <w:bCs/>
          <w:b/>
        </w:rPr>
        <w:t xml:space="preserve">O que é:</w:t>
      </w:r>
      <w:r>
        <w:t xml:space="preserve"> </w:t>
      </w:r>
      <w:r>
        <w:t xml:space="preserve">Fundo que adquire direitos creditórios (recebíveis de crédito PF) e emite cotas para investidores.</w:t>
      </w:r>
    </w:p>
    <w:p>
      <w:pPr>
        <w:pStyle w:val="BodyText"/>
      </w:pPr>
      <w:r>
        <w:rPr>
          <w:bCs/>
          <w:b/>
        </w:rPr>
        <w:t xml:space="preserve">Quando usar: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Otimização de capital</w:t>
      </w:r>
      <w:r>
        <w:t xml:space="preserve">: Transferir carteira para FIDC libera RWA (Basileia)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Funding alternativo</w:t>
      </w:r>
      <w:r>
        <w:t xml:space="preserve">: Diversificar fontes (acesso a investidores institucionais)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Gestão de ALM</w:t>
      </w:r>
      <w:r>
        <w:t xml:space="preserve">: Reduzir descasamento de prazo</w:t>
      </w:r>
    </w:p>
    <w:p>
      <w:pPr>
        <w:pStyle w:val="BodyText"/>
      </w:pPr>
      <w:r>
        <w:rPr>
          <w:bCs/>
          <w:b/>
        </w:rPr>
        <w:t xml:space="preserve">Estrutura proposta - FIDC de Crédito Consignado:</w:t>
      </w:r>
    </w:p>
    <w:p>
      <w:pPr>
        <w:pStyle w:val="SourceCode"/>
      </w:pPr>
      <w:r>
        <w:rPr>
          <w:rStyle w:val="VerbatimChar"/>
        </w:rPr>
        <w:t xml:space="preserve">Estrutura:</w:t>
      </w:r>
      <w:r>
        <w:br/>
      </w:r>
      <w:r>
        <w:rPr>
          <w:rStyle w:val="VerbatimChar"/>
        </w:rPr>
        <w:t xml:space="preserve">- Cotista subordinado: Banco (10%) → absorve primeira perda</w:t>
      </w:r>
      <w:r>
        <w:br/>
      </w:r>
      <w:r>
        <w:rPr>
          <w:rStyle w:val="VerbatimChar"/>
        </w:rPr>
        <w:t xml:space="preserve">- Cotas seniores: Investidores (90%) → rating AAA (risco mínimo)</w:t>
      </w:r>
      <w:r>
        <w:br/>
      </w:r>
      <w:r>
        <w:rPr>
          <w:rStyle w:val="VerbatimChar"/>
        </w:rPr>
        <w:t xml:space="preserve">- Lastro: Carteira consignado (PD 2,8%, LGD 60%)</w:t>
      </w:r>
      <w:r>
        <w:br/>
      </w:r>
      <w:r>
        <w:rPr>
          <w:rStyle w:val="VerbatimChar"/>
        </w:rPr>
        <w:t xml:space="preserve">- Volume inicial: R$ 500 mi (23% da carteira consignado)</w:t>
      </w:r>
      <w:r>
        <w:br/>
      </w:r>
      <w:r>
        <w:br/>
      </w:r>
      <w:r>
        <w:rPr>
          <w:rStyle w:val="VerbatimChar"/>
        </w:rPr>
        <w:t xml:space="preserve">Benefícios:</w:t>
      </w:r>
      <w:r>
        <w:br/>
      </w:r>
      <w:r>
        <w:rPr>
          <w:rStyle w:val="VerbatimChar"/>
        </w:rPr>
        <w:t xml:space="preserve">1. Capital: Redução de RWA de R$ 200 mi → libera R$ 16 mi de capital</w:t>
      </w:r>
      <w:r>
        <w:br/>
      </w:r>
      <w:r>
        <w:rPr>
          <w:rStyle w:val="VerbatimChar"/>
        </w:rPr>
        <w:t xml:space="preserve">2. Funding: Custo de CDI + 0,6% (vs CDI + 0,9% no CDB) → economia R$ 1,5 mi/ano</w:t>
      </w:r>
      <w:r>
        <w:br/>
      </w:r>
      <w:r>
        <w:rPr>
          <w:rStyle w:val="VerbatimChar"/>
        </w:rPr>
        <w:t xml:space="preserve">3. Liquidez: Desalavanca balanço, melhora LCR</w:t>
      </w:r>
    </w:p>
    <w:p>
      <w:pPr>
        <w:pStyle w:val="FirstParagraph"/>
      </w:pPr>
      <w:r>
        <w:rPr>
          <w:bCs/>
          <w:b/>
        </w:rPr>
        <w:t xml:space="preserve">Governança:</w:t>
      </w:r>
      <w:r>
        <w:t xml:space="preserve"> </w:t>
      </w:r>
      <w:r>
        <w:t xml:space="preserve">- Agente fiduciário independente (verificação de cessão dos créditos)</w:t>
      </w:r>
      <w:r>
        <w:t xml:space="preserve"> </w:t>
      </w:r>
      <w:r>
        <w:t xml:space="preserve">- Custódia de recebíveis (segregação patrimonial)</w:t>
      </w:r>
      <w:r>
        <w:t xml:space="preserve"> </w:t>
      </w:r>
      <w:r>
        <w:t xml:space="preserve">- Auditoria semestral da carteira</w:t>
      </w:r>
      <w:r>
        <w:t xml:space="preserve"> </w:t>
      </w:r>
      <w:r>
        <w:t xml:space="preserve">- Rating trimestral (agência externa)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- Risco de performance: Se PD &gt; 4%, cotistas seniors podem questionar</w:t>
      </w:r>
      <w:r>
        <w:t xml:space="preserve"> </w:t>
      </w:r>
      <w:r>
        <w:t xml:space="preserve">- Risco de reputação: Default do FIDC afeta imagem do banco</w:t>
      </w:r>
      <w:r>
        <w:t xml:space="preserve"> </w:t>
      </w:r>
      <w:r>
        <w:t xml:space="preserve">- Risco de liquidez: Cotas subordinadas pouco líquidas</w:t>
      </w:r>
    </w:p>
    <w:p>
      <w:pPr>
        <w:pStyle w:val="BodyText"/>
      </w:pPr>
      <w:r>
        <w:rPr>
          <w:bCs/>
          <w:b/>
        </w:rPr>
        <w:t xml:space="preserve">Controles:</w:t>
      </w:r>
      <w:r>
        <w:t xml:space="preserve"> </w:t>
      </w:r>
      <w:r>
        <w:t xml:space="preserve">- Covenants: PD máxima de 3,5%, se exceder → reforço de subordinação</w:t>
      </w:r>
      <w:r>
        <w:t xml:space="preserve"> </w:t>
      </w:r>
      <w:r>
        <w:t xml:space="preserve">- Provisionamento: Caixa de 5% do PL do FIDC para contingências</w:t>
      </w:r>
      <w:r>
        <w:t xml:space="preserve"> </w:t>
      </w:r>
      <w:r>
        <w:t xml:space="preserve">- Stress test mensal: Cenários de PD 2x e 3x</w:t>
      </w:r>
    </w:p>
    <w:p>
      <w:r>
        <w:pict>
          <v:rect style="width:0;height:1.5pt" o:hralign="center" o:hrstd="t" o:hr="t"/>
        </w:pict>
      </w:r>
    </w:p>
    <w:bookmarkEnd w:id="75"/>
    <w:bookmarkStart w:id="76" w:name="b-debênture-securitizada"/>
    <w:p>
      <w:pPr>
        <w:pStyle w:val="Heading4"/>
      </w:pPr>
      <w:r>
        <w:t xml:space="preserve">B) Debênture Securitizada</w:t>
      </w:r>
    </w:p>
    <w:p>
      <w:pPr>
        <w:pStyle w:val="FirstParagraph"/>
      </w:pPr>
      <w:r>
        <w:rPr>
          <w:bCs/>
          <w:b/>
        </w:rPr>
        <w:t xml:space="preserve">O que é:</w:t>
      </w:r>
      <w:r>
        <w:t xml:space="preserve"> </w:t>
      </w:r>
      <w:r>
        <w:t xml:space="preserve">Debênture emitida por empresa (SPE) com lastro em recebíveis, oferecendo garantia real aos investidores.</w:t>
      </w:r>
    </w:p>
    <w:p>
      <w:pPr>
        <w:pStyle w:val="BodyText"/>
      </w:pPr>
      <w:r>
        <w:rPr>
          <w:bCs/>
          <w:b/>
        </w:rPr>
        <w:t xml:space="preserve">Quando usar: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Projetos de infraestrutura</w:t>
      </w:r>
      <w:r>
        <w:t xml:space="preserve">: Financiamento de longo prazo (ex: reforma de agências)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Segregação de risco</w:t>
      </w:r>
      <w:r>
        <w:t xml:space="preserve">: Isolar projeto específico do balanço do banco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Incentivos fiscais</w:t>
      </w:r>
      <w:r>
        <w:t xml:space="preserve">: Lei 12.431 (isenção de IR para pessoa física)</w:t>
      </w:r>
    </w:p>
    <w:p>
      <w:pPr>
        <w:pStyle w:val="BodyText"/>
      </w:pPr>
      <w:r>
        <w:rPr>
          <w:bCs/>
          <w:b/>
        </w:rPr>
        <w:t xml:space="preserve">Aplicação limitada em PF:</w:t>
      </w:r>
      <w:r>
        <w:t xml:space="preserve"> </w:t>
      </w:r>
      <w:r>
        <w:t xml:space="preserve">- Debênture é mais comum para empresas (pessoa jurídica emissora)</w:t>
      </w:r>
      <w:r>
        <w:t xml:space="preserve"> </w:t>
      </w:r>
      <w:r>
        <w:t xml:space="preserve">- Banco pode criar SPE para securitizar recebíveis, mas</w:t>
      </w:r>
      <w:r>
        <w:t xml:space="preserve"> </w:t>
      </w:r>
      <w:r>
        <w:rPr>
          <w:bCs/>
          <w:b/>
        </w:rPr>
        <w:t xml:space="preserve">FIDC é mais eficiente</w:t>
      </w:r>
      <w:r>
        <w:t xml:space="preserve"> </w:t>
      </w:r>
      <w:r>
        <w:t xml:space="preserve">para PF</w:t>
      </w:r>
    </w:p>
    <w:p>
      <w:pPr>
        <w:pStyle w:val="BodyText"/>
      </w:pPr>
      <w:r>
        <w:rPr>
          <w:bCs/>
          <w:b/>
        </w:rPr>
        <w:t xml:space="preserve">Uso potencial:</w:t>
      </w:r>
      <w:r>
        <w:t xml:space="preserve"> </w:t>
      </w:r>
      <w:r>
        <w:t xml:space="preserve">- Securitização de carteira imobiliária (se expandir para PF real estate)</w:t>
      </w:r>
      <w:r>
        <w:t xml:space="preserve"> </w:t>
      </w:r>
      <w:r>
        <w:t xml:space="preserve">- Emissão de debênture para captar funding de longo prazo (ALM)</w:t>
      </w:r>
    </w:p>
    <w:p>
      <w:pPr>
        <w:pStyle w:val="BodyText"/>
      </w:pPr>
      <w:r>
        <w:rPr>
          <w:bCs/>
          <w:b/>
        </w:rPr>
        <w:t xml:space="preserve">Avaliação: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NÃO PRIORITÁRIO</w:t>
      </w:r>
      <w:r>
        <w:t xml:space="preserve"> </w:t>
      </w:r>
      <w:r>
        <w:t xml:space="preserve">para estratégia PF atual (foco em FIDC)</w:t>
      </w:r>
    </w:p>
    <w:p>
      <w:r>
        <w:pict>
          <v:rect style="width:0;height:1.5pt" o:hralign="center" o:hrstd="t" o:hr="t"/>
        </w:pict>
      </w:r>
    </w:p>
    <w:bookmarkEnd w:id="76"/>
    <w:bookmarkStart w:id="77" w:name="c-resolução-4.131-emissão-externa"/>
    <w:p>
      <w:pPr>
        <w:pStyle w:val="Heading4"/>
      </w:pPr>
      <w:r>
        <w:t xml:space="preserve">C) Resolução 4.131 (Emissão Externa)</w:t>
      </w:r>
    </w:p>
    <w:p>
      <w:pPr>
        <w:pStyle w:val="FirstParagraph"/>
      </w:pPr>
      <w:r>
        <w:rPr>
          <w:bCs/>
          <w:b/>
        </w:rPr>
        <w:t xml:space="preserve">O que é:</w:t>
      </w:r>
      <w:r>
        <w:t xml:space="preserve"> </w:t>
      </w:r>
      <w:r>
        <w:t xml:space="preserve">Captação de recursos no exterior (empréstimo ou emissão de bonds) por instituição financeira brasileira.</w:t>
      </w:r>
    </w:p>
    <w:p>
      <w:pPr>
        <w:pStyle w:val="BodyText"/>
      </w:pPr>
      <w:r>
        <w:rPr>
          <w:bCs/>
          <w:b/>
        </w:rPr>
        <w:t xml:space="preserve">Quando usar: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Funding em moeda forte</w:t>
      </w:r>
      <w:r>
        <w:t xml:space="preserve">: USD, EUR (hedge de exposição cambial)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Diversificação geográfica</w:t>
      </w:r>
      <w:r>
        <w:t xml:space="preserve">: Acesso a investidores internacionais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Custo competitivo</w:t>
      </w:r>
      <w:r>
        <w:t xml:space="preserve">: Taxa internacional + spread país (pode ser &lt;CDI)</w:t>
      </w:r>
    </w:p>
    <w:p>
      <w:pPr>
        <w:pStyle w:val="BodyText"/>
      </w:pPr>
      <w:r>
        <w:rPr>
          <w:bCs/>
          <w:b/>
        </w:rPr>
        <w:t xml:space="preserve">Aplicação em estratégia PF:</w:t>
      </w:r>
      <w:r>
        <w:t xml:space="preserve"> </w:t>
      </w:r>
      <w:r>
        <w:t xml:space="preserve">- Captação de USD 150 mi (R$ 750 mi) via bond 5Y</w:t>
      </w:r>
      <w:r>
        <w:t xml:space="preserve"> </w:t>
      </w:r>
      <w:r>
        <w:t xml:space="preserve">- Swap USD→BRL (hedge cambial 100%)</w:t>
      </w:r>
      <w:r>
        <w:t xml:space="preserve"> </w:t>
      </w:r>
      <w:r>
        <w:t xml:space="preserve">- Custo all-in: SOFR + 3,5% + custo do swap ≈ 13,2% em BRL (0,9 p.p. abaixo CDB)</w:t>
      </w:r>
    </w:p>
    <w:p>
      <w:pPr>
        <w:pStyle w:val="BodyText"/>
      </w:pPr>
      <w:r>
        <w:rPr>
          <w:bCs/>
          <w:b/>
        </w:rPr>
        <w:t xml:space="preserve">Exemplo de estrutura:</w:t>
      </w:r>
    </w:p>
    <w:p>
      <w:pPr>
        <w:pStyle w:val="SourceCode"/>
      </w:pPr>
      <w:r>
        <w:rPr>
          <w:rStyle w:val="VerbatimChar"/>
        </w:rPr>
        <w:t xml:space="preserve">Emissor:         Banco Médio S.A. (offshore ou 4.131 local)</w:t>
      </w:r>
      <w:r>
        <w:br/>
      </w:r>
      <w:r>
        <w:rPr>
          <w:rStyle w:val="VerbatimChar"/>
        </w:rPr>
        <w:t xml:space="preserve">Valor:           USD 150 mi</w:t>
      </w:r>
      <w:r>
        <w:br/>
      </w:r>
      <w:r>
        <w:rPr>
          <w:rStyle w:val="VerbatimChar"/>
        </w:rPr>
        <w:t xml:space="preserve">Prazo:           5 anos</w:t>
      </w:r>
      <w:r>
        <w:br/>
      </w:r>
      <w:r>
        <w:rPr>
          <w:rStyle w:val="VerbatimChar"/>
        </w:rPr>
        <w:t xml:space="preserve">Taxa:            SOFR + 350 bps (~8,5% em USD)</w:t>
      </w:r>
      <w:r>
        <w:br/>
      </w:r>
      <w:r>
        <w:rPr>
          <w:rStyle w:val="VerbatimChar"/>
        </w:rPr>
        <w:t xml:space="preserve">Rating:          BB+ (Fitch)</w:t>
      </w:r>
      <w:r>
        <w:br/>
      </w:r>
      <w:r>
        <w:rPr>
          <w:rStyle w:val="VerbatimChar"/>
        </w:rPr>
        <w:t xml:space="preserve">Swap:            USD→BRL (NDF 5Y) → custo +4,7% = 13,2% em BRL</w:t>
      </w:r>
      <w:r>
        <w:br/>
      </w:r>
      <w:r>
        <w:br/>
      </w:r>
      <w:r>
        <w:rPr>
          <w:rStyle w:val="VerbatimChar"/>
        </w:rPr>
        <w:t xml:space="preserve">Benefícios:</w:t>
      </w:r>
      <w:r>
        <w:br/>
      </w:r>
      <w:r>
        <w:rPr>
          <w:rStyle w:val="VerbatimChar"/>
        </w:rPr>
        <w:t xml:space="preserve">- Custo 1,4 p.p. abaixo do CDB</w:t>
      </w:r>
      <w:r>
        <w:br/>
      </w:r>
      <w:r>
        <w:rPr>
          <w:rStyle w:val="VerbatimChar"/>
        </w:rPr>
        <w:t xml:space="preserve">- Prazo longo (5Y) → melhora ALM</w:t>
      </w:r>
      <w:r>
        <w:br/>
      </w:r>
      <w:r>
        <w:rPr>
          <w:rStyle w:val="VerbatimChar"/>
        </w:rPr>
        <w:t xml:space="preserve">- Diversificação de funding</w:t>
      </w:r>
    </w:p>
    <w:p>
      <w:pPr>
        <w:pStyle w:val="FirstParagraph"/>
      </w:pPr>
      <w:r>
        <w:rPr>
          <w:bCs/>
          <w:b/>
        </w:rPr>
        <w:t xml:space="preserve">Governança:</w:t>
      </w:r>
      <w:r>
        <w:t xml:space="preserve"> </w:t>
      </w:r>
      <w:r>
        <w:t xml:space="preserve">- Aprovação do board (exposição cambial, mesmo com hedge)</w:t>
      </w:r>
      <w:r>
        <w:t xml:space="preserve"> </w:t>
      </w:r>
      <w:r>
        <w:t xml:space="preserve">- Monitoramento diário de basis swap (risco de mercado)</w:t>
      </w:r>
      <w:r>
        <w:t xml:space="preserve"> </w:t>
      </w:r>
      <w:r>
        <w:t xml:space="preserve">- Limite: 20% do funding total (concentração geográfica)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- Risco de basis: Swap pode não performar perfeitamente (tracking error)</w:t>
      </w:r>
      <w:r>
        <w:t xml:space="preserve"> </w:t>
      </w:r>
      <w:r>
        <w:t xml:space="preserve">- Risco de renovação: Se real desvalorizar muito, renovação fica cara</w:t>
      </w:r>
      <w:r>
        <w:t xml:space="preserve"> </w:t>
      </w:r>
      <w:r>
        <w:t xml:space="preserve">- Risco regulatório: CMN pode impor restrições (IOF, reserva compulsória)</w:t>
      </w:r>
    </w:p>
    <w:p>
      <w:pPr>
        <w:pStyle w:val="BodyText"/>
      </w:pPr>
      <w:r>
        <w:rPr>
          <w:bCs/>
          <w:b/>
        </w:rPr>
        <w:t xml:space="preserve">Controles:</w:t>
      </w:r>
      <w:r>
        <w:t xml:space="preserve"> </w:t>
      </w:r>
      <w:r>
        <w:t xml:space="preserve">- VaR diário de exposição cambial residual (&lt;0,5% do PL)</w:t>
      </w:r>
      <w:r>
        <w:t xml:space="preserve"> </w:t>
      </w:r>
      <w:r>
        <w:t xml:space="preserve">- Stress test: BRL -20% em 30 dias (impacto &lt; 2% do resultado)</w:t>
      </w:r>
      <w:r>
        <w:t xml:space="preserve"> </w:t>
      </w:r>
      <w:r>
        <w:t xml:space="preserve">- Covenants de rating: Se cair para B+ → opção de prepayment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recomendação-final---uso-de-estruturas"/>
    <w:p>
      <w:pPr>
        <w:pStyle w:val="Heading3"/>
      </w:pPr>
      <w:r>
        <w:t xml:space="preserve">6.2 Recomendação Final - Uso de Estruturas</w:t>
      </w:r>
    </w:p>
    <w:p>
      <w:pPr>
        <w:pStyle w:val="FirstParagraph"/>
      </w:pPr>
      <w:r>
        <w:rPr>
          <w:bCs/>
          <w:b/>
        </w:rPr>
        <w:t xml:space="preserve">ROADMAP PRIORIZADO:</w:t>
      </w:r>
    </w:p>
    <w:bookmarkStart w:id="79" w:name="fase-1-meses-1-6-fidc-de-consignado"/>
    <w:p>
      <w:pPr>
        <w:pStyle w:val="Heading4"/>
      </w:pPr>
      <w:r>
        <w:rPr>
          <w:bCs/>
          <w:b/>
        </w:rPr>
        <w:t xml:space="preserve">FASE 1 (Meses 1-6): FIDC de Consignado</w:t>
      </w:r>
    </w:p>
    <w:p>
      <w:pPr>
        <w:numPr>
          <w:ilvl w:val="0"/>
          <w:numId w:val="1016"/>
        </w:numPr>
        <w:pStyle w:val="Compact"/>
      </w:pPr>
      <w:r>
        <w:t xml:space="preserve">Volume: R$ 500 mi</w:t>
      </w:r>
    </w:p>
    <w:p>
      <w:pPr>
        <w:numPr>
          <w:ilvl w:val="0"/>
          <w:numId w:val="1016"/>
        </w:numPr>
        <w:pStyle w:val="Compact"/>
      </w:pPr>
      <w:r>
        <w:t xml:space="preserve">Objetivo: Liberar capital, reduzir custo de funding</w:t>
      </w:r>
    </w:p>
    <w:p>
      <w:pPr>
        <w:numPr>
          <w:ilvl w:val="0"/>
          <w:numId w:val="1016"/>
        </w:numPr>
        <w:pStyle w:val="Compact"/>
      </w:pPr>
      <w:r>
        <w:t xml:space="preserve">ROI: R$ 16 mi capital liberado + R$ 1,5 mi economia/ano</w:t>
      </w:r>
    </w:p>
    <w:bookmarkEnd w:id="79"/>
    <w:bookmarkStart w:id="80" w:name="X1b2e2f1a94b53dd5d7aaab7952e077547106196"/>
    <w:p>
      <w:pPr>
        <w:pStyle w:val="Heading4"/>
      </w:pPr>
      <w:r>
        <w:rPr>
          <w:bCs/>
          <w:b/>
        </w:rPr>
        <w:t xml:space="preserve">FASE 2 (Meses 7-12): 4.131 (se mercado favorável)</w:t>
      </w:r>
    </w:p>
    <w:p>
      <w:pPr>
        <w:numPr>
          <w:ilvl w:val="0"/>
          <w:numId w:val="1017"/>
        </w:numPr>
        <w:pStyle w:val="Compact"/>
      </w:pPr>
      <w:r>
        <w:t xml:space="preserve">Volume: USD 100 mi (R$ 500 mi)</w:t>
      </w:r>
    </w:p>
    <w:p>
      <w:pPr>
        <w:numPr>
          <w:ilvl w:val="0"/>
          <w:numId w:val="1017"/>
        </w:numPr>
        <w:pStyle w:val="Compact"/>
      </w:pPr>
      <w:r>
        <w:t xml:space="preserve">Objetivo: Diversificar funding, alongar prazo</w:t>
      </w:r>
    </w:p>
    <w:p>
      <w:pPr>
        <w:numPr>
          <w:ilvl w:val="0"/>
          <w:numId w:val="1017"/>
        </w:numPr>
        <w:pStyle w:val="Compact"/>
      </w:pPr>
      <w:r>
        <w:t xml:space="preserve">Contingente: Apenas se swap BRL estiver abaixo de 5% a.a.</w:t>
      </w:r>
    </w:p>
    <w:bookmarkEnd w:id="80"/>
    <w:bookmarkStart w:id="81" w:name="fase-3-ano-2-fidc-multiportfolio"/>
    <w:p>
      <w:pPr>
        <w:pStyle w:val="Heading4"/>
      </w:pPr>
      <w:r>
        <w:rPr>
          <w:bCs/>
          <w:b/>
        </w:rPr>
        <w:t xml:space="preserve">FASE 3 (Ano 2): FIDC Multiportfolio</w:t>
      </w:r>
    </w:p>
    <w:p>
      <w:pPr>
        <w:numPr>
          <w:ilvl w:val="0"/>
          <w:numId w:val="1018"/>
        </w:numPr>
        <w:pStyle w:val="Compact"/>
      </w:pPr>
      <w:r>
        <w:t xml:space="preserve">Incluir crédito pessoal + FGTS antecipado</w:t>
      </w:r>
    </w:p>
    <w:p>
      <w:pPr>
        <w:numPr>
          <w:ilvl w:val="0"/>
          <w:numId w:val="1018"/>
        </w:numPr>
        <w:pStyle w:val="Compact"/>
      </w:pPr>
      <w:r>
        <w:t xml:space="preserve">Volume: R$ 300 mi adicional</w:t>
      </w:r>
    </w:p>
    <w:p>
      <w:pPr>
        <w:numPr>
          <w:ilvl w:val="0"/>
          <w:numId w:val="1018"/>
        </w:numPr>
        <w:pStyle w:val="Compact"/>
      </w:pPr>
      <w:r>
        <w:t xml:space="preserve">Objetivo: Escalar estrutura, aumentar capital disponível</w:t>
      </w:r>
    </w:p>
    <w:p>
      <w:pPr>
        <w:pStyle w:val="FirstParagraph"/>
      </w:pPr>
      <w:r>
        <w:rPr>
          <w:bCs/>
          <w:b/>
        </w:rPr>
        <w:t xml:space="preserve">CONCLUSÃO:</w:t>
      </w:r>
      <w:r>
        <w:t xml:space="preserve"> </w:t>
      </w:r>
      <w:r>
        <w:t xml:space="preserve">- FIDC é a estrutura prioritária (aplicação imediata, alta eficiência)</w:t>
      </w:r>
      <w:r>
        <w:t xml:space="preserve"> </w:t>
      </w:r>
      <w:r>
        <w:t xml:space="preserve">- 4.131 é oportunidade tática (depende de condições de mercado)</w:t>
      </w:r>
      <w:r>
        <w:t xml:space="preserve"> </w:t>
      </w:r>
      <w:r>
        <w:t xml:space="preserve">- Debênture securitizada não é relevante para PF no momento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integração-e-síntese-estratégica"/>
    <w:p>
      <w:pPr>
        <w:pStyle w:val="Heading2"/>
      </w:pPr>
      <w:r>
        <w:t xml:space="preserve">INTEGRAÇÃO E SÍNTESE ESTRATÉGICA</w:t>
      </w:r>
    </w:p>
    <w:bookmarkStart w:id="84" w:name="visão-consolidada-crescimento-de-r-1-bi"/>
    <w:p>
      <w:pPr>
        <w:pStyle w:val="Heading3"/>
      </w:pPr>
      <w:r>
        <w:t xml:space="preserve">Visão Consolidada: Crescimento de R$ 1 bi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2015"/>
        <w:gridCol w:w="2448"/>
        <w:gridCol w:w="1007"/>
        <w:gridCol w:w="10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Alavanca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Consignado (R$ 750 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do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Crédito Pessoal (R$ 250 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do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Seguro 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R$ 16,6 mi 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+1,2%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FGTS Antecipação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R$ 61 mi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+0,8%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R$ 16 mi capital liberado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+3,5% 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ROE consolidado esperado: 22,3%</w:t>
      </w:r>
      <w:r>
        <w:t xml:space="preserve"> </w:t>
      </w:r>
      <w:r>
        <w:t xml:space="preserve">(vs 18,5% atual)</w:t>
      </w:r>
    </w:p>
    <w:bookmarkEnd w:id="84"/>
    <w:bookmarkStart w:id="85" w:name="mapa-de-risco-integrado"/>
    <w:p>
      <w:pPr>
        <w:pStyle w:val="Heading3"/>
      </w:pPr>
      <w:r>
        <w:t xml:space="preserve">Mapa de Risco Integrado</w:t>
      </w:r>
    </w:p>
    <w:p>
      <w:pPr>
        <w:pStyle w:val="SourceCode"/>
      </w:pPr>
      <w:r>
        <w:rPr>
          <w:rStyle w:val="VerbatimChar"/>
        </w:rPr>
        <w:t xml:space="preserve">        Alto Risco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Pessoal faixa C │  </w:t>
      </w:r>
      <w:r>
        <w:br/>
      </w:r>
      <w:r>
        <w:rPr>
          <w:rStyle w:val="VerbatimChar"/>
        </w:rPr>
        <w:t xml:space="preserve">             │                     4.131</w:t>
      </w:r>
      <w:r>
        <w:br/>
      </w:r>
      <w:r>
        <w:rPr>
          <w:rStyle w:val="VerbatimChar"/>
        </w:rPr>
        <w:t xml:space="preserve">             │                    (cambial)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─────┼─────────────────────────────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│  Consignado    FIDC</w:t>
      </w:r>
      <w:r>
        <w:br/>
      </w:r>
      <w:r>
        <w:rPr>
          <w:rStyle w:val="VerbatimChar"/>
        </w:rPr>
        <w:t xml:space="preserve">             │    A/B        </w:t>
      </w:r>
      <w:r>
        <w:br/>
      </w:r>
      <w:r>
        <w:rPr>
          <w:rStyle w:val="VerbatimChar"/>
        </w:rPr>
        <w:t xml:space="preserve">             │              FGTS</w:t>
      </w:r>
      <w:r>
        <w:br/>
      </w:r>
      <w:r>
        <w:rPr>
          <w:rStyle w:val="VerbatimChar"/>
        </w:rPr>
        <w:t xml:space="preserve">             │           Antecipação</w:t>
      </w:r>
      <w:r>
        <w:br/>
      </w:r>
      <w:r>
        <w:rPr>
          <w:rStyle w:val="VerbatimChar"/>
        </w:rPr>
        <w:t xml:space="preserve">             │  </w:t>
      </w:r>
      <w:r>
        <w:br/>
      </w:r>
      <w:r>
        <w:rPr>
          <w:rStyle w:val="VerbatimChar"/>
        </w:rPr>
        <w:t xml:space="preserve">        Baixo Risco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└────────────────────────────</w:t>
      </w:r>
      <w:r>
        <w:br/>
      </w:r>
      <w:r>
        <w:rPr>
          <w:rStyle w:val="VerbatimChar"/>
        </w:rPr>
        <w:t xml:space="preserve">            Baixo Retorno        Alto Retorno</w:t>
      </w:r>
    </w:p>
    <w:bookmarkEnd w:id="85"/>
    <w:bookmarkStart w:id="86" w:name="kpis-executivos-consolidados-mês-12"/>
    <w:p>
      <w:pPr>
        <w:pStyle w:val="Heading3"/>
      </w:pPr>
      <w:r>
        <w:t xml:space="preserve">KPIs Executivos Consolidados (Mês 12)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Carteira 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R$ 2,3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R$ 3,3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R$ 3,3 bi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 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22,3%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Reclamações / 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NPL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4,5%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 (margem líquida)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2,8%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de Basileia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8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Este plano estratégico propõe crescimento</w:t>
      </w:r>
      <w:r>
        <w:t xml:space="preserve"> </w:t>
      </w:r>
      <w:r>
        <w:rPr>
          <w:bCs/>
          <w:b/>
        </w:rPr>
        <w:t xml:space="preserve">sustentável e disciplinado</w:t>
      </w:r>
      <w:r>
        <w:t xml:space="preserve"> </w:t>
      </w:r>
      <w:r>
        <w:t xml:space="preserve">de R$ 1,0 bi na carteira PF através de: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Liderança do consignado</w:t>
      </w:r>
      <w:r>
        <w:t xml:space="preserve"> </w:t>
      </w:r>
      <w:r>
        <w:t xml:space="preserve">(menor risco, maior escala)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Precificação baseada em risco</w:t>
      </w:r>
      <w:r>
        <w:t xml:space="preserve"> </w:t>
      </w:r>
      <w:r>
        <w:t xml:space="preserve">(segmentação em 5 faixas)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Monetização ética</w:t>
      </w:r>
      <w:r>
        <w:t xml:space="preserve"> </w:t>
      </w:r>
      <w:r>
        <w:t xml:space="preserve">(seguro opt-in com controles robustos)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Funding otimizado</w:t>
      </w:r>
      <w:r>
        <w:t xml:space="preserve"> </w:t>
      </w:r>
      <w:r>
        <w:t xml:space="preserve">(mix CDB + DPGE2, custo 14,1%)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Inovação com FGTS Digital</w:t>
      </w:r>
      <w:r>
        <w:t xml:space="preserve"> </w:t>
      </w:r>
      <w:r>
        <w:t xml:space="preserve">(LTV/CAC de 2,2x)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Estruturas de capital</w:t>
      </w:r>
      <w:r>
        <w:t xml:space="preserve"> </w:t>
      </w:r>
      <w:r>
        <w:t xml:space="preserve">(FIDC libera R$ 16 mi)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ROE de 22,3%, reclamações controladas (+11%), e crescimento sustentável com risco gerenciado.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  <w:r>
        <w:br/>
      </w:r>
      <w:r>
        <w:t xml:space="preserve">Head de Produtos PF</w:t>
      </w:r>
      <w:r>
        <w:br/>
      </w:r>
      <w:r>
        <w:t xml:space="preserve">[Nome do Aluno]</w:t>
      </w:r>
    </w:p>
    <w:p>
      <w:pPr>
        <w:pStyle w:val="BodyText"/>
      </w:pPr>
      <w:r>
        <w:rPr>
          <w:bCs/>
          <w:b/>
        </w:rPr>
        <w:t xml:space="preserve">Data:</w:t>
      </w:r>
      <w:r>
        <w:t xml:space="preserve"> </w:t>
      </w:r>
      <w:r>
        <w:t xml:space="preserve">[Data de Entrega]</w:t>
      </w:r>
    </w:p>
    <w:p>
      <w:r>
        <w:pict>
          <v:rect style="width:0;height:1.5pt" o:hralign="center" o:hrstd="t" o:hr="t"/>
        </w:pict>
      </w:r>
    </w:p>
    <w:bookmarkEnd w:id="88"/>
    <w:bookmarkStart w:id="92" w:name="anexos"/>
    <w:p>
      <w:pPr>
        <w:pStyle w:val="Heading2"/>
      </w:pPr>
      <w:r>
        <w:t xml:space="preserve">ANEXOS</w:t>
      </w:r>
    </w:p>
    <w:bookmarkStart w:id="89" w:name="anexo-a-glossário-de-termos"/>
    <w:p>
      <w:pPr>
        <w:pStyle w:val="Heading3"/>
      </w:pPr>
      <w:r>
        <w:t xml:space="preserve">Anexo A: Glossário de Termos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PD (Probability of Default)</w:t>
      </w:r>
      <w:r>
        <w:t xml:space="preserve">: Probabilidade de inadimplência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LGD (Loss Given Default)</w:t>
      </w:r>
      <w:r>
        <w:t xml:space="preserve">: Perda dado o default (% não recuperável)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EL (Expected Loss)</w:t>
      </w:r>
      <w:r>
        <w:t xml:space="preserve">: Perda esperada (PD × LGD × EAD)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RWA (Risk-Weighted Assets)</w:t>
      </w:r>
      <w:r>
        <w:t xml:space="preserve">: Ativos ponderados pelo risco (Basileia)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NIM (Net Interest Margin)</w:t>
      </w:r>
      <w:r>
        <w:t xml:space="preserve">: Margem líquida de juros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ALM (Asset-Liability Management)</w:t>
      </w:r>
      <w:r>
        <w:t xml:space="preserve">: Gestão de ativos e passivos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LCR (Liquidity Coverage Ratio)</w:t>
      </w:r>
      <w:r>
        <w:t xml:space="preserve">: Índice de cobertura de liquidez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NSFR (Net Stable Funding Ratio)</w:t>
      </w:r>
      <w:r>
        <w:t xml:space="preserve">: Índice de financiamento estável líquido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WAL (Weighted Average Life)</w:t>
      </w:r>
      <w:r>
        <w:t xml:space="preserve">: Prazo médio ponderado</w:t>
      </w:r>
    </w:p>
    <w:bookmarkEnd w:id="89"/>
    <w:bookmarkStart w:id="90" w:name="anexo-b-premissas-macroeconômicas"/>
    <w:p>
      <w:pPr>
        <w:pStyle w:val="Heading3"/>
      </w:pPr>
      <w:r>
        <w:t xml:space="preserve">Anexo B: Premissas Macroeconômicas</w:t>
      </w:r>
    </w:p>
    <w:p>
      <w:pPr>
        <w:numPr>
          <w:ilvl w:val="0"/>
          <w:numId w:val="1021"/>
        </w:numPr>
        <w:pStyle w:val="Compact"/>
      </w:pPr>
      <w:r>
        <w:t xml:space="preserve">CDI: 13,6% a.a. (projeção 12 meses)</w:t>
      </w:r>
    </w:p>
    <w:p>
      <w:pPr>
        <w:numPr>
          <w:ilvl w:val="0"/>
          <w:numId w:val="1021"/>
        </w:numPr>
        <w:pStyle w:val="Compact"/>
      </w:pPr>
      <w:r>
        <w:t xml:space="preserve">IPCA: 4,5% a.a.</w:t>
      </w:r>
    </w:p>
    <w:p>
      <w:pPr>
        <w:numPr>
          <w:ilvl w:val="0"/>
          <w:numId w:val="1021"/>
        </w:numPr>
        <w:pStyle w:val="Compact"/>
      </w:pPr>
      <w:r>
        <w:t xml:space="preserve">PIB: +2,3% a.a.</w:t>
      </w:r>
    </w:p>
    <w:p>
      <w:pPr>
        <w:numPr>
          <w:ilvl w:val="0"/>
          <w:numId w:val="1021"/>
        </w:numPr>
        <w:pStyle w:val="Compact"/>
      </w:pPr>
      <w:r>
        <w:t xml:space="preserve">Taxa de desemprego: 7,8%</w:t>
      </w:r>
    </w:p>
    <w:p>
      <w:pPr>
        <w:numPr>
          <w:ilvl w:val="0"/>
          <w:numId w:val="1021"/>
        </w:numPr>
        <w:pStyle w:val="Compact"/>
      </w:pPr>
      <w:r>
        <w:t xml:space="preserve">Selic meta: 11,75% a.a.</w:t>
      </w:r>
    </w:p>
    <w:bookmarkEnd w:id="90"/>
    <w:bookmarkStart w:id="91" w:name="anexo-c-referências-regulatórias"/>
    <w:p>
      <w:pPr>
        <w:pStyle w:val="Heading3"/>
      </w:pPr>
      <w:r>
        <w:t xml:space="preserve">Anexo C: Referências Regulatórias</w:t>
      </w:r>
    </w:p>
    <w:p>
      <w:pPr>
        <w:numPr>
          <w:ilvl w:val="0"/>
          <w:numId w:val="1022"/>
        </w:numPr>
        <w:pStyle w:val="Compact"/>
      </w:pPr>
      <w:r>
        <w:t xml:space="preserve">Resolução BCB 140/2021 (Basileia III)</w:t>
      </w:r>
    </w:p>
    <w:p>
      <w:pPr>
        <w:numPr>
          <w:ilvl w:val="0"/>
          <w:numId w:val="1022"/>
        </w:numPr>
        <w:pStyle w:val="Compact"/>
      </w:pPr>
      <w:r>
        <w:t xml:space="preserve">Resolução CMN 4.966/2021 (PLD/FT)</w:t>
      </w:r>
    </w:p>
    <w:p>
      <w:pPr>
        <w:numPr>
          <w:ilvl w:val="0"/>
          <w:numId w:val="1022"/>
        </w:numPr>
        <w:pStyle w:val="Compact"/>
      </w:pPr>
      <w:r>
        <w:t xml:space="preserve">Lei 13.709/2018 (LGPD)</w:t>
      </w:r>
    </w:p>
    <w:p>
      <w:pPr>
        <w:numPr>
          <w:ilvl w:val="0"/>
          <w:numId w:val="1022"/>
        </w:numPr>
        <w:pStyle w:val="Compact"/>
      </w:pPr>
      <w:r>
        <w:t xml:space="preserve">Resolução BCB 30/2020 (Open Banking)</w:t>
      </w:r>
    </w:p>
    <w:p>
      <w:pPr>
        <w:numPr>
          <w:ilvl w:val="0"/>
          <w:numId w:val="1022"/>
        </w:numPr>
        <w:pStyle w:val="Compact"/>
      </w:pPr>
      <w:r>
        <w:t xml:space="preserve">MP 1.185/2023 (FGTS Digital)</w:t>
      </w:r>
    </w:p>
    <w:p>
      <w:pPr>
        <w:numPr>
          <w:ilvl w:val="0"/>
          <w:numId w:val="1022"/>
        </w:numPr>
        <w:pStyle w:val="Compact"/>
      </w:pPr>
      <w:r>
        <w:t xml:space="preserve">Circular SUSEP 612/2020 (Seguros)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2026-02-18T14:25:54Z</dcterms:created>
  <dcterms:modified xsi:type="dcterms:W3CDTF">2026-02-18T14:25:54Z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