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line="276" w:lineRule="auto" w:after="120" w:before="0"/>
        <w:jc w:val="center"/>
      </w:pPr>
      <w:r>
        <w:rPr>
          <w:b/>
          <w:sz w:val="24"/>
        </w:rPr>
        <w:t>SOCIEDADE DE ENSINO SUPERIOR ESTÁCIO DE RIBEIRÃO PRETO</w:t>
      </w:r>
    </w:p>
    <w:p>
      <w:pPr>
        <w:spacing w:line="276" w:lineRule="auto" w:after="120" w:before="0"/>
        <w:jc w:val="center"/>
      </w:pPr>
      <w:r>
        <w:rPr>
          <w:b w:val="0"/>
          <w:sz w:val="24"/>
        </w:rPr>
        <w:t>Campus Ribeirão Preto</w:t>
      </w:r>
    </w:p>
    <w:p>
      <w:pPr>
        <w:spacing w:line="276" w:lineRule="auto" w:after="120" w:before="0"/>
        <w:jc w:val="center"/>
      </w:pPr>
      <w:r>
        <w:rPr>
          <w:b w:val="0"/>
          <w:sz w:val="24"/>
        </w:rPr>
        <w:t>Bacharelado em Ciência da Computação</w:t>
      </w:r>
    </w:p>
    <w:p>
      <w:pPr>
        <w:spacing w:line="276" w:lineRule="auto" w:after="120" w:before="0"/>
        <w:jc w:val="center"/>
      </w:pPr>
      <w:r>
        <w:rPr>
          <w:b w:val="0"/>
          <w:sz w:val="24"/>
        </w:rPr>
        <w:t>Programação de Microcontroladores (ARA4710)</w:t>
      </w:r>
    </w:p>
    <w:p>
      <w:pPr>
        <w:spacing w:line="276" w:lineRule="auto" w:after="120" w:before="2800"/>
        <w:jc w:val="center"/>
      </w:pPr>
      <w:r>
        <w:rPr>
          <w:b/>
          <w:sz w:val="24"/>
        </w:rPr>
        <w:t>MEUAMPARO</w:t>
      </w:r>
    </w:p>
    <w:p>
      <w:pPr>
        <w:spacing w:line="276" w:lineRule="auto" w:after="120" w:before="0"/>
        <w:jc w:val="center"/>
      </w:pPr>
      <w:r>
        <w:rPr>
          <w:b w:val="0"/>
          <w:sz w:val="24"/>
        </w:rPr>
        <w:t>Dispositivo vestível de detecção de queda e localização para pessoas idosas</w:t>
      </w:r>
    </w:p>
    <w:p>
      <w:pPr>
        <w:spacing w:line="276" w:lineRule="auto" w:after="120" w:before="240"/>
        <w:jc w:val="center"/>
      </w:pPr>
      <w:r>
        <w:rPr>
          <w:b w:val="0"/>
          <w:sz w:val="24"/>
        </w:rPr>
        <w:t>Planejamento do projeto</w:t>
      </w:r>
    </w:p>
    <w:p>
      <w:pPr>
        <w:spacing w:line="276" w:lineRule="auto" w:after="120" w:before="480"/>
        <w:jc w:val="center"/>
      </w:pPr>
      <w:r>
        <w:rPr>
          <w:b w:val="0"/>
          <w:sz w:val="24"/>
        </w:rPr>
        <w:t>Luis Gustavo Moda – Matrícula 202402520751</w:t>
      </w:r>
    </w:p>
    <w:p>
      <w:pPr>
        <w:spacing w:line="276" w:lineRule="auto" w:after="120" w:before="0"/>
        <w:jc w:val="center"/>
      </w:pPr>
      <w:r>
        <w:rPr>
          <w:b w:val="0"/>
          <w:sz w:val="24"/>
        </w:rPr>
        <w:t>Isabelly Vitoria – Matrícula 202608616779</w:t>
      </w:r>
    </w:p>
    <w:p>
      <w:pPr>
        <w:spacing w:line="276" w:lineRule="auto" w:after="120" w:before="240"/>
        <w:jc w:val="center"/>
      </w:pPr>
      <w:r>
        <w:rPr>
          <w:b w:val="0"/>
          <w:sz w:val="24"/>
        </w:rPr>
        <w:t>Orientador: Prof. Omar Sacilotto Donaires</w:t>
      </w:r>
    </w:p>
    <w:p>
      <w:pPr>
        <w:spacing w:line="276" w:lineRule="auto" w:after="120" w:before="2000"/>
        <w:jc w:val="center"/>
      </w:pPr>
      <w:r>
        <w:rPr>
          <w:b w:val="0"/>
          <w:sz w:val="24"/>
        </w:rPr>
        <w:t>2026</w:t>
      </w:r>
    </w:p>
    <w:p>
      <w:pPr>
        <w:spacing w:line="276" w:lineRule="auto" w:after="120" w:before="0"/>
        <w:jc w:val="center"/>
      </w:pPr>
      <w:r>
        <w:rPr>
          <w:b w:val="0"/>
          <w:sz w:val="24"/>
        </w:rPr>
        <w:t>Ribeirão Preto / SP</w:t>
      </w:r>
    </w:p>
    <w:p>
      <w:r>
        <w:br w:type="page"/>
      </w:r>
    </w:p>
    <w:p>
      <w:pPr>
        <w:pStyle w:val="Ttulo1"/>
        <w:spacing w:line="276" w:lineRule="auto" w:after="120" w:before="240"/>
        <w:numPr>
          <w:numId w:val="0"/>
        </w:numPr>
      </w:pPr>
      <w:r>
        <w:t>2. Planejamento e desenvolvimento do projeto</w:t>
      </w:r>
    </w:p>
    <w:p>
      <w:pPr>
        <w:pStyle w:val="Ttulo2"/>
        <w:spacing w:line="276" w:lineRule="auto" w:after="120" w:before="240"/>
        <w:numPr>
          <w:numId w:val="0"/>
        </w:numPr>
      </w:pPr>
      <w:r>
        <w:t>2.1 Plano de trabalho</w:t>
      </w:r>
    </w:p>
    <w:p>
      <w:pPr>
        <w:spacing w:line="276" w:lineRule="auto" w:after="120"/>
        <w:jc w:val="both"/>
      </w:pPr>
      <w:r>
        <w:rPr>
          <w:sz w:val="24"/>
        </w:rPr>
        <w:t>O planejamento organiza o desenvolvimento do MeuAmparo até novembro de 2026. A parceria ainda está em prospecção. As atividades de campo dependem do acordo com a instituição; os períodos abaixo são previsões de trabalho.</w:t>
      </w:r>
    </w:p>
    <w:p>
      <w:pPr>
        <w:spacing w:line="276" w:lineRule="auto" w:after="120"/>
        <w:jc w:val="both"/>
      </w:pPr>
      <w:r>
        <w:rPr>
          <w:sz w:val="24"/>
        </w:rPr>
        <w:t>A sequência proposta começa pela escuta, passa pela definição dos requisitos e pela validação da solução e só então chega à implementação destinada ao uso na instituição. Estudos de sensores e ensaios de bancada podem ocorrer antes. A aquisição depende da escolha da placa e do orçamento.</w:t>
      </w:r>
    </w:p>
    <w:p>
      <w:pPr>
        <w:keepNext/>
        <w:spacing w:line="276" w:lineRule="auto" w:after="120"/>
        <w:jc w:val="both"/>
      </w:pPr>
      <w:r>
        <w:rPr>
          <w:b/>
          <w:sz w:val="22"/>
        </w:rPr>
        <w:t>Tabela 1 – Marcos acadêmicos da disciplina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3912"/>
      </w:tblGrid>
      <w:tr>
        <w:trPr>
          <w:cantSplit/>
          <w:tblHeader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Entrega ou seminário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Data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Diagnóstico e teorização, seções 1.1 a 1.5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09/09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Seminário de planejamento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16/09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Planejamento, seções 2.1 a 2.5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23/09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Seminário de desenvolvimento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28/10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Detalhamento técnico, encerramento e seminário final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25/11</w:t>
            </w:r>
          </w:p>
        </w:tc>
      </w:tr>
    </w:tbl>
    <w:p>
      <w:pPr>
        <w:spacing w:line="276" w:lineRule="auto" w:after="120"/>
        <w:jc w:val="both"/>
      </w:pPr>
      <w:r>
        <w:rPr>
          <w:sz w:val="20"/>
        </w:rPr>
        <w:t>Fonte: calendário atualizado da disciplina (2026).</w:t>
      </w:r>
    </w:p>
    <w:p>
      <w:pPr>
        <w:keepNext/>
        <w:spacing w:line="276" w:lineRule="auto" w:after="120"/>
        <w:jc w:val="both"/>
      </w:pPr>
      <w:r>
        <w:rPr>
          <w:b/>
          <w:sz w:val="22"/>
        </w:rPr>
        <w:t>Tabela 2 – Atividades previstas e formas de acompanhamento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1701"/>
        <w:gridCol w:w="2778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Período previsto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Ação e dependência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Frente de trabalho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Recurso e evidência esperada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09 a 23/09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Contato e formalização da parceria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Relação com a instituição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Carta de apresentação; registro do aceite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16 a 30/09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Escuta da coordenação e cuidadores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Relação com a instituição e documentação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Visita; resumo conferido pelos participantes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23/09 a 07/10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Requisitos e comparação de microcontroladores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Hardware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Computador; requisitos e comparação técnica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30/09 a 14/10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Arquitetura e fluxo de funcionamento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Hardware e firmware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Ferramentas de diagramação; diagramas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14 a 21/10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Validação da proposta, antes da implementação para uso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Relação com a instituição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Reunião; decisões e ajustes registrados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Até 21/10, após decisão de compra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Aquisição dos componentes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Hardware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Recursos do grupo; comprovantes e recebimento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07 a 21/10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Estudo do algoritmo e ensaios de bancada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Firmware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ESP-IDF e dados de referência; registros dos ensaios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Após validação, até 11/11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Implementação e integração de detecção, localização e alertas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Firmware e painel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Hardware e computador; versões do código e testes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21/10 a 04/11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Ajuste e fabricação do case, após conferir a placa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Hardware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OpenSCAD e impressão 3D; medidas e encaixes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28/10 a 18/11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Montagem e testes individuais e de integração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Hardware e firmware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Protótipo; registros de acertos, falhas e tempos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11 a 18/11, após testes de integração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Oficina de montagem e configuração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Relação com a instituição e documentação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Kit e manual; tempo e dificuldades observadas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18 a 25/11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Avaliação de reação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Relação com a instituição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Formulário; respostas e comentários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11 a 25/11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Relato coletivo, relatos individuais e entrega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Documentação e ambos os discentes</w:t>
            </w:r>
          </w:p>
        </w:tc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Evidências das atividades; texto e PDF para SAVA</w:t>
            </w:r>
          </w:p>
        </w:tc>
      </w:tr>
    </w:tbl>
    <w:p>
      <w:pPr>
        <w:spacing w:line="276" w:lineRule="auto" w:after="120"/>
        <w:jc w:val="both"/>
      </w:pPr>
      <w:r>
        <w:rPr>
          <w:sz w:val="20"/>
        </w:rPr>
        <w:t>Fonte: planejamento dos autores (2026). A atribuição individual das frentes está na seção 2.3.</w:t>
      </w:r>
    </w:p>
    <w:p>
      <w:pPr>
        <w:spacing w:line="276" w:lineRule="auto" w:after="120"/>
        <w:jc w:val="both"/>
      </w:pPr>
      <w:r>
        <w:rPr>
          <w:sz w:val="24"/>
        </w:rPr>
        <w:t>Os prazos após a validação ficam condicionados ao aceite da instituição e ao recebimento dos componentes. Se essas etapas atrasarem, o escopo e a agenda precisarão ser acordados com o orientador.</w:t>
      </w:r>
    </w:p>
    <w:p>
      <w:pPr>
        <w:pStyle w:val="Ttulo2"/>
        <w:spacing w:line="276" w:lineRule="auto" w:after="120" w:before="240"/>
        <w:numPr>
          <w:numId w:val="0"/>
        </w:numPr>
      </w:pPr>
      <w:r>
        <w:t>2.2 Forma de envolvimento do público participante</w:t>
      </w:r>
    </w:p>
    <w:p>
      <w:pPr>
        <w:spacing w:line="276" w:lineRule="auto" w:after="120"/>
        <w:jc w:val="both"/>
      </w:pPr>
      <w:r>
        <w:rPr>
          <w:sz w:val="24"/>
        </w:rPr>
        <w:t>Na primeira visita, pretendemos ouvir a coordenação e os cuidadores sobre a rotina, as ocorrências que exigem ajuda e a comunicação entre os responsáveis. Essa conversa deve orientar a prioridade das funções. O grupo apresentará a proposta com base no que for registrado e levará de volta os requisitos para conferência, antes da implementação destinada ao uso local.</w:t>
      </w:r>
    </w:p>
    <w:p>
      <w:pPr>
        <w:spacing w:line="276" w:lineRule="auto" w:after="120"/>
        <w:jc w:val="both"/>
      </w:pPr>
      <w:r>
        <w:rPr>
          <w:sz w:val="24"/>
        </w:rPr>
        <w:t>Durante o desenvolvimento, a equipe será convidada a discutir os destinatários dos alertas e o procedimento após um aviso. A avaliação do formato de uso considera peso, conforto e acesso ao botão. Cintura, peito e braço são posições propostas para estudo. O cordão, se utilizado, terá engate de segurança.</w:t>
      </w:r>
    </w:p>
    <w:p>
      <w:pPr>
        <w:spacing w:line="276" w:lineRule="auto" w:after="120"/>
        <w:jc w:val="both"/>
      </w:pPr>
      <w:r>
        <w:rPr>
          <w:sz w:val="24"/>
        </w:rPr>
        <w:t>Os testes de detecção serão realizados por adultos saudáveis em ambiente controlado. Pessoas idosas não participarão de quedas simuladas. A equipe da instituição poderá avaliar a interface e a configuração, sem precisar executar os ensaios de queda.</w:t>
      </w:r>
    </w:p>
    <w:p>
      <w:pPr>
        <w:spacing w:line="276" w:lineRule="auto" w:after="120"/>
        <w:jc w:val="both"/>
      </w:pPr>
      <w:r>
        <w:rPr>
          <w:sz w:val="24"/>
        </w:rPr>
        <w:t>Na oficina, um participante tentará configurar o dispositivo com o material de apoio e sem intervenção do grupo. Registraremos o tempo, os erros e a ajuda solicitada. Depois, coordenação e cuidadores poderão responder ao formulário de reação. Depoimentos em vídeo serão opcionais e dependerão de autorização.</w:t>
      </w:r>
    </w:p>
    <w:p>
      <w:pPr>
        <w:spacing w:line="276" w:lineRule="auto" w:after="120"/>
        <w:jc w:val="both"/>
      </w:pPr>
      <w:r>
        <w:rPr>
          <w:sz w:val="24"/>
        </w:rPr>
        <w:t>Os encontros serão combinados conforme a disponibilidade da instituição. Após cada reunião, o grupo organizará um resumo para conferência dos participantes. Atas, formulários e registros autorizados serão identificados por data e atividade e anexados conforme os encontros ocorrerem.</w:t>
      </w:r>
    </w:p>
    <w:p>
      <w:pPr>
        <w:pStyle w:val="Ttulo2"/>
        <w:spacing w:line="276" w:lineRule="auto" w:after="120" w:before="240"/>
        <w:numPr>
          <w:numId w:val="0"/>
        </w:numPr>
      </w:pPr>
      <w:r>
        <w:t>2.3 Grupo de trabalho</w:t>
      </w:r>
    </w:p>
    <w:p>
      <w:pPr>
        <w:spacing w:line="276" w:lineRule="auto" w:after="120"/>
        <w:jc w:val="both"/>
      </w:pPr>
      <w:r>
        <w:rPr>
          <w:sz w:val="24"/>
        </w:rPr>
        <w:t>O grupo tem dois integrantes: Luis Gustavo Moda, matrícula 202402520751, e Isabelly Vitoria, matrícula 202608616779. A distribuição individual das atividades técnicas e do contato com a instituição ainda não foi registrada; por isso, o cronograma identifica frentes de trabalho, não pessoas.</w:t>
      </w:r>
    </w:p>
    <w:p>
      <w:pPr>
        <w:keepNext/>
        <w:spacing w:line="276" w:lineRule="auto" w:after="120"/>
        <w:jc w:val="both"/>
      </w:pPr>
      <w:r>
        <w:rPr>
          <w:b/>
          <w:sz w:val="22"/>
        </w:rPr>
        <w:t>Tabela 3 – Integrantes e situação da divisão de atividades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3005"/>
        <w:gridCol w:w="3402"/>
      </w:tblGrid>
      <w:tr>
        <w:trPr>
          <w:cantSplit/>
          <w:tblHeader/>
        </w:trP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Discente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Matrícula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Responsabilidade individual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Luis Gustavo Moda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202402520751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Relato individual e participação nos seminários; divisão das frentes pendente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Isabelly Vitoria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202608616779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Relato individual e participação nos seminários; divisão das frentes pendente</w:t>
            </w:r>
          </w:p>
        </w:tc>
      </w:tr>
    </w:tbl>
    <w:p>
      <w:pPr>
        <w:spacing w:line="276" w:lineRule="auto" w:after="120"/>
        <w:jc w:val="both"/>
      </w:pPr>
      <w:r>
        <w:rPr>
          <w:sz w:val="20"/>
        </w:rPr>
        <w:t>Fonte: registro do grupo (2026).</w:t>
      </w:r>
    </w:p>
    <w:p>
      <w:pPr>
        <w:spacing w:line="276" w:lineRule="auto" w:after="120"/>
        <w:jc w:val="both"/>
      </w:pPr>
      <w:r>
        <w:rPr>
          <w:sz w:val="24"/>
        </w:rPr>
        <w:t>As frentes abrangem contato e formalização, hardware e case, firmware em C, backend e painel, além de documentação. A definição nominal completa esta seção. As revisões em dupla previstas no planejamento apoiam o aprendizado das partes técnicas por ambos.</w:t>
      </w:r>
    </w:p>
    <w:p>
      <w:pPr>
        <w:pStyle w:val="Ttulo2"/>
        <w:spacing w:line="276" w:lineRule="auto" w:after="120" w:before="240"/>
        <w:numPr>
          <w:numId w:val="0"/>
        </w:numPr>
      </w:pPr>
      <w:r>
        <w:t>2.4 Metas, critérios ou indicadores de avaliação do projeto</w:t>
      </w:r>
    </w:p>
    <w:p>
      <w:pPr>
        <w:spacing w:line="276" w:lineRule="auto" w:after="120"/>
        <w:jc w:val="both"/>
      </w:pPr>
      <w:r>
        <w:rPr>
          <w:sz w:val="24"/>
        </w:rPr>
        <w:t>As metas abaixo são resultados pretendidos, ainda sem medições do protótipo. Os registros dos testes devem identificar a versão do firmware, a posição de uso e as condições do ensaio, para permitir a comparação entre ajustes.</w:t>
      </w:r>
    </w:p>
    <w:p>
      <w:pPr>
        <w:pStyle w:val="Ttulo3"/>
        <w:spacing w:line="276" w:lineRule="auto" w:after="120" w:before="240"/>
        <w:numPr>
          <w:numId w:val="0"/>
        </w:numPr>
      </w:pPr>
      <w:r>
        <w:t>Objetivo 1 – Desenvolver e avaliar o protótipo</w:t>
      </w:r>
    </w:p>
    <w:p>
      <w:pPr>
        <w:spacing w:line="276" w:lineRule="auto" w:after="120"/>
        <w:jc w:val="both"/>
      </w:pPr>
      <w:r>
        <w:rPr>
          <w:sz w:val="24"/>
        </w:rPr>
        <w:t>O desenvolvimento começa pelos requisitos e pela comparação entre microcontroladores. A escolha considera consumo, custo, memória, dimensões e periféricos, com a comparação prevista de pelo menos quatro famílias. Depois da validação, a implementação será verificada por função e no conjunto completo.</w:t>
      </w:r>
    </w:p>
    <w:p>
      <w:pPr>
        <w:keepNext/>
        <w:spacing w:line="276" w:lineRule="auto" w:after="120"/>
        <w:jc w:val="both"/>
      </w:pPr>
      <w:r>
        <w:rPr>
          <w:b/>
          <w:sz w:val="22"/>
        </w:rPr>
        <w:t>Tabela 4 – Metas técnicas e medição prevista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3005"/>
        <w:gridCol w:w="3402"/>
      </w:tblGrid>
      <w:tr>
        <w:trPr>
          <w:cantSplit/>
          <w:tblHeader/>
        </w:trP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Aspecto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Meta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Como medir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Detecção de queda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Pelo menos 90% das quedas simuladas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Dividir quedas detectadas pelo total de quedas simuladas e multiplicar por 100; registrar também as falhas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Alarmes falsos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Menos de 1 por dia por dispositivo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Contar avisos indevidos no período de uso e registrar as horas observadas; ensaios curtos não comprovam a meta diária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Saída da área segura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Alerta em até 2 minutos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Comparar o instante de cruzamento do limite com o recebimento do alerta pelo cuidador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Autonomia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Pelo menos 8 horas por carga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Medir o tempo de funcionamento contínuo, registrando frequência de localização e transmissão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Configuração do alerta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Botão manual e localização disponível no aviso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Acionar o botão e verificar o recebimento; testar GNSS em local aberto e registrar indisponibilidade de sinal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Custo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Teto inicial de R$ 500 na alternativa LilyGO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Somar os gastos efetivos; o teto não comporta a estimativa Waveshare de R$ 597 a R$ 622</w:t>
            </w:r>
          </w:p>
        </w:tc>
      </w:tr>
    </w:tbl>
    <w:p>
      <w:pPr>
        <w:spacing w:line="276" w:lineRule="auto" w:after="120"/>
        <w:jc w:val="both"/>
      </w:pPr>
      <w:r>
        <w:rPr>
          <w:sz w:val="20"/>
        </w:rPr>
        <w:t>Fonte: metas do projeto e procedimentos propostos pelos autores (2026).</w:t>
      </w:r>
    </w:p>
    <w:p>
      <w:pPr>
        <w:spacing w:line="276" w:lineRule="auto" w:after="120"/>
        <w:jc w:val="both"/>
      </w:pPr>
      <w:r>
        <w:rPr>
          <w:sz w:val="24"/>
        </w:rPr>
        <w:t>Os alarmes falsos por atividade, usados no protocolo do case, serão registrados separadamente da taxa diária. A localização em ambiente fechado e a identificação por rede conhecida são possibilidades de estudo, sem desempenho demonstrado. A função de localização não deve apresentar uma posição antiga como se fosse atual.</w:t>
      </w:r>
    </w:p>
    <w:p>
      <w:pPr>
        <w:pStyle w:val="Ttulo3"/>
        <w:spacing w:line="276" w:lineRule="auto" w:after="120" w:before="240"/>
        <w:numPr>
          <w:numId w:val="0"/>
        </w:numPr>
      </w:pPr>
      <w:r>
        <w:t>Objetivo 2 – Publicar documentação de projeto aberto</w:t>
      </w:r>
    </w:p>
    <w:p>
      <w:pPr>
        <w:spacing w:line="276" w:lineRule="auto" w:after="120"/>
        <w:jc w:val="both"/>
      </w:pPr>
      <w:r>
        <w:rPr>
          <w:sz w:val="24"/>
        </w:rPr>
        <w:t>O material previsto inclui esquema elétrico, lista de materiais com fornecedores, modelo do case e código-fonte sob licença MIT. A verificação terá duas partes: conferir a presença desses arquivos e observar uma pessoa de fora do grupo seguindo o roteiro de montagem. Serão anotados os passos concluídos, as dúvidas e as intervenções necessárias. A documentação será ajustada a partir dessas dificuldades.</w:t>
      </w:r>
    </w:p>
    <w:p>
      <w:pPr>
        <w:pStyle w:val="Ttulo3"/>
        <w:spacing w:line="276" w:lineRule="auto" w:after="120" w:before="240"/>
        <w:numPr>
          <w:numId w:val="0"/>
        </w:numPr>
      </w:pPr>
      <w:r>
        <w:t>Objetivo 3 – Capacitar a equipe da instituição</w:t>
      </w:r>
    </w:p>
    <w:p>
      <w:pPr>
        <w:spacing w:line="276" w:lineRule="auto" w:after="120"/>
        <w:jc w:val="both"/>
      </w:pPr>
      <w:r>
        <w:rPr>
          <w:sz w:val="24"/>
        </w:rPr>
        <w:t>A oficina abordará montagem, configuração e operação. A meta de configuração é que um membro da equipe conclua o procedimento em menos de 15 minutos, sem intervenção do grupo. O registro inclui tempo e ajuda solicitada, mesmo quando a meta não for atingida.</w:t>
      </w:r>
    </w:p>
    <w:p>
      <w:pPr>
        <w:spacing w:line="276" w:lineRule="auto" w:after="120"/>
        <w:jc w:val="both"/>
      </w:pPr>
      <w:r>
        <w:rPr>
          <w:sz w:val="24"/>
        </w:rPr>
        <w:t>A avaliação de reação tem meta mínima de 4 em 5. O formulário deve permitir comentário sobre as dificuldades, e o relatório apresentará as respostas e a quantidade de participantes. Como critério proposto de consolidação, será usada a média das notas de avaliação geral. O vídeo, quando autorizado, complementa o formulário e não é obrigatório.</w:t>
      </w:r>
    </w:p>
    <w:p>
      <w:pPr>
        <w:pStyle w:val="Ttulo2"/>
        <w:spacing w:line="276" w:lineRule="auto" w:after="120" w:before="240"/>
        <w:numPr>
          <w:numId w:val="0"/>
        </w:numPr>
      </w:pPr>
      <w:r>
        <w:t>2.5 Recursos previstos</w:t>
      </w:r>
    </w:p>
    <w:p>
      <w:pPr>
        <w:spacing w:line="276" w:lineRule="auto" w:after="120"/>
        <w:jc w:val="both"/>
      </w:pPr>
      <w:r>
        <w:rPr>
          <w:sz w:val="24"/>
        </w:rPr>
        <w:t>O grupo considera duas alternativas de aquisição, ainda sem escolha de placa ou compra confirmada. Os valores foram registrados em setembro de 2026.</w:t>
      </w:r>
    </w:p>
    <w:p>
      <w:pPr>
        <w:keepNext/>
        <w:spacing w:line="276" w:lineRule="auto" w:after="120"/>
        <w:jc w:val="both"/>
      </w:pPr>
      <w:r>
        <w:rPr>
          <w:b/>
          <w:sz w:val="22"/>
        </w:rPr>
        <w:t>Tabela 5 – Alternativas de orçamento para uma unidade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3005"/>
        <w:gridCol w:w="3402"/>
      </w:tblGrid>
      <w:tr>
        <w:trPr>
          <w:cantSplit/>
          <w:tblHeader/>
        </w:trP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Alternativa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Estimativa registrada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 w:line="252" w:lineRule="auto"/>
            </w:pPr>
            <w:r>
              <w:rPr>
                <w:b/>
                <w:sz w:val="21"/>
              </w:rPr>
              <w:t>Fonte prevista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LilyGO T-A7670G R2 importada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R$ 419; teto inicial de R$ 500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Grupo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Waveshare ESP32-S3-SIM7670G-4G no mercado nacional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R$ 597 a R$ 622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Grupo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Plano de dados e hospedagem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Valores ainda não definidos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52" w:lineRule="auto"/>
            </w:pPr>
            <w:r>
              <w:rPr>
                <w:b w:val="0"/>
                <w:sz w:val="21"/>
              </w:rPr>
              <w:t>Sem financiamento acordado</w:t>
            </w:r>
          </w:p>
        </w:tc>
      </w:tr>
    </w:tbl>
    <w:p>
      <w:pPr>
        <w:spacing w:line="276" w:lineRule="auto" w:after="120"/>
        <w:jc w:val="both"/>
      </w:pPr>
      <w:r>
        <w:rPr>
          <w:sz w:val="20"/>
        </w:rPr>
        <w:t>Fonte: MeuAmparo_Cotacao-e-Compras.md, MeuAmparo_Cotacao-e-Compras.docx e 00-LEIA-ME.docx, registros de setembro de 2026. Valores estimados, não preços atuais.</w:t>
      </w:r>
    </w:p>
    <w:p>
      <w:pPr>
        <w:spacing w:line="276" w:lineRule="auto" w:after="120"/>
        <w:jc w:val="both"/>
      </w:pPr>
      <w:r>
        <w:rPr>
          <w:sz w:val="24"/>
        </w:rPr>
        <w:t>A visão de menor custo inicial favorece a LilyGO na estimativa: R$ 178 a R$ 203 abaixo da Waveshare. Depende, porém, do prazo e do custo da importação, além da revisão do case existente.</w:t>
      </w:r>
    </w:p>
    <w:p>
      <w:pPr>
        <w:spacing w:line="276" w:lineRule="auto" w:after="120"/>
        <w:jc w:val="both"/>
      </w:pPr>
      <w:r>
        <w:rPr>
          <w:sz w:val="24"/>
        </w:rPr>
        <w:t>A visão de aquisição nacional favorece o aproveitamento do desenho do case para a Waveshare, com conferência física dos encaixes antes da fabricação. Essa alternativa supera o teto inicial em R$ 97 a R$ 122. Ambas dependem de cotação atual; a decisão continua aberta.</w:t>
      </w:r>
    </w:p>
    <w:p>
      <w:pPr>
        <w:spacing w:line="276" w:lineRule="auto" w:after="120"/>
        <w:jc w:val="both"/>
      </w:pPr>
      <w:r>
        <w:rPr>
          <w:sz w:val="24"/>
        </w:rPr>
        <w:t>A composição LilyGO é: placa, R$ 169; MPU6050, R$ 28; bateria, R$ 55; interface e conexões, R$ 25; case e cordão, R$ 30; placa portadora, R$ 12/unidade; frete e encargos, R$ 100. A portadora pressupõe lote de cinco, cujo desembolso precisa entrar na compra. A caixa comercial de R$ 25 é outra possibilidade do levantamento.</w:t>
      </w:r>
    </w:p>
    <w:p>
      <w:pPr>
        <w:spacing w:line="276" w:lineRule="auto" w:after="120"/>
        <w:jc w:val="both"/>
      </w:pPr>
      <w:r>
        <w:rPr>
          <w:sz w:val="24"/>
        </w:rPr>
        <w:t>Estão previstos ESP-IDF para firmware em C, OpenSCAD para o case e Git para versionamento. O roteiro da disciplina prevê simulação em software livre e admite montagem física conforme os recursos. A aplicação dessa alternativa ao MeuAmparo depende da compatibilidade do simulador com ESP32 e os periféricos e da orientação do professor.</w:t>
      </w:r>
    </w:p>
    <w:p>
      <w:pPr>
        <w:spacing w:line="276" w:lineRule="auto" w:after="120"/>
        <w:jc w:val="both"/>
      </w:pPr>
      <w:r>
        <w:rPr>
          <w:sz w:val="24"/>
        </w:rPr>
        <w:t>Laboratório e impressora 3D da Estácio dependem de disponibilidade. Participam os dois discentes, o Prof. Omar Sacilotto Donaires como orientador e a equipe da instituição, conforme acordo. Não há financiamento da IES ou da parceira confirmado.</w:t>
      </w: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1D6DC9" w14:textId="77777777" w:rsidR="001A209B" w:rsidRDefault="001A209B">
      <w:pPr>
        <w:spacing w:after="0" w:line="240" w:lineRule="auto"/>
      </w:pPr>
      <w:r>
        <w:separator/>
      </w:r>
    </w:p>
  </w:endnote>
  <w:endnote w:type="continuationSeparator" w:id="0">
    <w:p w14:paraId="404D97B4" w14:textId="77777777" w:rsidR="001A209B" w:rsidRDefault="001A209B">
      <w:pPr>
        <w:spacing w:after="0" w:line="240" w:lineRule="auto"/>
      </w:pPr>
      <w:r>
        <w:continuationSeparator/>
      </w:r>
    </w:p>
  </w:endnote>
  <w:endnote w:type="continuationNotice" w:id="1">
    <w:p w14:paraId="4D54C0FD" w14:textId="77777777" w:rsidR="001A209B" w:rsidRDefault="001A20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5ACB89" w14:textId="77777777" w:rsidR="001A209B" w:rsidRDefault="001A209B">
      <w:pPr>
        <w:spacing w:after="0" w:line="240" w:lineRule="auto"/>
      </w:pPr>
      <w:r>
        <w:separator/>
      </w:r>
    </w:p>
  </w:footnote>
  <w:footnote w:type="continuationSeparator" w:id="0">
    <w:p w14:paraId="60F2F373" w14:textId="77777777" w:rsidR="001A209B" w:rsidRDefault="001A209B">
      <w:pPr>
        <w:spacing w:after="0" w:line="240" w:lineRule="auto"/>
      </w:pPr>
      <w:r>
        <w:continuationSeparator/>
      </w:r>
    </w:p>
  </w:footnote>
  <w:footnote w:type="continuationNotice" w:id="1">
    <w:p w14:paraId="382C4A7B" w14:textId="77777777" w:rsidR="001A209B" w:rsidRDefault="001A209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54379"/>
    <w:multiLevelType w:val="hybridMultilevel"/>
    <w:tmpl w:val="73E0D5F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817E5"/>
    <w:multiLevelType w:val="hybridMultilevel"/>
    <w:tmpl w:val="EC3C4E8E"/>
    <w:lvl w:ilvl="0" w:tplc="63148BD4">
      <w:numFmt w:val="bullet"/>
      <w:lvlText w:val="•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503D6CB8"/>
    <w:multiLevelType w:val="hybridMultilevel"/>
    <w:tmpl w:val="5C34936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DA60485"/>
    <w:multiLevelType w:val="hybridMultilevel"/>
    <w:tmpl w:val="9C1673D2"/>
    <w:lvl w:ilvl="0" w:tplc="63148BD4">
      <w:numFmt w:val="bullet"/>
      <w:lvlText w:val="•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16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A0A1773"/>
    <w:multiLevelType w:val="hybridMultilevel"/>
    <w:tmpl w:val="85626928"/>
    <w:lvl w:ilvl="0" w:tplc="63148BD4">
      <w:numFmt w:val="bullet"/>
      <w:lvlText w:val="•"/>
      <w:lvlJc w:val="left"/>
      <w:pPr>
        <w:ind w:left="2062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5"/>
  </w:num>
  <w:num w:numId="2" w16cid:durableId="1021783882">
    <w:abstractNumId w:val="4"/>
  </w:num>
  <w:num w:numId="3" w16cid:durableId="247807133">
    <w:abstractNumId w:val="3"/>
  </w:num>
  <w:num w:numId="4" w16cid:durableId="1568494442">
    <w:abstractNumId w:val="9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13"/>
  </w:num>
  <w:num w:numId="8" w16cid:durableId="50882581">
    <w:abstractNumId w:val="11"/>
  </w:num>
  <w:num w:numId="9" w16cid:durableId="117921235">
    <w:abstractNumId w:val="10"/>
  </w:num>
  <w:num w:numId="10" w16cid:durableId="417676567">
    <w:abstractNumId w:val="7"/>
  </w:num>
  <w:num w:numId="11" w16cid:durableId="1823695869">
    <w:abstractNumId w:val="2"/>
  </w:num>
  <w:num w:numId="12" w16cid:durableId="567496289">
    <w:abstractNumId w:val="6"/>
  </w:num>
  <w:num w:numId="13" w16cid:durableId="317347441">
    <w:abstractNumId w:val="12"/>
  </w:num>
  <w:num w:numId="14" w16cid:durableId="19080343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52005"/>
    <w:rsid w:val="00165C74"/>
    <w:rsid w:val="001813F7"/>
    <w:rsid w:val="0018283B"/>
    <w:rsid w:val="0018516F"/>
    <w:rsid w:val="0019211A"/>
    <w:rsid w:val="001A1198"/>
    <w:rsid w:val="001A209B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1963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3938"/>
    <w:rsid w:val="00485CBB"/>
    <w:rsid w:val="004A33E0"/>
    <w:rsid w:val="004A7031"/>
    <w:rsid w:val="004D5918"/>
    <w:rsid w:val="00521A39"/>
    <w:rsid w:val="00530963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3837"/>
    <w:rsid w:val="006775D1"/>
    <w:rsid w:val="006A6F2D"/>
    <w:rsid w:val="006F7714"/>
    <w:rsid w:val="00707303"/>
    <w:rsid w:val="00711A95"/>
    <w:rsid w:val="00720B69"/>
    <w:rsid w:val="00722AE0"/>
    <w:rsid w:val="00733694"/>
    <w:rsid w:val="00733711"/>
    <w:rsid w:val="00736C80"/>
    <w:rsid w:val="00743792"/>
    <w:rsid w:val="00755150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E403C"/>
    <w:rsid w:val="009F1AE2"/>
    <w:rsid w:val="009F5FA8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D4AF6"/>
    <w:rsid w:val="00DE1AEA"/>
    <w:rsid w:val="00E05693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2275</Words>
  <Characters>12286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MeuAmparo – Planejamento do projeto</dc:title>
  <dc:subject>Projeto de extensao - Programacao de Microcontroladores - Estacio Ribeirao Preto</dc:subject>
  <dc:creator>Gustavo Moda</dc:creator>
  <cp:lastModifiedBy>Gustavo Moda</cp:lastModifiedBy>
  <cp:revision>3</cp:revision>
  <dcterms:created xsi:type="dcterms:W3CDTF">2026-09-09T17:57:21Z</dcterms:created>
  <dcterms:modified xsi:type="dcterms:W3CDTF">2026-09-09T19:37:10Z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