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CaféDirecto · Documento técnico de la demo</w:t>
      </w:r>
    </w:p>
    <w:p>
      <w:pPr/>
      <w:r>
        <w:t xml:space="preserve">Oct 20, 2026</w:t>
      </w:r>
      <w:r>
        <w:t xml:space="preserve"> · </w:t>
      </w:r>
      <w:r>
        <w:t xml:space="preserve">@Javier Guerra</w:t>
      </w:r>
    </w:p>
    <w:p>
      <w:pPr>
        <w:pStyle w:val="Heading2"/>
      </w:pPr>
      <w:r>
        <w:t xml:space="preserve">1. Introducción</w:t>
      </w:r>
    </w:p>
    <w:p>
      <w:pPr/>
      <w:r>
        <w:t xml:space="preserve">CaféDirecto Demo es una aplicación web de una sola página (SPA) en React 18 + Vite. Simula, sin backend, la app móvil que conecta a caficultores colombianos con compradores internacionales de café de especialidad. Se usa para presentar el producto a evaluadores e inversionistas.</w:t>
      </w:r>
    </w:p>
    <w:p>
      <w:pPr/>
      <w:r>
        <w:rPr>
          <w:b/>
        </w:rPr>
        <w:t xml:space="preserve">Propósito del documento.</w:t>
      </w:r>
      <w:r>
        <w:t xml:space="preserve"> Describir la arquitectura, los módulos, el modelo de datos, los flujos y la forma de ejecutar y extender la demo. Sirve de referencia para quien mantenga el código o lo lleve a producción.</w:t>
      </w:r>
    </w:p>
    <w:p>
      <w:pPr/>
      <w:r>
        <w:rPr>
          <w:b/>
        </w:rPr>
        <w:t xml:space="preserve">Alcance.</w:t>
      </w:r>
      <w:r>
        <w:t xml:space="preserve"> Cubre el código de la carpeta </w:t>
      </w:r>
      <w:r>
        <w:rPr>
          <w:rStyle w:val="CodeChar"/>
        </w:rPr>
        <w:t xml:space="preserve">CafeDirecto_Demo</w:t>
      </w:r>
      <w:r>
        <w:t xml:space="preserve"> (versión 1.0.0). No cubre pagos, logística, gestión de certificaciones, predicción de precios ni panel administrativo, que quedaron fuera del alcance de la demo.</w:t>
      </w:r>
    </w:p>
    <w:p>
      <w:pPr/>
      <w:r>
        <w:rPr>
          <w:b/>
        </w:rPr>
        <w:t xml:space="preserve">Público.</w:t>
      </w:r>
      <w:r>
        <w:t xml:space="preserve"> Desarrolladores frontend, arquitectos de software y evaluadores técnicos del proyecto.</w:t>
      </w:r>
    </w:p>
    <w:p>
      <w:pPr>
        <w:pStyle w:val="Heading3"/>
      </w:pPr>
      <w:r>
        <w:t xml:space="preserve">Glosario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2"/>
        <w:gridCol w:w="6377"/>
      </w:tblGrid>
      <w:tr>
        <w:trPr>
          <w:tblHeader/>
        </w:trPr>
        <w:tc>
          <w:tcPr>
            <w:tcW w:w="2982" w:type="dxa"/>
            <w:shd w:val="clear" w:color="auto" w:fill="F2F2F2"/>
          </w:tcPr>
          <w:p>
            <w:pPr/>
            <w:r>
              <w:t xml:space="preserve">Término</w:t>
            </w:r>
          </w:p>
        </w:tc>
        <w:tc>
          <w:tcPr>
            <w:tcW w:w="6377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SCA</w:t>
            </w:r>
          </w:p>
        </w:tc>
        <w:tc>
          <w:tcPr>
            <w:tcW w:w="6377" w:type="dxa"/>
          </w:tcPr>
          <w:p>
            <w:pPr/>
            <w:r>
              <w:t xml:space="preserve">Specialty Coffee Association. Puntaje de 0 a 100; el café de especialidad tiene 80 o más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Saco</w:t>
            </w:r>
          </w:p>
        </w:tc>
        <w:tc>
          <w:tcPr>
            <w:tcW w:w="6377" w:type="dxa"/>
          </w:tcPr>
          <w:p>
            <w:pPr/>
            <w:r>
              <w:t xml:space="preserve">Unidad de café verde de 70 kg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Carga</w:t>
            </w:r>
          </w:p>
        </w:tc>
        <w:tc>
          <w:tcPr>
            <w:tcW w:w="6377" w:type="dxa"/>
          </w:tcPr>
          <w:p>
            <w:pPr/>
            <w:r>
              <w:t xml:space="preserve">125 kg de café pergamino seco, unidad de precio usada en Colombia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FOB</w:t>
            </w:r>
          </w:p>
        </w:tc>
        <w:tc>
          <w:tcPr>
            <w:tcW w:w="6377" w:type="dxa"/>
          </w:tcPr>
          <w:p>
            <w:pPr/>
            <w:r>
              <w:t xml:space="preserve">Free On Board: el vendedor entrega la mercancía cargada en el puerto de origen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EXW</w:t>
            </w:r>
          </w:p>
        </w:tc>
        <w:tc>
          <w:tcPr>
            <w:tcW w:w="6377" w:type="dxa"/>
          </w:tcPr>
          <w:p>
            <w:pPr/>
            <w:r>
              <w:t xml:space="preserve">Ex Works: el comprador recoge en la finca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Lote</w:t>
            </w:r>
          </w:p>
        </w:tc>
        <w:tc>
          <w:tcPr>
            <w:tcW w:w="6377" w:type="dxa"/>
          </w:tcPr>
          <w:p>
            <w:pPr/>
            <w:r>
              <w:t xml:space="preserve">Cantidad de café de una finca con variedad, proceso y puntaje propios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Cotización</w:t>
            </w:r>
          </w:p>
        </w:tc>
        <w:tc>
          <w:tcPr>
            <w:tcW w:w="6377" w:type="dxa"/>
          </w:tcPr>
          <w:p>
            <w:pPr/>
            <w:r>
              <w:t xml:space="preserve">Oferta de precio por libra y cantidad dentro del chat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Acuerdo</w:t>
            </w:r>
          </w:p>
        </w:tc>
        <w:tc>
          <w:tcPr>
            <w:tcW w:w="6377" w:type="dxa"/>
          </w:tcPr>
          <w:p>
            <w:pPr/>
            <w:r>
              <w:t xml:space="preserve">Registro de los términos que ambas partes confirmaron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Persona de la demo</w:t>
            </w:r>
          </w:p>
        </w:tc>
        <w:tc>
          <w:tcPr>
            <w:tcW w:w="6377" w:type="dxa"/>
          </w:tcPr>
          <w:p>
            <w:pPr/>
            <w:r>
              <w:t xml:space="preserve">Usuario simulado que controla el presentador: Luz Marina (caficultora) y Lena (compradora)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Mock data</w:t>
            </w:r>
          </w:p>
        </w:tc>
        <w:tc>
          <w:tcPr>
            <w:tcW w:w="6377" w:type="dxa"/>
          </w:tcPr>
          <w:p>
            <w:pPr/>
            <w:r>
              <w:t xml:space="preserve">Datos de ejemplo guardados en archivos </w:t>
            </w:r>
            <w:r>
              <w:rPr>
                <w:rStyle w:val="CodeChar"/>
              </w:rPr>
              <w:t xml:space="preserve">.js</w:t>
            </w:r>
            <w:r>
              <w:t xml:space="preserve"> locales</w:t>
            </w:r>
          </w:p>
        </w:tc>
      </w:tr>
    </w:tbl>
    <w:p>
      <w:pPr>
        <w:pStyle w:val="Heading2"/>
      </w:pPr>
      <w:r>
        <w:t xml:space="preserve">2. Visión general del producto</w:t>
      </w:r>
    </w:p>
    <w:p>
      <w:pPr/>
      <w:r>
        <w:t xml:space="preserve">CaféDirecto es un marketplace relacional: elimina intermediarios para que el productor gane más y la relación comercial sea trazable. La demo reproduce sus dos caras dentro de una misma app.</w:t>
      </w:r>
    </w:p>
    <w:p>
      <w:pPr>
        <w:pStyle w:val="Heading3"/>
      </w:pPr>
      <w:r>
        <w:t xml:space="preserve">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1"/>
        <w:gridCol w:w="2878"/>
        <w:gridCol w:w="1080"/>
        <w:gridCol w:w="4050"/>
      </w:tblGrid>
      <w:tr>
        <w:trPr>
          <w:tblHeader/>
        </w:trPr>
        <w:tc>
          <w:tcPr>
            <w:tcW w:w="1351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878" w:type="dxa"/>
            <w:shd w:val="clear" w:color="auto" w:fill="F2F2F2"/>
          </w:tcPr>
          <w:p>
            <w:pPr/>
            <w:r>
              <w:t xml:space="preserve">Persona de la demo</w:t>
            </w:r>
          </w:p>
        </w:tc>
        <w:tc>
          <w:tcPr>
            <w:tcW w:w="1080" w:type="dxa"/>
            <w:shd w:val="clear" w:color="auto" w:fill="F2F2F2"/>
          </w:tcPr>
          <w:p>
            <w:pPr/>
            <w:r>
              <w:t xml:space="preserve">Idioma de la interfaz</w:t>
            </w:r>
          </w:p>
        </w:tc>
        <w:tc>
          <w:tcPr>
            <w:tcW w:w="4050" w:type="dxa"/>
            <w:shd w:val="clear" w:color="auto" w:fill="F2F2F2"/>
          </w:tcPr>
          <w:p>
            <w:pPr/>
            <w:r>
              <w:t xml:space="preserve">Necesidad principal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Caficultor</w:t>
            </w:r>
          </w:p>
        </w:tc>
        <w:tc>
          <w:tcPr>
            <w:tcW w:w="2878" w:type="dxa"/>
          </w:tcPr>
          <w:p>
            <w:pPr/>
            <w:r>
              <w:t xml:space="preserve">Luz Marina Cuéllar · Finca La Esperanza · Pitalito, Huila</w:t>
            </w:r>
          </w:p>
        </w:tc>
        <w:tc>
          <w:tcPr>
            <w:tcW w:w="1080" w:type="dxa"/>
          </w:tcPr>
          <w:p>
            <w:pPr/>
            <w:r>
              <w:t xml:space="preserve">Español</w:t>
            </w:r>
          </w:p>
        </w:tc>
        <w:tc>
          <w:tcPr>
            <w:tcW w:w="4050" w:type="dxa"/>
          </w:tcPr>
          <w:p>
            <w:pPr/>
            <w:r>
              <w:t xml:space="preserve">Publicar lotes, hablar con compradores y negociar su precio con poco texto y botones grandes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Comprador</w:t>
            </w:r>
          </w:p>
        </w:tc>
        <w:tc>
          <w:tcPr>
            <w:tcW w:w="2878" w:type="dxa"/>
          </w:tcPr>
          <w:p>
            <w:pPr/>
            <w:r>
              <w:t xml:space="preserve">Lena Fischer · Nordlicht Kaffeerösterei · Berlín</w:t>
            </w:r>
          </w:p>
        </w:tc>
        <w:tc>
          <w:tcPr>
            <w:tcW w:w="1080" w:type="dxa"/>
          </w:tcPr>
          <w:p>
            <w:pPr/>
            <w:r>
              <w:t xml:space="preserve">Inglés</w:t>
            </w:r>
          </w:p>
        </w:tc>
        <w:tc>
          <w:tcPr>
            <w:tcW w:w="4050" w:type="dxa"/>
          </w:tcPr>
          <w:p>
            <w:pPr/>
            <w:r>
              <w:t xml:space="preserve">Descubrir orígenes trazables, pedir muestras y cerrar acuerdos transparentes</w:t>
            </w:r>
          </w:p>
        </w:tc>
      </w:tr>
    </w:tbl>
    <w:p>
      <w:pPr/>
      <w:r>
        <w:t xml:space="preserve">El panel de demo (fuera del celular) permite cambiar de rol en cualquier momento. Así se muestra la misma conversación y la misma negociación desde los dos lados.</w:t>
      </w:r>
    </w:p>
    <w:p>
      <w:pPr>
        <w:pStyle w:val="Heading3"/>
      </w:pPr>
      <w:r>
        <w:t xml:space="preserve">Las cuatro fases del flujo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Descubrimiento:</w:t>
      </w:r>
      <w:r>
        <w:t xml:space="preserve"> el comprador explora fincas y lotes y filtra por región, altitud, variedad, proceso y puntaje.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Conexión y diálogo:</w:t>
      </w:r>
      <w:r>
        <w:t xml:space="preserve"> chat directo con traducción ES/EN, notas de voz transcritas, fotos y plantillas.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Negociación y acuerdo:</w:t>
      </w:r>
      <w:r>
        <w:t xml:space="preserve"> cotización, contraoferta, doble confirmación y tarjeta de “Acuerdo registrado”.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Evaluación y reputación:</w:t>
      </w:r>
      <w:r>
        <w:t xml:space="preserve"> seguimiento del pedido hasta la entrega, calificación mutua y reputación acumulada.</w:t>
      </w:r>
    </w:p>
    <w:p>
      <w:pPr>
        <w:pStyle w:val="Heading3"/>
      </w:pPr>
      <w:r>
        <w:t xml:space="preserve">Usuarios objetivo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Caficultores:</w:t>
      </w:r>
      <w:r>
        <w:t xml:space="preserve"> pequeños y medianos (1–20 ha), con café de 80 o más puntos SCA, de Huila, Nariño, Cauca, Eje Cafetero, Tolima, Santander, Antioquia y Sierra Nevada.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Compradores:</w:t>
      </w:r>
      <w:r>
        <w:t xml:space="preserve"> tostadores, microtostadores, cadenas pequeñas de cafeterías e importadores boutique de EE. UU., Europa, Japón, Corea y Australia.</w:t>
      </w:r>
    </w:p>
    <w:p>
      <w:pPr>
        <w:pStyle w:val="Heading2"/>
      </w:pPr>
      <w:r>
        <w:t xml:space="preserve">3. Stack tecnológico</w:t>
      </w:r>
    </w:p>
    <w:p>
      <w:pPr/>
      <w:r>
        <w:t xml:space="preserve">La demo usa solo tres dependencias de producción y ninguna librería de interfaz ni de estado. El paquete compilado pesa 288 KB de JavaScript (92,6 KB comprimido con gzip) y 48,7 KB de CSS.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2"/>
        <w:gridCol w:w="2657"/>
        <w:gridCol w:w="1187"/>
        <w:gridCol w:w="3974"/>
      </w:tblGrid>
      <w:tr>
        <w:trPr>
          <w:tblHeader/>
        </w:trPr>
        <w:tc>
          <w:tcPr>
            <w:tcW w:w="1542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2657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974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Lenguaje</w:t>
            </w:r>
          </w:p>
        </w:tc>
        <w:tc>
          <w:tcPr>
            <w:tcW w:w="2657" w:type="dxa"/>
          </w:tcPr>
          <w:p>
            <w:pPr/>
            <w:r>
              <w:t xml:space="preserve">JavaScript (ES2022) + JSX</w:t>
            </w:r>
          </w:p>
        </w:tc>
        <w:tc>
          <w:tcPr>
            <w:tcW w:w="1187" w:type="dxa"/>
          </w:tcPr>
          <w:p>
            <w:pPr/>
            <w:r>
              <w:t xml:space="preserve">—</w:t>
            </w:r>
          </w:p>
        </w:tc>
        <w:tc>
          <w:tcPr>
            <w:tcW w:w="3974" w:type="dxa"/>
          </w:tcPr>
          <w:p>
            <w:pPr/>
            <w:r>
              <w:t xml:space="preserve">Todo el código de la aplicación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Interfaz</w:t>
            </w:r>
          </w:p>
        </w:tc>
        <w:tc>
          <w:tcPr>
            <w:tcW w:w="2657" w:type="dxa"/>
          </w:tcPr>
          <w:p>
            <w:pPr/>
            <w:r>
              <w:rPr>
                <w:rStyle w:val="CodeChar"/>
              </w:rPr>
              <w:t xml:space="preserve">react</w:t>
            </w:r>
            <w:r>
              <w:t xml:space="preserve">, </w:t>
            </w:r>
            <w:r>
              <w:rPr>
                <w:rStyle w:val="CodeChar"/>
              </w:rPr>
              <w:t xml:space="preserve">react-dom</w:t>
            </w:r>
          </w:p>
        </w:tc>
        <w:tc>
          <w:tcPr>
            <w:tcW w:w="1187" w:type="dxa"/>
          </w:tcPr>
          <w:p>
            <w:pPr/>
            <w:r>
              <w:t xml:space="preserve">18.3.1</w:t>
            </w:r>
          </w:p>
        </w:tc>
        <w:tc>
          <w:tcPr>
            <w:tcW w:w="3974" w:type="dxa"/>
          </w:tcPr>
          <w:p>
            <w:pPr/>
            <w:r>
              <w:t xml:space="preserve">Componentes, hooks y renderizado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Navegación</w:t>
            </w:r>
          </w:p>
        </w:tc>
        <w:tc>
          <w:tcPr>
            <w:tcW w:w="2657" w:type="dxa"/>
          </w:tcPr>
          <w:p>
            <w:pPr/>
            <w:r>
              <w:rPr>
                <w:rStyle w:val="CodeChar"/>
              </w:rPr>
              <w:t xml:space="preserve">react-router-dom</w:t>
            </w:r>
          </w:p>
        </w:tc>
        <w:tc>
          <w:tcPr>
            <w:tcW w:w="1187" w:type="dxa"/>
          </w:tcPr>
          <w:p>
            <w:pPr/>
            <w:r>
              <w:t xml:space="preserve">6.26.2</w:t>
            </w:r>
          </w:p>
        </w:tc>
        <w:tc>
          <w:tcPr>
            <w:tcW w:w="3974" w:type="dxa"/>
          </w:tcPr>
          <w:p>
            <w:pPr/>
            <w:r>
              <w:t xml:space="preserve">Rutas con </w:t>
            </w:r>
            <w:r>
              <w:rPr>
                <w:rStyle w:val="CodeChar"/>
              </w:rPr>
              <w:t xml:space="preserve">HashRouter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Estado</w:t>
            </w:r>
          </w:p>
        </w:tc>
        <w:tc>
          <w:tcPr>
            <w:tcW w:w="2657" w:type="dxa"/>
          </w:tcPr>
          <w:p>
            <w:pPr/>
            <w:r>
              <w:t xml:space="preserve">React Context + </w:t>
            </w:r>
            <w:r>
              <w:rPr>
                <w:rStyle w:val="CodeChar"/>
              </w:rPr>
              <w:t xml:space="preserve">useState</w:t>
            </w:r>
          </w:p>
        </w:tc>
        <w:tc>
          <w:tcPr>
            <w:tcW w:w="1187" w:type="dxa"/>
          </w:tcPr>
          <w:p>
            <w:pPr/>
            <w:r>
              <w:t xml:space="preserve">(incluido en React)</w:t>
            </w:r>
          </w:p>
        </w:tc>
        <w:tc>
          <w:tcPr>
            <w:tcW w:w="3974" w:type="dxa"/>
          </w:tcPr>
          <w:p>
            <w:pPr/>
            <w:r>
              <w:t xml:space="preserve">Store global en </w:t>
            </w:r>
            <w:r>
              <w:rPr>
                <w:rStyle w:val="CodeChar"/>
              </w:rPr>
              <w:t xml:space="preserve">AppContext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Persistencia</w:t>
            </w:r>
          </w:p>
        </w:tc>
        <w:tc>
          <w:tcPr>
            <w:tcW w:w="2657" w:type="dxa"/>
          </w:tcPr>
          <w:p>
            <w:pPr/>
            <w:r>
              <w:rPr>
                <w:rStyle w:val="CodeChar"/>
              </w:rPr>
              <w:t xml:space="preserve">localStorage</w:t>
            </w:r>
            <w:r>
              <w:t xml:space="preserve"> del navegador</w:t>
            </w:r>
          </w:p>
        </w:tc>
        <w:tc>
          <w:tcPr>
            <w:tcW w:w="1187" w:type="dxa"/>
          </w:tcPr>
          <w:p>
            <w:pPr/>
            <w:r>
              <w:t xml:space="preserve">API web</w:t>
            </w:r>
          </w:p>
        </w:tc>
        <w:tc>
          <w:tcPr>
            <w:tcW w:w="3974" w:type="dxa"/>
          </w:tcPr>
          <w:p>
            <w:pPr/>
            <w:r>
              <w:t xml:space="preserve">Guarda el estado entre recargas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Herramienta de build</w:t>
            </w:r>
          </w:p>
        </w:tc>
        <w:tc>
          <w:tcPr>
            <w:tcW w:w="2657" w:type="dxa"/>
          </w:tcPr>
          <w:p>
            <w:pPr/>
            <w:r>
              <w:rPr>
                <w:rStyle w:val="CodeChar"/>
              </w:rPr>
              <w:t xml:space="preserve">vite</w:t>
            </w:r>
          </w:p>
        </w:tc>
        <w:tc>
          <w:tcPr>
            <w:tcW w:w="1187" w:type="dxa"/>
          </w:tcPr>
          <w:p>
            <w:pPr/>
            <w:r>
              <w:t xml:space="preserve">5.4.8</w:t>
            </w:r>
          </w:p>
        </w:tc>
        <w:tc>
          <w:tcPr>
            <w:tcW w:w="3974" w:type="dxa"/>
          </w:tcPr>
          <w:p>
            <w:pPr/>
            <w:r>
              <w:t xml:space="preserve">Servidor de desarrollo con recarga rápida y compilación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Plugin</w:t>
            </w:r>
          </w:p>
        </w:tc>
        <w:tc>
          <w:tcPr>
            <w:tcW w:w="2657" w:type="dxa"/>
          </w:tcPr>
          <w:p>
            <w:pPr/>
            <w:r>
              <w:rPr>
                <w:rStyle w:val="CodeChar"/>
              </w:rPr>
              <w:t xml:space="preserve">@vitejs/plugin-react</w:t>
            </w:r>
          </w:p>
        </w:tc>
        <w:tc>
          <w:tcPr>
            <w:tcW w:w="1187" w:type="dxa"/>
          </w:tcPr>
          <w:p>
            <w:pPr/>
            <w:r>
              <w:t xml:space="preserve">4.3.1</w:t>
            </w:r>
          </w:p>
        </w:tc>
        <w:tc>
          <w:tcPr>
            <w:tcW w:w="3974" w:type="dxa"/>
          </w:tcPr>
          <w:p>
            <w:pPr/>
            <w:r>
              <w:t xml:space="preserve">Transformación de JSX y Fast Refresh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Estilos</w:t>
            </w:r>
          </w:p>
        </w:tc>
        <w:tc>
          <w:tcPr>
            <w:tcW w:w="2657" w:type="dxa"/>
          </w:tcPr>
          <w:p>
            <w:pPr/>
            <w:r>
              <w:t xml:space="preserve">CSS3 con variables (custom properties)</w:t>
            </w:r>
          </w:p>
        </w:tc>
        <w:tc>
          <w:tcPr>
            <w:tcW w:w="1187" w:type="dxa"/>
          </w:tcPr>
          <w:p>
            <w:pPr/>
            <w:r>
              <w:t xml:space="preserve">—</w:t>
            </w:r>
          </w:p>
        </w:tc>
        <w:tc>
          <w:tcPr>
            <w:tcW w:w="3974" w:type="dxa"/>
          </w:tcPr>
          <w:p>
            <w:pPr/>
            <w:r>
              <w:t xml:space="preserve">Temas por rol, animaciones y diseño responsive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Tipografía</w:t>
            </w:r>
          </w:p>
        </w:tc>
        <w:tc>
          <w:tcPr>
            <w:tcW w:w="2657" w:type="dxa"/>
          </w:tcPr>
          <w:p>
            <w:pPr/>
            <w:r>
              <w:t xml:space="preserve">Google Fonts: Fraunces, Nunito, Inter</w:t>
            </w:r>
          </w:p>
        </w:tc>
        <w:tc>
          <w:tcPr>
            <w:tcW w:w="1187" w:type="dxa"/>
          </w:tcPr>
          <w:p>
            <w:pPr/>
            <w:r>
              <w:t xml:space="preserve">—</w:t>
            </w:r>
          </w:p>
        </w:tc>
        <w:tc>
          <w:tcPr>
            <w:tcW w:w="3974" w:type="dxa"/>
          </w:tcPr>
          <w:p>
            <w:pPr/>
            <w:r>
              <w:t xml:space="preserve">Títulos, interfaz del caficultor e interfaz del comprador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Iconos</w:t>
            </w:r>
          </w:p>
        </w:tc>
        <w:tc>
          <w:tcPr>
            <w:tcW w:w="2657" w:type="dxa"/>
          </w:tcPr>
          <w:p>
            <w:pPr/>
            <w:r>
              <w:t xml:space="preserve">SVG en línea (estilo Lucide)</w:t>
            </w:r>
          </w:p>
        </w:tc>
        <w:tc>
          <w:tcPr>
            <w:tcW w:w="1187" w:type="dxa"/>
          </w:tcPr>
          <w:p>
            <w:pPr/>
            <w:r>
              <w:t xml:space="preserve">—</w:t>
            </w:r>
          </w:p>
        </w:tc>
        <w:tc>
          <w:tcPr>
            <w:tcW w:w="3974" w:type="dxa"/>
          </w:tcPr>
          <w:p>
            <w:pPr/>
            <w:r>
              <w:t xml:space="preserve">Componente propio </w:t>
            </w:r>
            <w:r>
              <w:rPr>
                <w:rStyle w:val="CodeChar"/>
              </w:rPr>
              <w:t xml:space="preserve">Icon.jsx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Imágenes</w:t>
            </w:r>
          </w:p>
        </w:tc>
        <w:tc>
          <w:tcPr>
            <w:tcW w:w="2657" w:type="dxa"/>
          </w:tcPr>
          <w:p>
            <w:pPr/>
            <w:r>
              <w:t xml:space="preserve">Unsplash (URLs remotas)</w:t>
            </w:r>
          </w:p>
        </w:tc>
        <w:tc>
          <w:tcPr>
            <w:tcW w:w="1187" w:type="dxa"/>
          </w:tcPr>
          <w:p>
            <w:pPr/>
            <w:r>
              <w:t xml:space="preserve">—</w:t>
            </w:r>
          </w:p>
        </w:tc>
        <w:tc>
          <w:tcPr>
            <w:tcW w:w="3974" w:type="dxa"/>
          </w:tcPr>
          <w:p>
            <w:pPr/>
            <w:r>
              <w:t xml:space="preserve">Fotos de ejemplo, con respaldo si no cargan</w:t>
            </w:r>
          </w:p>
        </w:tc>
      </w:tr>
      <w:tr>
        <w:tc>
          <w:tcPr>
            <w:tcW w:w="1542" w:type="dxa"/>
          </w:tcPr>
          <w:p>
            <w:pPr/>
            <w:r>
              <w:t xml:space="preserve">Entorno</w:t>
            </w:r>
          </w:p>
        </w:tc>
        <w:tc>
          <w:tcPr>
            <w:tcW w:w="2657" w:type="dxa"/>
          </w:tcPr>
          <w:p>
            <w:pPr/>
            <w:r>
              <w:t xml:space="preserve">Node.js + npm</w:t>
            </w:r>
          </w:p>
        </w:tc>
        <w:tc>
          <w:tcPr>
            <w:tcW w:w="1187" w:type="dxa"/>
          </w:tcPr>
          <w:p>
            <w:pPr/>
            <w:r>
              <w:t xml:space="preserve">22.14.0 / 10.9.2 (probado)</w:t>
            </w:r>
          </w:p>
        </w:tc>
        <w:tc>
          <w:tcPr>
            <w:tcW w:w="3974" w:type="dxa"/>
          </w:tcPr>
          <w:p>
            <w:pPr/>
            <w:r>
              <w:t xml:space="preserve">Instalar dependencias y ejecutar los scripts</w:t>
            </w:r>
          </w:p>
        </w:tc>
      </w:tr>
    </w:tbl>
    <w:p>
      <w:pPr/>
      <w:r>
        <w:rPr>
          <w:b/>
        </w:rPr>
        <w:t xml:space="preserve">Scripts de </w:t>
      </w:r>
      <w:r>
        <w:rPr>
          <w:rStyle w:val="CodeChar"/>
          <w:b/>
        </w:rPr>
        <w:t xml:space="preserve">package.json</w:t>
      </w:r>
      <w:r>
        <w:rPr>
          <w:b/>
        </w:rPr>
        <w:t xml:space="preserve">:</w:t>
      </w:r>
      <w:r>
        <w:t xml:space="preserve"> </w:t>
      </w:r>
      <w:r>
        <w:rPr>
          <w:rStyle w:val="CodeChar"/>
        </w:rPr>
        <w:t xml:space="preserve">npm run dev</w:t>
      </w:r>
      <w:r>
        <w:t xml:space="preserve"> (servidor de desarrollo), </w:t>
      </w:r>
      <w:r>
        <w:rPr>
          <w:rStyle w:val="CodeChar"/>
        </w:rPr>
        <w:t xml:space="preserve">npm run build</w:t>
      </w:r>
      <w:r>
        <w:t xml:space="preserve"> (compilación en </w:t>
      </w:r>
      <w:r>
        <w:rPr>
          <w:rStyle w:val="CodeChar"/>
        </w:rPr>
        <w:t xml:space="preserve">dist/</w:t>
      </w:r>
      <w:r>
        <w:t xml:space="preserve">) y </w:t>
      </w:r>
      <w:r>
        <w:rPr>
          <w:rStyle w:val="CodeChar"/>
        </w:rPr>
        <w:t xml:space="preserve">npm run preview</w:t>
      </w:r>
      <w:r>
        <w:t xml:space="preserve"> (sirve la compilación).</w:t>
      </w:r>
    </w:p>
    <w:p>
      <w:pPr>
        <w:pStyle w:val="Heading2"/>
      </w:pPr>
      <w:r>
        <w:t xml:space="preserve">4. Arquitectura</w:t>
      </w:r>
    </w:p>
    <w:p>
      <w:pPr/>
      <w:r>
        <w:t xml:space="preserve">La demo sigue una arquitectura por capas organizada por tipo de archivo. Las dependencias van en un solo sentido, de arriba hacia abajo: las capas inferiores nunca importan a las superiores. Todo corre en el navegador; no hay servidor de aplicación.</w:t>
      </w:r>
    </w:p>
    <w:p>
      <w:pPr/>
      <w:r>
        <w:drawing>
          <wp:inline distT="0" distB="0" distL="0" distR="0">
            <wp:extent cx="5486400" cy="3028950"/>
            <wp:docPr id="1" name="image1" descr="arquitectura por capas · 5 capas en el naveg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por capas · 5 capas en el navegado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por capas · 5 capas en el navegador</w:t>
      </w:r>
    </w:p>
    <w:p>
      <w:pPr/>
      <w:r>
        <w:t xml:space="preserve">Las pantallas y los componentes llegan al estado solo por </w:t>
      </w:r>
      <w:r>
        <w:rPr>
          <w:rStyle w:val="CodeChar"/>
        </w:rPr>
        <w:t xml:space="preserve">useApp()</w:t>
      </w:r>
      <w:r>
        <w:t xml:space="preserve">; </w:t>
      </w:r>
      <w:r>
        <w:rPr>
          <w:rStyle w:val="CodeChar"/>
        </w:rPr>
        <w:t xml:space="preserve">AppContext</w:t>
      </w:r>
      <w:r>
        <w:t xml:space="preserve"> es la única capa que lo modifica y la única que habla con </w:t>
      </w:r>
      <w:r>
        <w:rPr>
          <w:rStyle w:val="CodeChar"/>
        </w:rPr>
        <w:t xml:space="preserve">localStorage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5"/>
        <w:gridCol w:w="1556"/>
        <w:gridCol w:w="3912"/>
        <w:gridCol w:w="2297"/>
      </w:tblGrid>
      <w:tr>
        <w:trPr>
          <w:tblHeader/>
        </w:trPr>
        <w:tc>
          <w:tcPr>
            <w:tcW w:w="1595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Paquete</w:t>
            </w:r>
          </w:p>
        </w:tc>
        <w:tc>
          <w:tcPr>
            <w:tcW w:w="3912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2297" w:type="dxa"/>
            <w:shd w:val="clear" w:color="auto" w:fill="F2F2F2"/>
          </w:tcPr>
          <w:p>
            <w:pPr/>
            <w:r>
              <w:t xml:space="preserve">Puede importar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Arranque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main.jsx</w:t>
            </w:r>
          </w:p>
        </w:tc>
        <w:tc>
          <w:tcPr>
            <w:tcW w:w="3912" w:type="dxa"/>
          </w:tcPr>
          <w:p>
            <w:pPr/>
            <w:r>
              <w:t xml:space="preserve">Monta React, el Provider y el Router</w:t>
            </w:r>
          </w:p>
        </w:tc>
        <w:tc>
          <w:tcPr>
            <w:tcW w:w="2297" w:type="dxa"/>
          </w:tcPr>
          <w:p>
            <w:pPr/>
            <w:r>
              <w:rPr>
                <w:rStyle w:val="CodeChar"/>
              </w:rPr>
              <w:t xml:space="preserve">App</w:t>
            </w:r>
            <w:r>
              <w:t xml:space="preserve">, </w:t>
            </w:r>
            <w:r>
              <w:rPr>
                <w:rStyle w:val="CodeChar"/>
              </w:rPr>
              <w:t xml:space="preserve">context</w:t>
            </w:r>
            <w:r>
              <w:t xml:space="preserve">, </w:t>
            </w:r>
            <w:r>
              <w:rPr>
                <w:rStyle w:val="CodeChar"/>
              </w:rPr>
              <w:t xml:space="preserve">styles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Navegación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App.jsx</w:t>
            </w:r>
          </w:p>
        </w:tc>
        <w:tc>
          <w:tcPr>
            <w:tcW w:w="3912" w:type="dxa"/>
          </w:tcPr>
          <w:p>
            <w:pPr/>
            <w:r>
              <w:t xml:space="preserve">Rutas, marco del celular, barra inferior</w:t>
            </w:r>
          </w:p>
        </w:tc>
        <w:tc>
          <w:tcPr>
            <w:tcW w:w="2297" w:type="dxa"/>
          </w:tcPr>
          <w:p>
            <w:pPr/>
            <w:r>
              <w:rPr>
                <w:rStyle w:val="CodeChar"/>
              </w:rPr>
              <w:t xml:space="preserve">screens</w:t>
            </w:r>
            <w:r>
              <w:t xml:space="preserve">, </w:t>
            </w:r>
            <w:r>
              <w:rPr>
                <w:rStyle w:val="CodeChar"/>
              </w:rPr>
              <w:t xml:space="preserve">components</w:t>
            </w:r>
            <w:r>
              <w:t xml:space="preserve">, </w:t>
            </w:r>
            <w:r>
              <w:rPr>
                <w:rStyle w:val="CodeChar"/>
              </w:rPr>
              <w:t xml:space="preserve">context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Presentación (páginas)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screens/</w:t>
            </w:r>
          </w:p>
        </w:tc>
        <w:tc>
          <w:tcPr>
            <w:tcW w:w="3912" w:type="dxa"/>
          </w:tcPr>
          <w:p>
            <w:pPr/>
            <w:r>
              <w:t xml:space="preserve">Una pantalla por ruta; orquesta componentes y acciones</w:t>
            </w:r>
          </w:p>
        </w:tc>
        <w:tc>
          <w:tcPr>
            <w:tcW w:w="2297" w:type="dxa"/>
          </w:tcPr>
          <w:p>
            <w:pPr/>
            <w:r>
              <w:rPr>
                <w:rStyle w:val="CodeChar"/>
              </w:rPr>
              <w:t xml:space="preserve">components</w:t>
            </w:r>
            <w:r>
              <w:t xml:space="preserve">, </w:t>
            </w:r>
            <w:r>
              <w:rPr>
                <w:rStyle w:val="CodeChar"/>
              </w:rPr>
              <w:t xml:space="preserve">context</w:t>
            </w:r>
            <w:r>
              <w:t xml:space="preserve">, </w:t>
            </w:r>
            <w:r>
              <w:rPr>
                <w:rStyle w:val="CodeChar"/>
              </w:rPr>
              <w:t xml:space="preserve">data</w:t>
            </w:r>
            <w:r>
              <w:t xml:space="preserve">, </w:t>
            </w:r>
            <w:r>
              <w:rPr>
                <w:rStyle w:val="CodeChar"/>
              </w:rPr>
              <w:t xml:space="preserve">utils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Presentación (UI)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components/</w:t>
            </w:r>
          </w:p>
        </w:tc>
        <w:tc>
          <w:tcPr>
            <w:tcW w:w="3912" w:type="dxa"/>
          </w:tcPr>
          <w:p>
            <w:pPr/>
            <w:r>
              <w:t xml:space="preserve">Piezas visuales reutilizables</w:t>
            </w:r>
          </w:p>
        </w:tc>
        <w:tc>
          <w:tcPr>
            <w:tcW w:w="2297" w:type="dxa"/>
          </w:tcPr>
          <w:p>
            <w:pPr/>
            <w:r>
              <w:rPr>
                <w:rStyle w:val="CodeChar"/>
              </w:rPr>
              <w:t xml:space="preserve">context</w:t>
            </w:r>
            <w:r>
              <w:t xml:space="preserve">, </w:t>
            </w:r>
            <w:r>
              <w:rPr>
                <w:rStyle w:val="CodeChar"/>
              </w:rPr>
              <w:t xml:space="preserve">data</w:t>
            </w:r>
            <w:r>
              <w:t xml:space="preserve">, </w:t>
            </w:r>
            <w:r>
              <w:rPr>
                <w:rStyle w:val="CodeChar"/>
              </w:rPr>
              <w:t xml:space="preserve">utils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Estado y negocio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context/</w:t>
            </w:r>
          </w:p>
        </w:tc>
        <w:tc>
          <w:tcPr>
            <w:tcW w:w="3912" w:type="dxa"/>
          </w:tcPr>
          <w:p>
            <w:pPr/>
            <w:r>
              <w:t xml:space="preserve">Estado global, acciones, reglas de cotización y offline</w:t>
            </w:r>
          </w:p>
        </w:tc>
        <w:tc>
          <w:tcPr>
            <w:tcW w:w="2297" w:type="dxa"/>
          </w:tcPr>
          <w:p>
            <w:pPr/>
            <w:r>
              <w:rPr>
                <w:rStyle w:val="CodeChar"/>
              </w:rPr>
              <w:t xml:space="preserve">data</w:t>
            </w:r>
            <w:r>
              <w:t xml:space="preserve">, </w:t>
            </w:r>
            <w:r>
              <w:rPr>
                <w:rStyle w:val="CodeChar"/>
              </w:rPr>
              <w:t xml:space="preserve">utils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Datos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data/</w:t>
            </w:r>
          </w:p>
        </w:tc>
        <w:tc>
          <w:tcPr>
            <w:tcW w:w="3912" w:type="dxa"/>
          </w:tcPr>
          <w:p>
            <w:pPr/>
            <w:r>
              <w:t xml:space="preserve">Datos de ejemplo, catálogos, traducciones</w:t>
            </w:r>
          </w:p>
        </w:tc>
        <w:tc>
          <w:tcPr>
            <w:tcW w:w="2297" w:type="dxa"/>
          </w:tcPr>
          <w:p>
            <w:pPr/>
            <w:r>
              <w:t xml:space="preserve">otros archivos de </w:t>
            </w:r>
            <w:r>
              <w:rPr>
                <w:rStyle w:val="CodeChar"/>
              </w:rPr>
              <w:t xml:space="preserve">data/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Utilidades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utils.js</w:t>
            </w:r>
          </w:p>
        </w:tc>
        <w:tc>
          <w:tcPr>
            <w:tcW w:w="3912" w:type="dxa"/>
          </w:tcPr>
          <w:p>
            <w:pPr/>
            <w:r>
              <w:t xml:space="preserve">Funciones puras</w:t>
            </w:r>
          </w:p>
        </w:tc>
        <w:tc>
          <w:tcPr>
            <w:tcW w:w="2297" w:type="dxa"/>
          </w:tcPr>
          <w:p>
            <w:pPr/>
            <w:r>
              <w:t xml:space="preserve">nada</w:t>
            </w:r>
          </w:p>
        </w:tc>
      </w:tr>
    </w:tbl>
    <w:p>
      <w:pPr>
        <w:pStyle w:val="Heading3"/>
      </w:pPr>
      <w:r>
        <w:t xml:space="preserve">Patrones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Provider + hook personalizado:</w:t>
      </w:r>
      <w:r>
        <w:t xml:space="preserve"> </w:t>
      </w:r>
      <w:r>
        <w:rPr>
          <w:rStyle w:val="CodeChar"/>
        </w:rPr>
        <w:t xml:space="preserve">AppProvider</w:t>
      </w:r>
      <w:r>
        <w:t xml:space="preserve"> hace de store global y </w:t>
      </w:r>
      <w:r>
        <w:rPr>
          <w:rStyle w:val="CodeChar"/>
        </w:rPr>
        <w:t xml:space="preserve">useApp()</w:t>
      </w:r>
      <w:r>
        <w:t xml:space="preserve"> es su única puerta de acceso.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Contenedor / presentación:</w:t>
      </w:r>
      <w:r>
        <w:t xml:space="preserve"> las pantallas leen el estado y llaman acciones; los componentes reciben datos por props y avisan con callbacks (por ejemplo, </w:t>
      </w:r>
      <w:r>
        <w:rPr>
          <w:rStyle w:val="CodeChar"/>
        </w:rPr>
        <w:t xml:space="preserve">QuoteCard</w:t>
      </w:r>
      <w:r>
        <w:t xml:space="preserve"> recibe </w:t>
      </w:r>
      <w:r>
        <w:rPr>
          <w:rStyle w:val="CodeChar"/>
        </w:rPr>
        <w:t xml:space="preserve">onAccept</w:t>
      </w:r>
      <w:r>
        <w:t xml:space="preserve">, </w:t>
      </w:r>
      <w:r>
        <w:rPr>
          <w:rStyle w:val="CodeChar"/>
        </w:rPr>
        <w:t xml:space="preserve">onCounter</w:t>
      </w:r>
      <w:r>
        <w:t xml:space="preserve"> y </w:t>
      </w:r>
      <w:r>
        <w:rPr>
          <w:rStyle w:val="CodeChar"/>
        </w:rPr>
        <w:t xml:space="preserve">onConfirm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Repositorio simulado:</w:t>
      </w:r>
      <w:r>
        <w:t xml:space="preserve"> </w:t>
      </w:r>
      <w:r>
        <w:rPr>
          <w:rStyle w:val="CodeChar"/>
        </w:rPr>
        <w:t xml:space="preserve">data/</w:t>
      </w:r>
      <w:r>
        <w:t xml:space="preserve"> y las acciones del contexto aíslan el origen de los datos; cambiarlos por una API no obliga a tocar las pantallas.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Estado inmutable:</w:t>
      </w:r>
      <w:r>
        <w:t xml:space="preserve"> cada acción trabaja sobre una copia (</w:t>
      </w:r>
      <w:r>
        <w:rPr>
          <w:rStyle w:val="CodeChar"/>
        </w:rPr>
        <w:t xml:space="preserve">structuredClone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Tematización por variables CSS:</w:t>
      </w:r>
      <w:r>
        <w:t xml:space="preserve"> una sola hoja de estilos con dos juegos de variables, uno por rol.</w:t>
      </w:r>
    </w:p>
    <w:p>
      <w:pPr>
        <w:pStyle w:val="Heading2"/>
      </w:pPr>
      <w:r>
        <w:t xml:space="preserve">5. Estructura de carpetas</w:t>
      </w:r>
    </w:p>
    <w:p>
      <w:pPr/>
      <w:r>
        <w:t xml:space="preserve">El código fuente tiene 41 archivos en </w:t>
      </w:r>
      <w:r>
        <w:rPr>
          <w:rStyle w:val="CodeChar"/>
        </w:rPr>
        <w:t xml:space="preserve">src/</w:t>
      </w:r>
      <w:r>
        <w:t xml:space="preserve">, agrupados por capa.</w:t>
      </w:r>
    </w:p>
    <w:p>
      <w:pPr>
        <w:pStyle w:val="Code"/>
      </w:pPr>
      <w:r>
        <w:t xml:space="preserve">CafeDirecto_Demo/</w:t>
        <w:br/>
        <w:t xml:space="preserve">├─ index.html           Documento raíz, carga Google Fonts</w:t>
        <w:br/>
        <w:t xml:space="preserve">├─ package.json         Dependencias y scripts</w:t>
        <w:br/>
        <w:t xml:space="preserve">├─ vite.config.js       Configuración de Vite (puerto 5173)</w:t>
        <w:br/>
        <w:t xml:space="preserve">├─ README.md            Instrucciones y guion de demo</w:t>
        <w:br/>
        <w:t xml:space="preserve">├─ public/favicon.svg</w:t>
        <w:br/>
        <w:t xml:space="preserve">└─ src/</w:t>
        <w:br/>
        <w:t xml:space="preserve">   ├─ main.jsx</w:t>
        <w:br/>
        <w:t xml:space="preserve">   ├─ App.jsx</w:t>
        <w:br/>
        <w:t xml:space="preserve">   ├─ utils.js</w:t>
        <w:br/>
        <w:t xml:space="preserve">   ├─ context/AppContext.jsx</w:t>
        <w:br/>
        <w:t xml:space="preserve">   ├─ data/</w:t>
        <w:br/>
        <w:t xml:space="preserve">   ├─ components/</w:t>
        <w:br/>
        <w:t xml:space="preserve">   ├─ screens/</w:t>
        <w:br/>
        <w:t xml:space="preserve">   └─ styles/</w:t>
      </w:r>
    </w:p>
    <w:p>
      <w:pPr>
        <w:pStyle w:val="Heading3"/>
      </w:pPr>
      <w:r>
        <w:t xml:space="preserve">Archivos de arranque y transversales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95"/>
        <w:gridCol w:w="5564"/>
      </w:tblGrid>
      <w:tr>
        <w:trPr>
          <w:tblHeader/>
        </w:trPr>
        <w:tc>
          <w:tcPr>
            <w:tcW w:w="3795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5564" w:type="dxa"/>
            <w:shd w:val="clear" w:color="auto" w:fill="F2F2F2"/>
          </w:tcPr>
          <w:p>
            <w:pPr/>
            <w:r>
              <w:t xml:space="preserve">Responsabilidad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src/main.jsx</w:t>
            </w:r>
          </w:p>
        </w:tc>
        <w:tc>
          <w:tcPr>
            <w:tcW w:w="5564" w:type="dxa"/>
          </w:tcPr>
          <w:p>
            <w:pPr/>
            <w:r>
              <w:t xml:space="preserve">Monta React en </w:t>
            </w:r>
            <w:r>
              <w:rPr>
                <w:rStyle w:val="CodeChar"/>
              </w:rPr>
              <w:t xml:space="preserve">#root</w:t>
            </w:r>
            <w:r>
              <w:t xml:space="preserve">, envuelve la app en </w:t>
            </w:r>
            <w:r>
              <w:rPr>
                <w:rStyle w:val="CodeChar"/>
              </w:rPr>
              <w:t xml:space="preserve">AppProvider</w:t>
            </w:r>
            <w:r>
              <w:t xml:space="preserve"> y </w:t>
            </w:r>
            <w:r>
              <w:rPr>
                <w:rStyle w:val="CodeChar"/>
              </w:rPr>
              <w:t xml:space="preserve">HashRouter</w:t>
            </w:r>
            <w:r>
              <w:t xml:space="preserve"> e importa los estilos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src/App.jsx</w:t>
            </w:r>
          </w:p>
        </w:tc>
        <w:tc>
          <w:tcPr>
            <w:tcW w:w="5564" w:type="dxa"/>
          </w:tcPr>
          <w:p>
            <w:pPr/>
            <w:r>
              <w:t xml:space="preserve">Declara las rutas, oculta la barra inferior en chat y formularios, aplica la animación de entrada y obliga a pasar por el onboarding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src/utils.js</w:t>
            </w:r>
          </w:p>
        </w:tc>
        <w:tc>
          <w:tcPr>
            <w:tcW w:w="5564" w:type="dxa"/>
          </w:tcPr>
          <w:p>
            <w:pPr/>
            <w:r>
              <w:t xml:space="preserve">Funciones puras: conversión sacos → libras, total de una cotización, conversión COP/carga → USD/lb, formatos de moneda y fecha, cálculo de reputación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src/context/AppContext.jsx</w:t>
            </w:r>
          </w:p>
        </w:tc>
        <w:tc>
          <w:tcPr>
            <w:tcW w:w="5564" w:type="dxa"/>
          </w:tcPr>
          <w:p>
            <w:pPr/>
            <w:r>
              <w:t xml:space="preserve">Estado global, persistencia y todas las acciones de negocio (ver sección 6)</w:t>
            </w:r>
          </w:p>
        </w:tc>
      </w:tr>
    </w:tbl>
    <w:p>
      <w:pPr>
        <w:pStyle w:val="Heading3"/>
      </w:pPr>
      <w:r>
        <w:rPr>
          <w:rStyle w:val="CodeChar"/>
        </w:rPr>
        <w:t xml:space="preserve">src/data/</w:t>
      </w:r>
      <w:r>
        <w:t xml:space="preserve"> — datos de ejemplo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4"/>
        <w:gridCol w:w="7245"/>
      </w:tblGrid>
      <w:tr>
        <w:trPr>
          <w:tblHeader/>
        </w:trPr>
        <w:tc>
          <w:tcPr>
            <w:tcW w:w="2114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7245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farms.js</w:t>
            </w:r>
          </w:p>
        </w:tc>
        <w:tc>
          <w:tcPr>
            <w:tcW w:w="7245" w:type="dxa"/>
          </w:tcPr>
          <w:p>
            <w:pPr/>
            <w:r>
              <w:t xml:space="preserve">6 fincas (Huila, Nariño, Cauca, Quindío, Tolima, Sierra Nevada), con historia ES/EN, certificaciones y reputación base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buyers.js</w:t>
            </w:r>
          </w:p>
        </w:tc>
        <w:tc>
          <w:tcPr>
            <w:tcW w:w="7245" w:type="dxa"/>
          </w:tcPr>
          <w:p>
            <w:pPr/>
            <w:r>
              <w:t xml:space="preserve">3 compradores: tostador en Berlín, microtostador en Portland, cadena de cafeterías en Tokio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lots.js</w:t>
            </w:r>
          </w:p>
        </w:tc>
        <w:tc>
          <w:tcPr>
            <w:tcW w:w="7245" w:type="dxa"/>
          </w:tcPr>
          <w:p>
            <w:pPr/>
            <w:r>
              <w:t xml:space="preserve">8 lotes con variedad, proceso, sacos, puntaje SCA y precio USD/lb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seed.js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createSeed()</w:t>
            </w:r>
            <w:r>
              <w:t xml:space="preserve">: arma el estado inicial con 3 conversaciones y 2 acuerdos; define </w:t>
            </w:r>
            <w:r>
              <w:rPr>
                <w:rStyle w:val="CodeChar"/>
              </w:rPr>
              <w:t xml:space="preserve">SEED_VERSION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phrases.js</w:t>
            </w:r>
          </w:p>
        </w:tc>
        <w:tc>
          <w:tcPr>
            <w:tcW w:w="7245" w:type="dxa"/>
          </w:tcPr>
          <w:p>
            <w:pPr/>
            <w:r>
              <w:t xml:space="preserve">Plantillas bilingües, notas de voz, respuestas automáticas, glosario y función </w:t>
            </w:r>
            <w:r>
              <w:rPr>
                <w:rStyle w:val="CodeChar"/>
              </w:rPr>
              <w:t xml:space="preserve">translate()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catalog.js</w:t>
            </w:r>
          </w:p>
        </w:tc>
        <w:tc>
          <w:tcPr>
            <w:tcW w:w="7245" w:type="dxa"/>
          </w:tcPr>
          <w:p>
            <w:pPr/>
            <w:r>
              <w:t xml:space="preserve">Regiones, variedades, procesos, notas de catación, incoterms y pasos del pedido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learn.js</w:t>
            </w:r>
          </w:p>
        </w:tc>
        <w:tc>
          <w:tcPr>
            <w:tcW w:w="7245" w:type="dxa"/>
          </w:tcPr>
          <w:p>
            <w:pPr/>
            <w:r>
              <w:t xml:space="preserve">Fichas de la sección Aprende (poscosecha y exportación)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photos.js</w:t>
            </w:r>
          </w:p>
        </w:tc>
        <w:tc>
          <w:tcPr>
            <w:tcW w:w="7245" w:type="dxa"/>
          </w:tcPr>
          <w:p>
            <w:pPr/>
            <w:r>
              <w:t xml:space="preserve">URLs de Unsplash y fotos que se pueden compartir en el chat</w:t>
            </w:r>
          </w:p>
        </w:tc>
      </w:tr>
    </w:tbl>
    <w:p>
      <w:pPr>
        <w:pStyle w:val="Heading3"/>
      </w:pPr>
      <w:r>
        <w:rPr>
          <w:rStyle w:val="CodeChar"/>
        </w:rPr>
        <w:t xml:space="preserve">src/styles/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3"/>
        <w:gridCol w:w="6736"/>
      </w:tblGrid>
      <w:tr>
        <w:trPr>
          <w:tblHeader/>
        </w:trPr>
        <w:tc>
          <w:tcPr>
            <w:tcW w:w="2623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6736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base.css</w:t>
            </w:r>
          </w:p>
        </w:tc>
        <w:tc>
          <w:tcPr>
            <w:tcW w:w="6736" w:type="dxa"/>
          </w:tcPr>
          <w:p>
            <w:pPr/>
            <w:r>
              <w:t xml:space="preserve">Variables de color por rol, marco del celular, barra de estado, panel de demo, animaciones globales y reglas para pantallas pequeñas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components.css</w:t>
            </w:r>
          </w:p>
        </w:tc>
        <w:tc>
          <w:tcPr>
            <w:tcW w:w="6736" w:type="dxa"/>
          </w:tcPr>
          <w:p>
            <w:pPr/>
            <w:r>
              <w:t xml:space="preserve">Botones, chips, insignias, campos, hojas inferiores, barra de pestañas, tarjetas de lote, cotización y acuerdo, línea de estado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screens.css</w:t>
            </w:r>
          </w:p>
        </w:tc>
        <w:tc>
          <w:tcPr>
            <w:tcW w:w="6736" w:type="dxa"/>
          </w:tcPr>
          <w:p>
            <w:pPr/>
            <w:r>
              <w:t xml:space="preserve">Estilos propios de cada pantalla: onboarding, inicio, explorar, perfiles, chat, publicar, pedidos, calificación, Aprende</w:t>
            </w:r>
          </w:p>
        </w:tc>
      </w:tr>
    </w:tbl>
    <w:p>
      <w:pPr/>
      <w:r>
        <w:t xml:space="preserve">Los archivos de </w:t>
      </w:r>
      <w:r>
        <w:rPr>
          <w:rStyle w:val="CodeChar"/>
        </w:rPr>
        <w:t xml:space="preserve">components/</w:t>
      </w:r>
      <w:r>
        <w:t xml:space="preserve"> y </w:t>
      </w:r>
      <w:r>
        <w:rPr>
          <w:rStyle w:val="CodeChar"/>
        </w:rPr>
        <w:t xml:space="preserve">screens/</w:t>
      </w:r>
      <w:r>
        <w:t xml:space="preserve"> se describen en las secciones 8 y 9.</w:t>
      </w:r>
    </w:p>
    <w:p>
      <w:pPr>
        <w:pStyle w:val="Heading2"/>
      </w:pPr>
      <w:r>
        <w:t xml:space="preserve">6. Gestión de estado</w:t>
      </w:r>
    </w:p>
    <w:p>
      <w:pPr/>
      <w:r>
        <w:t xml:space="preserve">Todo el estado vive en un único objeto dentro de </w:t>
      </w:r>
      <w:r>
        <w:rPr>
          <w:rStyle w:val="CodeChar"/>
        </w:rPr>
        <w:t xml:space="preserve">AppProvider</w:t>
      </w:r>
      <w:r>
        <w:t xml:space="preserve"> (</w:t>
      </w:r>
      <w:r>
        <w:rPr>
          <w:rStyle w:val="CodeChar"/>
        </w:rPr>
        <w:t xml:space="preserve">src/context/AppContext.jsx</w:t>
      </w:r>
      <w:r>
        <w:t xml:space="preserve">). Los componentes lo leen y lo modifican solo a través del hook </w:t>
      </w:r>
      <w:r>
        <w:rPr>
          <w:rStyle w:val="CodeChar"/>
        </w:rPr>
        <w:t xml:space="preserve">useApp()</w:t>
      </w:r>
      <w:r>
        <w:t xml:space="preserve">. Este archivo cumple el papel que tendría un backend.</w:t>
      </w:r>
    </w:p>
    <w:p>
      <w:pPr>
        <w:pStyle w:val="Heading3"/>
      </w:pPr>
      <w:r>
        <w:t xml:space="preserve">Mecanismo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Mutación inmutable:</w:t>
      </w:r>
      <w:r>
        <w:t xml:space="preserve"> la función interna </w:t>
      </w:r>
      <w:r>
        <w:rPr>
          <w:rStyle w:val="CodeChar"/>
        </w:rPr>
        <w:t xml:space="preserve">mutate(fn)</w:t>
      </w:r>
      <w:r>
        <w:t xml:space="preserve"> clona el estado con </w:t>
      </w:r>
      <w:r>
        <w:rPr>
          <w:rStyle w:val="CodeChar"/>
        </w:rPr>
        <w:t xml:space="preserve">structuredClone</w:t>
      </w:r>
      <w:r>
        <w:t xml:space="preserve">, aplica </w:t>
      </w:r>
      <w:r>
        <w:rPr>
          <w:rStyle w:val="CodeChar"/>
        </w:rPr>
        <w:t xml:space="preserve">fn</w:t>
      </w:r>
      <w:r>
        <w:t xml:space="preserve"> sobre la copia y la entrega a </w:t>
      </w:r>
      <w:r>
        <w:rPr>
          <w:rStyle w:val="CodeChar"/>
        </w:rPr>
        <w:t xml:space="preserve">setState</w:t>
      </w:r>
      <w:r>
        <w:t xml:space="preserve">. Así cada cambio produce un objeto nuevo y React vuelve a pintar.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Lectura fresca:</w:t>
      </w:r>
      <w:r>
        <w:t xml:space="preserve"> </w:t>
      </w:r>
      <w:r>
        <w:rPr>
          <w:rStyle w:val="CodeChar"/>
        </w:rPr>
        <w:t xml:space="preserve">stateRef</w:t>
      </w:r>
      <w:r>
        <w:t xml:space="preserve"> guarda siempre el estado más reciente. Lo usan los temporizadores (respuestas automáticas, sincronización) para no trabajar con datos viejos.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Persistencia:</w:t>
      </w:r>
      <w:r>
        <w:t xml:space="preserve"> un </w:t>
      </w:r>
      <w:r>
        <w:rPr>
          <w:rStyle w:val="CodeChar"/>
        </w:rPr>
        <w:t xml:space="preserve">useEffect</w:t>
      </w:r>
      <w:r>
        <w:t xml:space="preserve"> escribe el estado en </w:t>
      </w:r>
      <w:r>
        <w:rPr>
          <w:rStyle w:val="CodeChar"/>
        </w:rPr>
        <w:t xml:space="preserve">localStorage</w:t>
      </w:r>
      <w:r>
        <w:t xml:space="preserve"> con la clave </w:t>
      </w:r>
      <w:r>
        <w:rPr>
          <w:rStyle w:val="CodeChar"/>
        </w:rPr>
        <w:t xml:space="preserve">cafedirecto-demo</w:t>
      </w:r>
      <w:r>
        <w:t xml:space="preserve"> después de cada cambio. Al iniciar, </w:t>
      </w:r>
      <w:r>
        <w:rPr>
          <w:rStyle w:val="CodeChar"/>
        </w:rPr>
        <w:t xml:space="preserve">loadState()</w:t>
      </w:r>
      <w:r>
        <w:t xml:space="preserve"> lo recupera solo si coincide </w:t>
      </w:r>
      <w:r>
        <w:rPr>
          <w:rStyle w:val="CodeChar"/>
        </w:rPr>
        <w:t xml:space="preserve">SEED_VERSION</w:t>
      </w:r>
      <w:r>
        <w:t xml:space="preserve"> (hoy, 3); si no, usa </w:t>
      </w:r>
      <w:r>
        <w:rPr>
          <w:rStyle w:val="CodeChar"/>
        </w:rPr>
        <w:t xml:space="preserve">createSeed()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Idioma:</w:t>
      </w:r>
      <w:r>
        <w:t xml:space="preserve"> </w:t>
      </w:r>
      <w:r>
        <w:rPr>
          <w:rStyle w:val="CodeChar"/>
        </w:rPr>
        <w:t xml:space="preserve">lang</w:t>
      </w:r>
      <w:r>
        <w:t xml:space="preserve"> se deriva del rol (</w:t>
      </w:r>
      <w:r>
        <w:rPr>
          <w:rStyle w:val="CodeChar"/>
        </w:rPr>
        <w:t xml:space="preserve">farmer</w:t>
      </w:r>
      <w:r>
        <w:t xml:space="preserve"> → </w:t>
      </w:r>
      <w:r>
        <w:rPr>
          <w:rStyle w:val="CodeChar"/>
        </w:rPr>
        <w:t xml:space="preserve">es</w:t>
      </w:r>
      <w:r>
        <w:t xml:space="preserve">, </w:t>
      </w:r>
      <w:r>
        <w:rPr>
          <w:rStyle w:val="CodeChar"/>
        </w:rPr>
        <w:t xml:space="preserve">buyer</w:t>
      </w:r>
      <w:r>
        <w:t xml:space="preserve"> → </w:t>
      </w:r>
      <w:r>
        <w:rPr>
          <w:rStyle w:val="CodeChar"/>
        </w:rPr>
        <w:t xml:space="preserve">en</w:t>
      </w:r>
      <w:r>
        <w:t xml:space="preserve">). </w:t>
      </w:r>
      <w:r>
        <w:rPr>
          <w:rStyle w:val="CodeChar"/>
        </w:rPr>
        <w:t xml:space="preserve">tr(es, en)</w:t>
      </w:r>
      <w:r>
        <w:t xml:space="preserve"> elige un texto y </w:t>
      </w:r>
      <w:r>
        <w:rPr>
          <w:rStyle w:val="CodeChar"/>
        </w:rPr>
        <w:t xml:space="preserve">pick(obj)</w:t>
      </w:r>
      <w:r>
        <w:t xml:space="preserve"> elige la clave del idioma en un objeto </w:t>
      </w:r>
      <w:r>
        <w:rPr>
          <w:rStyle w:val="CodeChar"/>
        </w:rPr>
        <w:t xml:space="preserve">{es, en}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Avisos:</w:t>
      </w:r>
      <w:r>
        <w:t xml:space="preserve"> </w:t>
      </w:r>
      <w:r>
        <w:rPr>
          <w:rStyle w:val="CodeChar"/>
        </w:rPr>
        <w:t xml:space="preserve">showToast(texto, icono)</w:t>
      </w:r>
      <w:r>
        <w:t xml:space="preserve"> muestra un aviso durante 2,8 s.</w:t>
      </w:r>
    </w:p>
    <w:p>
      <w:pPr>
        <w:pStyle w:val="Heading3"/>
      </w:pPr>
      <w:r>
        <w:t xml:space="preserve">Forma del estado</w:t>
      </w:r>
    </w:p>
    <w:p>
      <w:pPr>
        <w:pStyle w:val="Code"/>
      </w:pPr>
      <w:r>
        <w:t xml:space="preserve">{</w:t>
        <w:br/>
        <w:t xml:space="preserve">  version: 3,</w:t>
        <w:br/>
        <w:t xml:space="preserve">  onboarded: false,</w:t>
        <w:br/>
        <w:t xml:space="preserve">  role: 'buyer' | 'farmer',</w:t>
        <w:br/>
        <w:t xml:space="preserve">  offline: false,</w:t>
        <w:br/>
        <w:t xml:space="preserve">  syncing: false,</w:t>
        <w:br/>
        <w:t xml:space="preserve">  me: { farmer: 'f1', buyer: 'b1' },</w:t>
        <w:br/>
        <w:t xml:space="preserve">  farms: Farm[],</w:t>
        <w:br/>
        <w:t xml:space="preserve">  buyers: Buyer[],</w:t>
        <w:br/>
        <w:t xml:space="preserve">  lots: Lot[],</w:t>
        <w:br/>
        <w:t xml:space="preserve">  conversations: Conversation[],</w:t>
        <w:br/>
        <w:t xml:space="preserve">  agreements: Agreement[]</w:t>
        <w:br/>
        <w:t xml:space="preserve">}</w:t>
      </w:r>
    </w:p>
    <w:p>
      <w:pPr>
        <w:pStyle w:val="Heading3"/>
      </w:pPr>
      <w:r>
        <w:t xml:space="preserve">Valores derivados que expone </w:t>
      </w:r>
      <w:r>
        <w:rPr>
          <w:rStyle w:val="CodeChar"/>
        </w:rPr>
        <w:t xml:space="preserve">useApp()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6620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662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state</w:t>
            </w:r>
          </w:p>
        </w:tc>
        <w:tc>
          <w:tcPr>
            <w:tcW w:w="6620" w:type="dxa"/>
          </w:tcPr>
          <w:p>
            <w:pPr/>
            <w:r>
              <w:t xml:space="preserve">El estado completo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</w:p>
        </w:tc>
        <w:tc>
          <w:tcPr>
            <w:tcW w:w="6620" w:type="dxa"/>
          </w:tcPr>
          <w:p>
            <w:pPr/>
            <w:r>
              <w:t xml:space="preserve">Rol activo e idioma derivado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tr</w:t>
            </w:r>
            <w:r>
              <w:t xml:space="preserve">, </w:t>
            </w:r>
            <w:r>
              <w:rPr>
                <w:rStyle w:val="CodeChar"/>
              </w:rPr>
              <w:t xml:space="preserve">pick</w:t>
            </w:r>
          </w:p>
        </w:tc>
        <w:tc>
          <w:tcPr>
            <w:tcW w:w="6620" w:type="dxa"/>
          </w:tcPr>
          <w:p>
            <w:pPr/>
            <w:r>
              <w:t xml:space="preserve">Ayudas de idioma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meFarm</w:t>
            </w:r>
            <w:r>
              <w:t xml:space="preserve">, </w:t>
            </w:r>
            <w:r>
              <w:rPr>
                <w:rStyle w:val="CodeChar"/>
              </w:rPr>
              <w:t xml:space="preserve">meBuyer</w:t>
            </w:r>
          </w:p>
        </w:tc>
        <w:tc>
          <w:tcPr>
            <w:tcW w:w="6620" w:type="dxa"/>
          </w:tcPr>
          <w:p>
            <w:pPr/>
            <w:r>
              <w:t xml:space="preserve">Las dos personas de la demo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myConversations</w:t>
            </w:r>
          </w:p>
        </w:tc>
        <w:tc>
          <w:tcPr>
            <w:tcW w:w="6620" w:type="dxa"/>
          </w:tcPr>
          <w:p>
            <w:pPr/>
            <w:r>
              <w:t xml:space="preserve">Conversaciones del rol activo, ordenadas por la más reciente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unreadTotal</w:t>
            </w:r>
          </w:p>
        </w:tc>
        <w:tc>
          <w:tcPr>
            <w:tcW w:w="6620" w:type="dxa"/>
          </w:tcPr>
          <w:p>
            <w:pPr/>
            <w:r>
              <w:t xml:space="preserve">Mensajes sin leer del rol activo (alimenta las insignias)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pendingCount</w:t>
            </w:r>
          </w:p>
        </w:tc>
        <w:tc>
          <w:tcPr>
            <w:tcW w:w="6620" w:type="dxa"/>
          </w:tcPr>
          <w:p>
            <w:pPr/>
            <w:r>
              <w:t xml:space="preserve">Mensajes en cola por estar sin conexión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toast</w:t>
            </w:r>
          </w:p>
        </w:tc>
        <w:tc>
          <w:tcPr>
            <w:tcW w:w="6620" w:type="dxa"/>
          </w:tcPr>
          <w:p>
            <w:pPr/>
            <w:r>
              <w:t xml:space="preserve">Aviso visible en este momento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actions</w:t>
            </w:r>
          </w:p>
        </w:tc>
        <w:tc>
          <w:tcPr>
            <w:tcW w:w="6620" w:type="dxa"/>
          </w:tcPr>
          <w:p>
            <w:pPr/>
            <w:r>
              <w:t xml:space="preserve">Las acciones de la tabla siguiente</w:t>
            </w:r>
          </w:p>
        </w:tc>
      </w:tr>
    </w:tbl>
    <w:p>
      <w:pPr>
        <w:pStyle w:val="Heading3"/>
      </w:pPr>
      <w:r>
        <w:t xml:space="preserve">Acciones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hace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setRole(r)</w:t>
            </w:r>
          </w:p>
        </w:tc>
        <w:tc>
          <w:tcPr>
            <w:tcW w:w="4920" w:type="dxa"/>
          </w:tcPr>
          <w:p>
            <w:pPr/>
            <w:r>
              <w:t xml:space="preserve">Cambia el rol activo y, con él, idioma y tema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completeOnboarding(r, form)</w:t>
            </w:r>
          </w:p>
        </w:tc>
        <w:tc>
          <w:tcPr>
            <w:tcW w:w="4920" w:type="dxa"/>
          </w:tcPr>
          <w:p>
            <w:pPr/>
            <w:r>
              <w:t xml:space="preserve">Marca el onboarding como hecho y guarda el nombre editado en el formulario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replayOnboarding()</w:t>
            </w:r>
            <w:r>
              <w:t xml:space="preserve"> / </w:t>
            </w:r>
            <w:r>
              <w:rPr>
                <w:rStyle w:val="CodeChar"/>
              </w:rPr>
              <w:t xml:space="preserve">reset()</w:t>
            </w:r>
          </w:p>
        </w:tc>
        <w:tc>
          <w:tcPr>
            <w:tcW w:w="4920" w:type="dxa"/>
          </w:tcPr>
          <w:p>
            <w:pPr/>
            <w:r>
              <w:t xml:space="preserve">Vuelve a mostrar el onboarding / restaura los datos de ejemplo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toggleOffline()</w:t>
            </w:r>
          </w:p>
        </w:tc>
        <w:tc>
          <w:tcPr>
            <w:tcW w:w="4920" w:type="dxa"/>
          </w:tcPr>
          <w:p>
            <w:pPr/>
            <w:r>
              <w:t xml:space="preserve">Activa o desactiva el modo sin conexión; al reconectar sincroniza lo pendiente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startConversation(farmId, buyerId, {lotId, firstMessage})</w:t>
            </w:r>
          </w:p>
        </w:tc>
        <w:tc>
          <w:tcPr>
            <w:tcW w:w="4920" w:type="dxa"/>
          </w:tcPr>
          <w:p>
            <w:pPr/>
            <w:r>
              <w:t xml:space="preserve">Busca o crea la conversación y devuelve su id de forma síncrona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sendMessage(convId, partial)</w:t>
            </w:r>
          </w:p>
        </w:tc>
        <w:tc>
          <w:tcPr>
            <w:tcW w:w="4920" w:type="dxa"/>
          </w:tcPr>
          <w:p>
            <w:pPr/>
            <w:r>
              <w:t xml:space="preserve">Envía texto, voz o foto; traduce si hace falta y suma no leídos al otro rol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markRead(convId)</w:t>
            </w:r>
          </w:p>
        </w:tc>
        <w:tc>
          <w:tcPr>
            <w:tcW w:w="4920" w:type="dxa"/>
          </w:tcPr>
          <w:p>
            <w:pPr/>
            <w:r>
              <w:t xml:space="preserve">Pone en cero los no leídos del rol activo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sendQuote(convId, {lotId, priceLb, sacks, incoterm})</w:t>
            </w:r>
          </w:p>
        </w:tc>
        <w:tc>
          <w:tcPr>
            <w:tcW w:w="4920" w:type="dxa"/>
          </w:tcPr>
          <w:p>
            <w:pPr/>
            <w:r>
              <w:t xml:space="preserve">Publica una cotización y reemplaza las que seguían abiertas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respondQuote(convId, msgId, action, data)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counter</w:t>
            </w:r>
            <w:r>
              <w:t xml:space="preserve">, </w:t>
            </w:r>
            <w:r>
              <w:rPr>
                <w:rStyle w:val="CodeChar"/>
              </w:rPr>
              <w:t xml:space="preserve">accept</w:t>
            </w:r>
            <w:r>
              <w:t xml:space="preserve"> o </w:t>
            </w:r>
            <w:r>
              <w:rPr>
                <w:rStyle w:val="CodeChar"/>
              </w:rPr>
              <w:t xml:space="preserve">confirm</w:t>
            </w:r>
            <w:r>
              <w:t xml:space="preserve">; la confirmación crea el acuerdo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advanceAgreement(agId)</w:t>
            </w:r>
          </w:p>
        </w:tc>
        <w:tc>
          <w:tcPr>
            <w:tcW w:w="4920" w:type="dxa"/>
          </w:tcPr>
          <w:p>
            <w:pPr/>
            <w:r>
              <w:t xml:space="preserve">Avanza el pedido un estado (botón de demo)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rateAgreement(agId, by, {stars, tags, comment})</w:t>
            </w:r>
          </w:p>
        </w:tc>
        <w:tc>
          <w:tcPr>
            <w:tcW w:w="4920" w:type="dxa"/>
          </w:tcPr>
          <w:p>
            <w:pPr/>
            <w:r>
              <w:t xml:space="preserve">Guarda la calificación de una parte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publishLot(data)</w:t>
            </w:r>
          </w:p>
        </w:tc>
        <w:tc>
          <w:tcPr>
            <w:tcW w:w="4920" w:type="dxa"/>
          </w:tcPr>
          <w:p>
            <w:pPr/>
            <w:r>
              <w:t xml:space="preserve">Crea un lote nuevo marcado como “NUEVO” y devuelve su id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showToast(texto, icono)</w:t>
            </w:r>
          </w:p>
        </w:tc>
        <w:tc>
          <w:tcPr>
            <w:tcW w:w="4920" w:type="dxa"/>
          </w:tcPr>
          <w:p>
            <w:pPr/>
            <w:r>
              <w:t xml:space="preserve">Muestra un aviso</w:t>
            </w:r>
          </w:p>
        </w:tc>
      </w:tr>
    </w:tbl>
    <w:p>
      <w:pPr/>
      <w:r>
        <w:rPr>
          <w:b/>
        </w:rPr>
        <w:t xml:space="preserve">Respuestas simuladas.</w:t>
      </w:r>
      <w:r>
        <w:t xml:space="preserve"> Si una conversación no es entre las dos personas de la demo, </w:t>
      </w:r>
      <w:r>
        <w:rPr>
          <w:rStyle w:val="CodeChar"/>
        </w:rPr>
        <w:t xml:space="preserve">scheduleAuto()</w:t>
      </w:r>
      <w:r>
        <w:t xml:space="preserve"> marca al otro participante como “escribiendo…” y luego </w:t>
      </w:r>
      <w:r>
        <w:rPr>
          <w:rStyle w:val="CodeChar"/>
        </w:rPr>
        <w:t xml:space="preserve">autoRespond()</w:t>
      </w:r>
      <w:r>
        <w:t xml:space="preserve"> contesta: con una frase si recibió un mensaje, o aceptando o confirmando si recibió una cotización. Sin conexión, esas respuestas esperan en la cola </w:t>
      </w:r>
      <w:r>
        <w:rPr>
          <w:rStyle w:val="CodeChar"/>
        </w:rPr>
        <w:t xml:space="preserve">queuedWhileOffline</w:t>
      </w:r>
      <w:r>
        <w:t xml:space="preserve"> hasta que termina la sincronización.</w:t>
      </w:r>
    </w:p>
    <w:p>
      <w:pPr>
        <w:pStyle w:val="Heading2"/>
      </w:pPr>
      <w:r>
        <w:t xml:space="preserve">7. Modelo de datos</w:t>
      </w:r>
    </w:p>
    <w:p>
      <w:pPr/>
      <w:r>
        <w:t xml:space="preserve">Hay siete entidades. Los textos que cambian con el idioma se guardan como objetos </w:t>
      </w:r>
      <w:r>
        <w:rPr>
          <w:rStyle w:val="CodeChar"/>
        </w:rPr>
        <w:t xml:space="preserve">{es, en}</w:t>
      </w:r>
      <w:r>
        <w:t xml:space="preserve">. Las relaciones son por id: una finca tiene lotes; una conversación une una finca con un comprador y contiene mensajes; un mensaje de tipo </w:t>
      </w:r>
      <w:r>
        <w:rPr>
          <w:rStyle w:val="CodeChar"/>
        </w:rPr>
        <w:t xml:space="preserve">quote</w:t>
      </w:r>
      <w:r>
        <w:t xml:space="preserve"> puede generar un acuerdo.</w:t>
      </w:r>
    </w:p>
    <w:p>
      <w:pPr>
        <w:pStyle w:val="Heading3"/>
      </w:pPr>
      <w:r>
        <w:t xml:space="preserve">Farm (finca)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7"/>
        <w:gridCol w:w="2756"/>
        <w:gridCol w:w="3557"/>
      </w:tblGrid>
      <w:tr>
        <w:trPr>
          <w:tblHeader/>
        </w:trPr>
        <w:tc>
          <w:tcPr>
            <w:tcW w:w="304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7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57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2756" w:type="dxa"/>
          </w:tcPr>
          <w:p>
            <w:pPr/>
            <w:r>
              <w:t xml:space="preserve">string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f1</w:t>
            </w:r>
            <w:r>
              <w:t xml:space="preserve"> … </w:t>
            </w:r>
            <w:r>
              <w:rPr>
                <w:rStyle w:val="CodeChar"/>
              </w:rPr>
              <w:t xml:space="preserve">f6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producer</w:t>
            </w:r>
          </w:p>
        </w:tc>
        <w:tc>
          <w:tcPr>
            <w:tcW w:w="2756" w:type="dxa"/>
          </w:tcPr>
          <w:p>
            <w:pPr/>
            <w:r>
              <w:t xml:space="preserve">string</w:t>
            </w:r>
          </w:p>
        </w:tc>
        <w:tc>
          <w:tcPr>
            <w:tcW w:w="3557" w:type="dxa"/>
          </w:tcPr>
          <w:p>
            <w:pPr/>
            <w:r>
              <w:t xml:space="preserve">Nombre de la finca y del caficultor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producerPhoto</w:t>
            </w:r>
            <w:r>
              <w:t xml:space="preserve">, </w:t>
            </w:r>
            <w:r>
              <w:rPr>
                <w:rStyle w:val="CodeChar"/>
              </w:rPr>
              <w:t xml:space="preserve">cover</w:t>
            </w:r>
            <w:r>
              <w:t xml:space="preserve">, </w:t>
            </w:r>
            <w:r>
              <w:rPr>
                <w:rStyle w:val="CodeChar"/>
              </w:rPr>
              <w:t xml:space="preserve">gallery[]</w:t>
            </w:r>
          </w:p>
        </w:tc>
        <w:tc>
          <w:tcPr>
            <w:tcW w:w="2756" w:type="dxa"/>
          </w:tcPr>
          <w:p>
            <w:pPr/>
            <w:r>
              <w:t xml:space="preserve">URL</w:t>
            </w:r>
          </w:p>
        </w:tc>
        <w:tc>
          <w:tcPr>
            <w:tcW w:w="3557" w:type="dxa"/>
          </w:tcPr>
          <w:p>
            <w:pPr/>
            <w:r>
              <w:t xml:space="preserve">Fotos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region</w:t>
            </w:r>
            <w:r>
              <w:t xml:space="preserve">, </w:t>
            </w:r>
            <w:r>
              <w:rPr>
                <w:rStyle w:val="CodeChar"/>
              </w:rPr>
              <w:t xml:space="preserve">municipality</w:t>
            </w:r>
          </w:p>
        </w:tc>
        <w:tc>
          <w:tcPr>
            <w:tcW w:w="2756" w:type="dxa"/>
          </w:tcPr>
          <w:p>
            <w:pPr/>
            <w:r>
              <w:t xml:space="preserve">string</w:t>
            </w:r>
          </w:p>
        </w:tc>
        <w:tc>
          <w:tcPr>
            <w:tcW w:w="3557" w:type="dxa"/>
          </w:tcPr>
          <w:p>
            <w:pPr/>
            <w:r>
              <w:t xml:space="preserve">Ubicación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altitude</w:t>
            </w:r>
          </w:p>
        </w:tc>
        <w:tc>
          <w:tcPr>
            <w:tcW w:w="2756" w:type="dxa"/>
          </w:tcPr>
          <w:p>
            <w:pPr/>
            <w:r>
              <w:t xml:space="preserve">number (m)</w:t>
            </w:r>
          </w:p>
        </w:tc>
        <w:tc>
          <w:tcPr>
            <w:tcW w:w="3557" w:type="dxa"/>
          </w:tcPr>
          <w:p>
            <w:pPr/>
            <w:r>
              <w:t xml:space="preserve">1.400 a 2.150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hectares</w:t>
            </w:r>
            <w:r>
              <w:t xml:space="preserve">, </w:t>
            </w:r>
            <w:r>
              <w:rPr>
                <w:rStyle w:val="CodeChar"/>
              </w:rPr>
              <w:t xml:space="preserve">since</w:t>
            </w:r>
          </w:p>
        </w:tc>
        <w:tc>
          <w:tcPr>
            <w:tcW w:w="2756" w:type="dxa"/>
          </w:tcPr>
          <w:p>
            <w:pPr/>
            <w:r>
              <w:t xml:space="preserve">number</w:t>
            </w:r>
          </w:p>
        </w:tc>
        <w:tc>
          <w:tcPr>
            <w:tcW w:w="3557" w:type="dxa"/>
          </w:tcPr>
          <w:p>
            <w:pPr/>
            <w:r>
              <w:t xml:space="preserve">Tamaño y año de inicio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varieties[]</w:t>
            </w:r>
            <w:r>
              <w:t xml:space="preserve">, </w:t>
            </w:r>
            <w:r>
              <w:rPr>
                <w:rStyle w:val="CodeChar"/>
              </w:rPr>
              <w:t xml:space="preserve">processes[]</w:t>
            </w:r>
            <w:r>
              <w:t xml:space="preserve">, </w:t>
            </w:r>
            <w:r>
              <w:rPr>
                <w:rStyle w:val="CodeChar"/>
              </w:rPr>
              <w:t xml:space="preserve">notes[]</w:t>
            </w:r>
          </w:p>
        </w:tc>
        <w:tc>
          <w:tcPr>
            <w:tcW w:w="2756" w:type="dxa"/>
          </w:tcPr>
          <w:p>
            <w:pPr/>
            <w:r>
              <w:t xml:space="preserve">string[]</w:t>
            </w:r>
          </w:p>
        </w:tc>
        <w:tc>
          <w:tcPr>
            <w:tcW w:w="3557" w:type="dxa"/>
          </w:tcPr>
          <w:p>
            <w:pPr/>
            <w:r>
              <w:t xml:space="preserve">Claves de </w:t>
            </w:r>
            <w:r>
              <w:rPr>
                <w:rStyle w:val="CodeChar"/>
              </w:rPr>
              <w:t xml:space="preserve">catalog.js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sca</w:t>
            </w:r>
          </w:p>
        </w:tc>
        <w:tc>
          <w:tcPr>
            <w:tcW w:w="2756" w:type="dxa"/>
          </w:tcPr>
          <w:p>
            <w:pPr/>
            <w:r>
              <w:t xml:space="preserve">number</w:t>
            </w:r>
          </w:p>
        </w:tc>
        <w:tc>
          <w:tcPr>
            <w:tcW w:w="3557" w:type="dxa"/>
          </w:tcPr>
          <w:p>
            <w:pPr/>
            <w:r>
              <w:t xml:space="preserve">Puntaje SCA de la finca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story</w:t>
            </w:r>
            <w:r>
              <w:t xml:space="preserve">, </w:t>
            </w:r>
            <w:r>
              <w:rPr>
                <w:rStyle w:val="CodeChar"/>
              </w:rPr>
              <w:t xml:space="preserve">quote</w:t>
            </w:r>
          </w:p>
        </w:tc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{es, en}</w:t>
            </w:r>
          </w:p>
        </w:tc>
        <w:tc>
          <w:tcPr>
            <w:tcW w:w="3557" w:type="dxa"/>
          </w:tcPr>
          <w:p>
            <w:pPr/>
            <w:r>
              <w:t xml:space="preserve">Historia y frase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certifications[]</w:t>
            </w:r>
          </w:p>
        </w:tc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{name, issuer, valid}</w:t>
            </w:r>
          </w:p>
        </w:tc>
        <w:tc>
          <w:tcPr>
            <w:tcW w:w="3557" w:type="dxa"/>
          </w:tcPr>
          <w:p>
            <w:pPr/>
            <w:r>
              <w:t xml:space="preserve">Solo visualización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rating</w:t>
            </w:r>
          </w:p>
        </w:tc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{avg, count}</w:t>
            </w:r>
          </w:p>
        </w:tc>
        <w:tc>
          <w:tcPr>
            <w:tcW w:w="3557" w:type="dxa"/>
          </w:tcPr>
          <w:p>
            <w:pPr/>
            <w:r>
              <w:t xml:space="preserve">Reputación histórica base</w:t>
            </w:r>
          </w:p>
        </w:tc>
      </w:tr>
      <w:tr>
        <w:tc>
          <w:tcPr>
            <w:tcW w:w="3047" w:type="dxa"/>
          </w:tcPr>
          <w:p>
            <w:pPr/>
            <w:r>
              <w:rPr>
                <w:rStyle w:val="CodeChar"/>
              </w:rPr>
              <w:t xml:space="preserve">reviews[]</w:t>
            </w:r>
          </w:p>
        </w:tc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{by, stars, text}</w:t>
            </w:r>
          </w:p>
        </w:tc>
        <w:tc>
          <w:tcPr>
            <w:tcW w:w="3557" w:type="dxa"/>
          </w:tcPr>
          <w:p>
            <w:pPr/>
            <w:r>
              <w:t xml:space="preserve">Reseñas previas</w:t>
            </w:r>
          </w:p>
        </w:tc>
      </w:tr>
    </w:tbl>
    <w:p>
      <w:pPr>
        <w:pStyle w:val="Heading3"/>
      </w:pPr>
      <w:r>
        <w:t xml:space="preserve">Buyer (comprador)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70"/>
        <w:gridCol w:w="2266"/>
        <w:gridCol w:w="3624"/>
      </w:tblGrid>
      <w:tr>
        <w:trPr>
          <w:tblHeader/>
        </w:trPr>
        <w:tc>
          <w:tcPr>
            <w:tcW w:w="347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26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624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2266" w:type="dxa"/>
          </w:tcPr>
          <w:p>
            <w:pPr/>
            <w:r>
              <w:t xml:space="preserve">string</w:t>
            </w:r>
          </w:p>
        </w:tc>
        <w:tc>
          <w:tcPr>
            <w:tcW w:w="3624" w:type="dxa"/>
          </w:tcPr>
          <w:p>
            <w:pPr/>
            <w:r>
              <w:rPr>
                <w:rStyle w:val="CodeChar"/>
              </w:rPr>
              <w:t xml:space="preserve">b1</w:t>
            </w:r>
            <w:r>
              <w:t xml:space="preserve"> … </w:t>
            </w:r>
            <w:r>
              <w:rPr>
                <w:rStyle w:val="CodeChar"/>
              </w:rPr>
              <w:t xml:space="preserve">b3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company</w:t>
            </w:r>
            <w:r>
              <w:t xml:space="preserve">, </w:t>
            </w:r>
            <w:r>
              <w:rPr>
                <w:rStyle w:val="CodeChar"/>
              </w:rPr>
              <w:t xml:space="preserve">contact</w:t>
            </w:r>
            <w:r>
              <w:t xml:space="preserve">, </w:t>
            </w:r>
            <w:r>
              <w:rPr>
                <w:rStyle w:val="CodeChar"/>
              </w:rPr>
              <w:t xml:space="preserve">contactRole</w:t>
            </w:r>
          </w:p>
        </w:tc>
        <w:tc>
          <w:tcPr>
            <w:tcW w:w="2266" w:type="dxa"/>
          </w:tcPr>
          <w:p>
            <w:pPr/>
            <w:r>
              <w:t xml:space="preserve">string / </w:t>
            </w:r>
            <w:r>
              <w:rPr>
                <w:rStyle w:val="CodeChar"/>
              </w:rPr>
              <w:t xml:space="preserve">{es, en}</w:t>
            </w:r>
          </w:p>
        </w:tc>
        <w:tc>
          <w:tcPr>
            <w:tcW w:w="3624" w:type="dxa"/>
          </w:tcPr>
          <w:p>
            <w:pPr/>
            <w:r>
              <w:t xml:space="preserve">Empresa, persona y cargo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city</w:t>
            </w:r>
            <w:r>
              <w:t xml:space="preserve">, </w:t>
            </w:r>
            <w:r>
              <w:rPr>
                <w:rStyle w:val="CodeChar"/>
              </w:rPr>
              <w:t xml:space="preserve">cityEn</w:t>
            </w:r>
            <w:r>
              <w:t xml:space="preserve">, </w:t>
            </w:r>
            <w:r>
              <w:rPr>
                <w:rStyle w:val="CodeChar"/>
              </w:rPr>
              <w:t xml:space="preserve">country</w:t>
            </w:r>
            <w:r>
              <w:t xml:space="preserve">, </w:t>
            </w:r>
            <w:r>
              <w:rPr>
                <w:rStyle w:val="CodeChar"/>
              </w:rPr>
              <w:t xml:space="preserve">flag</w:t>
            </w:r>
          </w:p>
        </w:tc>
        <w:tc>
          <w:tcPr>
            <w:tcW w:w="2266" w:type="dxa"/>
          </w:tcPr>
          <w:p>
            <w:pPr/>
            <w:r>
              <w:t xml:space="preserve">string / </w:t>
            </w:r>
            <w:r>
              <w:rPr>
                <w:rStyle w:val="CodeChar"/>
              </w:rPr>
              <w:t xml:space="preserve">{es, en}</w:t>
            </w:r>
          </w:p>
        </w:tc>
        <w:tc>
          <w:tcPr>
            <w:tcW w:w="3624" w:type="dxa"/>
          </w:tcPr>
          <w:p>
            <w:pPr/>
            <w:r>
              <w:t xml:space="preserve">Ubicación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type</w:t>
            </w:r>
            <w:r>
              <w:t xml:space="preserve">, </w:t>
            </w:r>
            <w:r>
              <w:rPr>
                <w:rStyle w:val="CodeChar"/>
              </w:rPr>
              <w:t xml:space="preserve">volume</w:t>
            </w:r>
          </w:p>
        </w:tc>
        <w:tc>
          <w:tcPr>
            <w:tcW w:w="2266" w:type="dxa"/>
          </w:tcPr>
          <w:p>
            <w:pPr/>
            <w:r>
              <w:rPr>
                <w:rStyle w:val="CodeChar"/>
              </w:rPr>
              <w:t xml:space="preserve">{es, en}</w:t>
            </w:r>
          </w:p>
        </w:tc>
        <w:tc>
          <w:tcPr>
            <w:tcW w:w="3624" w:type="dxa"/>
          </w:tcPr>
          <w:p>
            <w:pPr/>
            <w:r>
              <w:t xml:space="preserve">Tipo de comprador y volumen anual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</w:rPr>
              <w:t xml:space="preserve">verifiedNote</w:t>
            </w:r>
          </w:p>
        </w:tc>
        <w:tc>
          <w:tcPr>
            <w:tcW w:w="2266" w:type="dxa"/>
          </w:tcPr>
          <w:p>
            <w:pPr/>
            <w:r>
              <w:t xml:space="preserve">boolean / </w:t>
            </w:r>
            <w:r>
              <w:rPr>
                <w:rStyle w:val="CodeChar"/>
              </w:rPr>
              <w:t xml:space="preserve">{es, en}</w:t>
            </w:r>
          </w:p>
        </w:tc>
        <w:tc>
          <w:tcPr>
            <w:tcW w:w="3624" w:type="dxa"/>
          </w:tcPr>
          <w:p>
            <w:pPr/>
            <w:r>
              <w:t xml:space="preserve">Insignia “Verificado”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about</w:t>
            </w:r>
            <w:r>
              <w:t xml:space="preserve">, </w:t>
            </w:r>
            <w:r>
              <w:rPr>
                <w:rStyle w:val="CodeChar"/>
              </w:rPr>
              <w:t xml:space="preserve">looking</w:t>
            </w:r>
          </w:p>
        </w:tc>
        <w:tc>
          <w:tcPr>
            <w:tcW w:w="2266" w:type="dxa"/>
          </w:tcPr>
          <w:p>
            <w:pPr/>
            <w:r>
              <w:rPr>
                <w:rStyle w:val="CodeChar"/>
              </w:rPr>
              <w:t xml:space="preserve">{es, en}</w:t>
            </w:r>
          </w:p>
        </w:tc>
        <w:tc>
          <w:tcPr>
            <w:tcW w:w="3624" w:type="dxa"/>
          </w:tcPr>
          <w:p>
            <w:pPr/>
            <w:r>
              <w:t xml:space="preserve">Descripción y qué busca</w:t>
            </w:r>
          </w:p>
        </w:tc>
      </w:tr>
      <w:tr>
        <w:tc>
          <w:tcPr>
            <w:tcW w:w="3470" w:type="dxa"/>
          </w:tcPr>
          <w:p>
            <w:pPr/>
            <w:r>
              <w:rPr>
                <w:rStyle w:val="CodeChar"/>
              </w:rPr>
              <w:t xml:space="preserve">rating</w:t>
            </w:r>
            <w:r>
              <w:t xml:space="preserve">, </w:t>
            </w:r>
            <w:r>
              <w:rPr>
                <w:rStyle w:val="CodeChar"/>
              </w:rPr>
              <w:t xml:space="preserve">reviews[]</w:t>
            </w:r>
          </w:p>
        </w:tc>
        <w:tc>
          <w:tcPr>
            <w:tcW w:w="2266" w:type="dxa"/>
          </w:tcPr>
          <w:p>
            <w:pPr/>
            <w:r>
              <w:t xml:space="preserve">igual que Farm</w:t>
            </w:r>
          </w:p>
        </w:tc>
        <w:tc>
          <w:tcPr>
            <w:tcW w:w="3624" w:type="dxa"/>
          </w:tcPr>
          <w:p>
            <w:pPr/>
            <w:r>
              <w:t xml:space="preserve">Reputación</w:t>
            </w:r>
          </w:p>
        </w:tc>
      </w:tr>
    </w:tbl>
    <w:p>
      <w:pPr>
        <w:pStyle w:val="Heading3"/>
      </w:pPr>
      <w:r>
        <w:t xml:space="preserve">Lot (lote)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3"/>
        <w:gridCol w:w="2975"/>
        <w:gridCol w:w="3552"/>
      </w:tblGrid>
      <w:tr>
        <w:trPr>
          <w:tblHeader/>
        </w:trPr>
        <w:tc>
          <w:tcPr>
            <w:tcW w:w="2833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97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52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farmId</w:t>
            </w:r>
          </w:p>
        </w:tc>
        <w:tc>
          <w:tcPr>
            <w:tcW w:w="2975" w:type="dxa"/>
          </w:tcPr>
          <w:p>
            <w:pPr/>
            <w:r>
              <w:t xml:space="preserve">string</w:t>
            </w:r>
          </w:p>
        </w:tc>
        <w:tc>
          <w:tcPr>
            <w:tcW w:w="3552" w:type="dxa"/>
          </w:tcPr>
          <w:p>
            <w:pPr/>
            <w:r>
              <w:t xml:space="preserve">Identificador y finca dueña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variety</w:t>
            </w:r>
            <w:r>
              <w:t xml:space="preserve">, </w:t>
            </w:r>
            <w:r>
              <w:rPr>
                <w:rStyle w:val="CodeChar"/>
              </w:rPr>
              <w:t xml:space="preserve">process</w:t>
            </w:r>
          </w:p>
        </w:tc>
        <w:tc>
          <w:tcPr>
            <w:tcW w:w="2975" w:type="dxa"/>
          </w:tcPr>
          <w:p>
            <w:pPr/>
            <w:r>
              <w:t xml:space="preserve">string</w:t>
            </w:r>
          </w:p>
        </w:tc>
        <w:tc>
          <w:tcPr>
            <w:tcW w:w="3552" w:type="dxa"/>
          </w:tcPr>
          <w:p>
            <w:pPr/>
            <w:r>
              <w:rPr>
                <w:rStyle w:val="CodeChar"/>
              </w:rPr>
              <w:t xml:space="preserve">process</w:t>
            </w:r>
            <w:r>
              <w:t xml:space="preserve"> ∈ </w:t>
            </w:r>
            <w:r>
              <w:rPr>
                <w:rStyle w:val="CodeChar"/>
              </w:rPr>
              <w:t xml:space="preserve">lavado</w:t>
            </w:r>
            <w:r>
              <w:t xml:space="preserve">, </w:t>
            </w:r>
            <w:r>
              <w:rPr>
                <w:rStyle w:val="CodeChar"/>
              </w:rPr>
              <w:t xml:space="preserve">honey</w:t>
            </w:r>
            <w:r>
              <w:t xml:space="preserve">, </w:t>
            </w:r>
            <w:r>
              <w:rPr>
                <w:rStyle w:val="CodeChar"/>
              </w:rPr>
              <w:t xml:space="preserve">natural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sacks</w:t>
            </w:r>
          </w:p>
        </w:tc>
        <w:tc>
          <w:tcPr>
            <w:tcW w:w="2975" w:type="dxa"/>
          </w:tcPr>
          <w:p>
            <w:pPr/>
            <w:r>
              <w:t xml:space="preserve">number</w:t>
            </w:r>
          </w:p>
        </w:tc>
        <w:tc>
          <w:tcPr>
            <w:tcW w:w="3552" w:type="dxa"/>
          </w:tcPr>
          <w:p>
            <w:pPr/>
            <w:r>
              <w:t xml:space="preserve">Sacos de 70 kg disponibles; baja al cerrar un acuerdo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sca</w:t>
            </w:r>
          </w:p>
        </w:tc>
        <w:tc>
          <w:tcPr>
            <w:tcW w:w="2975" w:type="dxa"/>
          </w:tcPr>
          <w:p>
            <w:pPr/>
            <w:r>
              <w:t xml:space="preserve">number</w:t>
            </w:r>
          </w:p>
        </w:tc>
        <w:tc>
          <w:tcPr>
            <w:tcW w:w="3552" w:type="dxa"/>
          </w:tcPr>
          <w:p>
            <w:pPr/>
            <w:r>
              <w:t xml:space="preserve">80 a 95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priceLb</w:t>
            </w:r>
          </w:p>
        </w:tc>
        <w:tc>
          <w:tcPr>
            <w:tcW w:w="2975" w:type="dxa"/>
          </w:tcPr>
          <w:p>
            <w:pPr/>
            <w:r>
              <w:t xml:space="preserve">number</w:t>
            </w:r>
          </w:p>
        </w:tc>
        <w:tc>
          <w:tcPr>
            <w:tcW w:w="3552" w:type="dxa"/>
          </w:tcPr>
          <w:p>
            <w:pPr/>
            <w:r>
              <w:t xml:space="preserve">Precio de referencia en USD por libra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priceUnit</w:t>
            </w:r>
            <w:r>
              <w:t xml:space="preserve">, </w:t>
            </w:r>
            <w:r>
              <w:rPr>
                <w:rStyle w:val="CodeChar"/>
              </w:rPr>
              <w:t xml:space="preserve">priceCarga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'lb'</w:t>
            </w:r>
            <w:r>
              <w:t xml:space="preserve"> | </w:t>
            </w:r>
            <w:r>
              <w:rPr>
                <w:rStyle w:val="CodeChar"/>
              </w:rPr>
              <w:t xml:space="preserve">'carga'</w:t>
            </w:r>
            <w:r>
              <w:t xml:space="preserve">, number</w:t>
            </w:r>
          </w:p>
        </w:tc>
        <w:tc>
          <w:tcPr>
            <w:tcW w:w="3552" w:type="dxa"/>
          </w:tcPr>
          <w:p>
            <w:pPr/>
            <w:r>
              <w:t xml:space="preserve">Solo en lotes publicados en la demo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notes[]</w:t>
            </w:r>
            <w:r>
              <w:t xml:space="preserve">, </w:t>
            </w:r>
            <w:r>
              <w:rPr>
                <w:rStyle w:val="CodeChar"/>
              </w:rPr>
              <w:t xml:space="preserve">harvest</w:t>
            </w:r>
            <w:r>
              <w:t xml:space="preserve">, </w:t>
            </w:r>
            <w:r>
              <w:rPr>
                <w:rStyle w:val="CodeChar"/>
              </w:rPr>
              <w:t xml:space="preserve">photo</w:t>
            </w:r>
          </w:p>
        </w:tc>
        <w:tc>
          <w:tcPr>
            <w:tcW w:w="2975" w:type="dxa"/>
          </w:tcPr>
          <w:p>
            <w:pPr/>
            <w:r>
              <w:t xml:space="preserve">string[] / </w:t>
            </w:r>
            <w:r>
              <w:rPr>
                <w:rStyle w:val="CodeChar"/>
              </w:rPr>
              <w:t xml:space="preserve">{es, en}</w:t>
            </w:r>
            <w:r>
              <w:t xml:space="preserve"> / URL</w:t>
            </w:r>
          </w:p>
        </w:tc>
        <w:tc>
          <w:tcPr>
            <w:tcW w:w="3552" w:type="dxa"/>
          </w:tcPr>
          <w:p>
            <w:pPr/>
            <w:r>
              <w:t xml:space="preserve">Notas de taza, cosecha y foto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createdAt</w:t>
            </w:r>
            <w:r>
              <w:t xml:space="preserve">, </w:t>
            </w:r>
            <w:r>
              <w:rPr>
                <w:rStyle w:val="CodeChar"/>
              </w:rPr>
              <w:t xml:space="preserve">isNew</w:t>
            </w:r>
          </w:p>
        </w:tc>
        <w:tc>
          <w:tcPr>
            <w:tcW w:w="2975" w:type="dxa"/>
          </w:tcPr>
          <w:p>
            <w:pPr/>
            <w:r>
              <w:t xml:space="preserve">number / boolean</w:t>
            </w:r>
          </w:p>
        </w:tc>
        <w:tc>
          <w:tcPr>
            <w:tcW w:w="3552" w:type="dxa"/>
          </w:tcPr>
          <w:p>
            <w:pPr/>
            <w:r>
              <w:t xml:space="preserve">Fecha y marca “NUEVO”</w:t>
            </w:r>
          </w:p>
        </w:tc>
      </w:tr>
    </w:tbl>
    <w:p>
      <w:pPr>
        <w:pStyle w:val="Heading3"/>
      </w:pPr>
      <w:r>
        <w:t xml:space="preserve">Conversation (conversación)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5"/>
        <w:gridCol w:w="2047"/>
        <w:gridCol w:w="4946"/>
      </w:tblGrid>
      <w:tr>
        <w:trPr>
          <w:tblHeader/>
        </w:trPr>
        <w:tc>
          <w:tcPr>
            <w:tcW w:w="2365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04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946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farmId</w:t>
            </w:r>
            <w:r>
              <w:t xml:space="preserve">, </w:t>
            </w:r>
            <w:r>
              <w:rPr>
                <w:rStyle w:val="CodeChar"/>
              </w:rPr>
              <w:t xml:space="preserve">buyerId</w:t>
            </w:r>
          </w:p>
        </w:tc>
        <w:tc>
          <w:tcPr>
            <w:tcW w:w="2047" w:type="dxa"/>
          </w:tcPr>
          <w:p>
            <w:pPr/>
            <w:r>
              <w:t xml:space="preserve">string</w:t>
            </w:r>
          </w:p>
        </w:tc>
        <w:tc>
          <w:tcPr>
            <w:tcW w:w="4946" w:type="dxa"/>
          </w:tcPr>
          <w:p>
            <w:pPr/>
            <w:r>
              <w:t xml:space="preserve">Participantes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lotId</w:t>
            </w:r>
          </w:p>
        </w:tc>
        <w:tc>
          <w:tcPr>
            <w:tcW w:w="2047" w:type="dxa"/>
          </w:tcPr>
          <w:p>
            <w:pPr/>
            <w:r>
              <w:t xml:space="preserve">string | null</w:t>
            </w:r>
          </w:p>
        </w:tc>
        <w:tc>
          <w:tcPr>
            <w:tcW w:w="4946" w:type="dxa"/>
          </w:tcPr>
          <w:p>
            <w:pPr/>
            <w:r>
              <w:t xml:space="preserve">Lote del que se habla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messages[]</w:t>
            </w:r>
          </w:p>
        </w:tc>
        <w:tc>
          <w:tcPr>
            <w:tcW w:w="2047" w:type="dxa"/>
          </w:tcPr>
          <w:p>
            <w:pPr/>
            <w:r>
              <w:t xml:space="preserve">Message[]</w:t>
            </w:r>
          </w:p>
        </w:tc>
        <w:tc>
          <w:tcPr>
            <w:tcW w:w="4946" w:type="dxa"/>
          </w:tcPr>
          <w:p>
            <w:pPr/>
            <w:r>
              <w:t xml:space="preserve">Historial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unread</w:t>
            </w:r>
          </w:p>
        </w:tc>
        <w:tc>
          <w:tcPr>
            <w:tcW w:w="2047" w:type="dxa"/>
          </w:tcPr>
          <w:p>
            <w:pPr/>
            <w:r>
              <w:rPr>
                <w:rStyle w:val="CodeChar"/>
              </w:rPr>
              <w:t xml:space="preserve">{farmer, buyer}</w:t>
            </w:r>
          </w:p>
        </w:tc>
        <w:tc>
          <w:tcPr>
            <w:tcW w:w="4946" w:type="dxa"/>
          </w:tcPr>
          <w:p>
            <w:pPr/>
            <w:r>
              <w:t xml:space="preserve">No leídos por rol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typing</w:t>
            </w:r>
          </w:p>
        </w:tc>
        <w:tc>
          <w:tcPr>
            <w:tcW w:w="2047" w:type="dxa"/>
          </w:tcPr>
          <w:p>
            <w:pPr/>
            <w:r>
              <w:t xml:space="preserve">rol | null</w:t>
            </w:r>
          </w:p>
        </w:tc>
        <w:tc>
          <w:tcPr>
            <w:tcW w:w="4946" w:type="dxa"/>
          </w:tcPr>
          <w:p>
            <w:pPr/>
            <w:r>
              <w:t xml:space="preserve">Quién está “escribiendo…”</w:t>
            </w:r>
          </w:p>
        </w:tc>
      </w:tr>
      <w:tr>
        <w:tc>
          <w:tcPr>
            <w:tcW w:w="2365" w:type="dxa"/>
          </w:tcPr>
          <w:p>
            <w:pPr/>
            <w:r>
              <w:rPr>
                <w:rStyle w:val="CodeChar"/>
              </w:rPr>
              <w:t xml:space="preserve">autoIdx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</w:p>
        </w:tc>
        <w:tc>
          <w:tcPr>
            <w:tcW w:w="2047" w:type="dxa"/>
          </w:tcPr>
          <w:p>
            <w:pPr/>
            <w:r>
              <w:t xml:space="preserve">number</w:t>
            </w:r>
          </w:p>
        </w:tc>
        <w:tc>
          <w:tcPr>
            <w:tcW w:w="4946" w:type="dxa"/>
          </w:tcPr>
          <w:p>
            <w:pPr/>
            <w:r>
              <w:t xml:space="preserve">Índice de respuestas automáticas y fecha del último mensaje</w:t>
            </w:r>
          </w:p>
        </w:tc>
      </w:tr>
    </w:tbl>
    <w:p>
      <w:pPr>
        <w:pStyle w:val="Heading3"/>
      </w:pPr>
      <w:r>
        <w:t xml:space="preserve">Message (mensaje)</w:t>
      </w:r>
    </w:p>
    <w:p>
      <w:pPr/>
      <w:r>
        <w:t xml:space="preserve">Campos comunes: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type</w:t>
      </w:r>
      <w:r>
        <w:t xml:space="preserve">, </w:t>
      </w:r>
      <w:r>
        <w:rPr>
          <w:rStyle w:val="CodeChar"/>
        </w:rPr>
        <w:t xml:space="preserve">from</w:t>
      </w:r>
      <w:r>
        <w:t xml:space="preserve"> (</w:t>
      </w:r>
      <w:r>
        <w:rPr>
          <w:rStyle w:val="CodeChar"/>
        </w:rPr>
        <w:t xml:space="preserve">farmer</w:t>
      </w:r>
      <w:r>
        <w:t xml:space="preserve"> | </w:t>
      </w:r>
      <w:r>
        <w:rPr>
          <w:rStyle w:val="CodeChar"/>
        </w:rPr>
        <w:t xml:space="preserve">buyer</w:t>
      </w:r>
      <w:r>
        <w:t xml:space="preserve">), </w:t>
      </w:r>
      <w:r>
        <w:rPr>
          <w:rStyle w:val="CodeChar"/>
        </w:rPr>
        <w:t xml:space="preserve">at</w:t>
      </w:r>
      <w:r>
        <w:t xml:space="preserve"> y </w:t>
      </w:r>
      <w:r>
        <w:rPr>
          <w:rStyle w:val="CodeChar"/>
        </w:rPr>
        <w:t xml:space="preserve">status</w:t>
      </w:r>
      <w:r>
        <w:t xml:space="preserve"> (</w:t>
      </w:r>
      <w:r>
        <w:rPr>
          <w:rStyle w:val="CodeChar"/>
        </w:rPr>
        <w:t xml:space="preserve">sent</w:t>
      </w:r>
      <w:r>
        <w:t xml:space="preserve"> | </w:t>
      </w:r>
      <w:r>
        <w:rPr>
          <w:rStyle w:val="CodeChar"/>
        </w:rPr>
        <w:t xml:space="preserve">pending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5"/>
        <w:gridCol w:w="7384"/>
      </w:tblGrid>
      <w:tr>
        <w:trPr>
          <w:tblHeader/>
        </w:trPr>
        <w:tc>
          <w:tcPr>
            <w:tcW w:w="1975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7384" w:type="dxa"/>
            <w:shd w:val="clear" w:color="auto" w:fill="F2F2F2"/>
          </w:tcPr>
          <w:p>
            <w:pPr/>
            <w:r>
              <w:t xml:space="preserve">Campos propios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  <w:r>
              <w:t xml:space="preserve">, </w:t>
            </w:r>
            <w:r>
              <w:rPr>
                <w:rStyle w:val="CodeChar"/>
              </w:rPr>
              <w:t xml:space="preserve">translation</w:t>
            </w:r>
            <w:r>
              <w:t xml:space="preserve">, </w:t>
            </w:r>
            <w:r>
              <w:rPr>
                <w:rStyle w:val="CodeChar"/>
              </w:rPr>
              <w:t xml:space="preserve">exact</w:t>
            </w:r>
            <w:r>
              <w:t xml:space="preserve"> (traducción exacta o aproximada), </w:t>
            </w:r>
            <w:r>
              <w:rPr>
                <w:rStyle w:val="CodeChar"/>
              </w:rPr>
              <w:t xml:space="preserve">lotRef?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voice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duration</w:t>
            </w:r>
            <w:r>
              <w:t xml:space="preserve"> (s), </w:t>
            </w:r>
            <w:r>
              <w:rPr>
                <w:rStyle w:val="CodeChar"/>
              </w:rPr>
              <w:t xml:space="preserve">text</w:t>
            </w:r>
            <w:r>
              <w:t xml:space="preserve"> (transcripción), </w:t>
            </w:r>
            <w:r>
              <w:rPr>
                <w:rStyle w:val="CodeChar"/>
              </w:rPr>
              <w:t xml:space="preserve">translation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photo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src</w:t>
            </w:r>
            <w:r>
              <w:t xml:space="preserve">, </w:t>
            </w:r>
            <w:r>
              <w:rPr>
                <w:rStyle w:val="CodeChar"/>
              </w:rPr>
              <w:t xml:space="preserve">caption {es, en}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quote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quote</w:t>
            </w:r>
            <w:r>
              <w:t xml:space="preserve"> (objeto Quote)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agreement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agreementId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system</w:t>
            </w:r>
          </w:p>
        </w:tc>
        <w:tc>
          <w:tcPr>
            <w:tcW w:w="7384" w:type="dxa"/>
          </w:tcPr>
          <w:p>
            <w:pPr/>
            <w:r>
              <w:rPr>
                <w:rStyle w:val="CodeChar"/>
              </w:rPr>
              <w:t xml:space="preserve">text {es, en}</w:t>
            </w:r>
            <w:r>
              <w:t xml:space="preserve">, sin </w:t>
            </w:r>
            <w:r>
              <w:rPr>
                <w:rStyle w:val="CodeChar"/>
              </w:rPr>
              <w:t xml:space="preserve">from</w:t>
            </w:r>
          </w:p>
        </w:tc>
      </w:tr>
    </w:tbl>
    <w:p>
      <w:pPr>
        <w:pStyle w:val="Heading3"/>
      </w:pPr>
      <w:r>
        <w:t xml:space="preserve">Quote (cotización, dentro de un mensaje)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9"/>
        <w:gridCol w:w="2780"/>
        <w:gridCol w:w="3681"/>
      </w:tblGrid>
      <w:tr>
        <w:trPr>
          <w:tblHeader/>
        </w:trPr>
        <w:tc>
          <w:tcPr>
            <w:tcW w:w="2899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78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681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899" w:type="dxa"/>
          </w:tcPr>
          <w:p>
            <w:pPr/>
            <w:r>
              <w:rPr>
                <w:rStyle w:val="CodeChar"/>
              </w:rPr>
              <w:t xml:space="preserve">lotId</w:t>
            </w:r>
            <w:r>
              <w:t xml:space="preserve">, </w:t>
            </w:r>
            <w:r>
              <w:rPr>
                <w:rStyle w:val="CodeChar"/>
              </w:rPr>
              <w:t xml:space="preserve">priceLb</w:t>
            </w:r>
            <w:r>
              <w:t xml:space="preserve">, </w:t>
            </w:r>
            <w:r>
              <w:rPr>
                <w:rStyle w:val="CodeChar"/>
              </w:rPr>
              <w:t xml:space="preserve">sacks</w:t>
            </w:r>
            <w:r>
              <w:t xml:space="preserve">, </w:t>
            </w:r>
            <w:r>
              <w:rPr>
                <w:rStyle w:val="CodeChar"/>
              </w:rPr>
              <w:t xml:space="preserve">incoterm</w:t>
            </w:r>
          </w:p>
        </w:tc>
        <w:tc>
          <w:tcPr>
            <w:tcW w:w="2780" w:type="dxa"/>
          </w:tcPr>
          <w:p>
            <w:pPr/>
          </w:p>
        </w:tc>
        <w:tc>
          <w:tcPr>
            <w:tcW w:w="3681" w:type="dxa"/>
          </w:tcPr>
          <w:p>
            <w:pPr/>
            <w:r>
              <w:t xml:space="preserve">Términos ofrecidos</w:t>
            </w:r>
          </w:p>
        </w:tc>
      </w:tr>
      <w:tr>
        <w:tc>
          <w:tcPr>
            <w:tcW w:w="2899" w:type="dxa"/>
          </w:tcPr>
          <w:p>
            <w:pPr/>
            <w:r>
              <w:rPr>
                <w:rStyle w:val="CodeChar"/>
              </w:rPr>
              <w:t xml:space="preserve">history[]</w:t>
            </w:r>
          </w:p>
        </w:tc>
        <w:tc>
          <w:tcPr>
            <w:tcW w:w="2780" w:type="dxa"/>
          </w:tcPr>
          <w:p>
            <w:pPr/>
            <w:r>
              <w:rPr>
                <w:rStyle w:val="CodeChar"/>
              </w:rPr>
              <w:t xml:space="preserve">{by, priceLb, sacks, at}</w:t>
            </w:r>
          </w:p>
        </w:tc>
        <w:tc>
          <w:tcPr>
            <w:tcW w:w="3681" w:type="dxa"/>
          </w:tcPr>
          <w:p>
            <w:pPr/>
            <w:r>
              <w:t xml:space="preserve">Todas las ofertas y contraofertas</w:t>
            </w:r>
          </w:p>
        </w:tc>
      </w:tr>
      <w:tr>
        <w:tc>
          <w:tcPr>
            <w:tcW w:w="2899" w:type="dxa"/>
          </w:tcPr>
          <w:p>
            <w:pPr/>
            <w:r>
              <w:rPr>
                <w:rStyle w:val="CodeChar"/>
              </w:rPr>
              <w:t xml:space="preserve">lastBy</w:t>
            </w:r>
          </w:p>
        </w:tc>
        <w:tc>
          <w:tcPr>
            <w:tcW w:w="2780" w:type="dxa"/>
          </w:tcPr>
          <w:p>
            <w:pPr/>
            <w:r>
              <w:t xml:space="preserve">rol</w:t>
            </w:r>
          </w:p>
        </w:tc>
        <w:tc>
          <w:tcPr>
            <w:tcW w:w="3681" w:type="dxa"/>
          </w:tcPr>
          <w:p>
            <w:pPr/>
            <w:r>
              <w:t xml:space="preserve">Quién hizo la última oferta</w:t>
            </w:r>
          </w:p>
        </w:tc>
      </w:tr>
      <w:tr>
        <w:tc>
          <w:tcPr>
            <w:tcW w:w="2899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780" w:type="dxa"/>
          </w:tcPr>
          <w:p>
            <w:pPr/>
            <w:r>
              <w:rPr>
                <w:rStyle w:val="CodeChar"/>
              </w:rPr>
              <w:t xml:space="preserve">open</w:t>
            </w:r>
            <w:r>
              <w:t xml:space="preserve"> | </w:t>
            </w:r>
            <w:r>
              <w:rPr>
                <w:rStyle w:val="CodeChar"/>
              </w:rPr>
              <w:t xml:space="preserve">accepted</w:t>
            </w:r>
            <w:r>
              <w:t xml:space="preserve"> | </w:t>
            </w:r>
            <w:r>
              <w:rPr>
                <w:rStyle w:val="CodeChar"/>
              </w:rPr>
              <w:t xml:space="preserve">agreed</w:t>
            </w:r>
            <w:r>
              <w:t xml:space="preserve"> | </w:t>
            </w:r>
            <w:r>
              <w:rPr>
                <w:rStyle w:val="CodeChar"/>
              </w:rPr>
              <w:t xml:space="preserve">superseded</w:t>
            </w:r>
          </w:p>
        </w:tc>
        <w:tc>
          <w:tcPr>
            <w:tcW w:w="3681" w:type="dxa"/>
          </w:tcPr>
          <w:p>
            <w:pPr/>
            <w:r>
              <w:t xml:space="preserve">Ver sección 10</w:t>
            </w:r>
          </w:p>
        </w:tc>
      </w:tr>
      <w:tr>
        <w:tc>
          <w:tcPr>
            <w:tcW w:w="2899" w:type="dxa"/>
          </w:tcPr>
          <w:p>
            <w:pPr/>
            <w:r>
              <w:rPr>
                <w:rStyle w:val="CodeChar"/>
              </w:rPr>
              <w:t xml:space="preserve">acceptedBy</w:t>
            </w:r>
            <w:r>
              <w:t xml:space="preserve">, </w:t>
            </w:r>
            <w:r>
              <w:rPr>
                <w:rStyle w:val="CodeChar"/>
              </w:rPr>
              <w:t xml:space="preserve">agreementId</w:t>
            </w:r>
          </w:p>
        </w:tc>
        <w:tc>
          <w:tcPr>
            <w:tcW w:w="2780" w:type="dxa"/>
          </w:tcPr>
          <w:p>
            <w:pPr/>
            <w:r>
              <w:t xml:space="preserve">rol / string</w:t>
            </w:r>
          </w:p>
        </w:tc>
        <w:tc>
          <w:tcPr>
            <w:tcW w:w="3681" w:type="dxa"/>
          </w:tcPr>
          <w:p>
            <w:pPr/>
            <w:r>
              <w:t xml:space="preserve">Quién aceptó y acuerdo generado</w:t>
            </w:r>
          </w:p>
        </w:tc>
      </w:tr>
    </w:tbl>
    <w:p>
      <w:pPr>
        <w:pStyle w:val="Heading3"/>
      </w:pPr>
      <w:r>
        <w:t xml:space="preserve">Agreement (acuerdo)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9"/>
        <w:gridCol w:w="2756"/>
        <w:gridCol w:w="4265"/>
      </w:tblGrid>
      <w:tr>
        <w:trPr>
          <w:tblHeader/>
        </w:trPr>
        <w:tc>
          <w:tcPr>
            <w:tcW w:w="2339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756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265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code</w:t>
            </w:r>
          </w:p>
        </w:tc>
        <w:tc>
          <w:tcPr>
            <w:tcW w:w="2756" w:type="dxa"/>
          </w:tcPr>
          <w:p>
            <w:pPr/>
            <w:r>
              <w:t xml:space="preserve">string</w:t>
            </w:r>
          </w:p>
        </w:tc>
        <w:tc>
          <w:tcPr>
            <w:tcW w:w="4265" w:type="dxa"/>
          </w:tcPr>
          <w:p>
            <w:pPr/>
            <w:r>
              <w:rPr>
                <w:rStyle w:val="CodeChar"/>
              </w:rPr>
              <w:t xml:space="preserve">code</w:t>
            </w:r>
            <w:r>
              <w:t xml:space="preserve"> con formato </w:t>
            </w:r>
            <w:r>
              <w:rPr>
                <w:rStyle w:val="CodeChar"/>
              </w:rPr>
              <w:t xml:space="preserve">CD-2026-0104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convId</w:t>
            </w:r>
            <w:r>
              <w:t xml:space="preserve">, </w:t>
            </w:r>
            <w:r>
              <w:rPr>
                <w:rStyle w:val="CodeChar"/>
              </w:rPr>
              <w:t xml:space="preserve">farmId</w:t>
            </w:r>
            <w:r>
              <w:t xml:space="preserve">, </w:t>
            </w:r>
            <w:r>
              <w:rPr>
                <w:rStyle w:val="CodeChar"/>
              </w:rPr>
              <w:t xml:space="preserve">buyerId</w:t>
            </w:r>
            <w:r>
              <w:t xml:space="preserve">, </w:t>
            </w:r>
            <w:r>
              <w:rPr>
                <w:rStyle w:val="CodeChar"/>
              </w:rPr>
              <w:t xml:space="preserve">lotId</w:t>
            </w:r>
          </w:p>
        </w:tc>
        <w:tc>
          <w:tcPr>
            <w:tcW w:w="2756" w:type="dxa"/>
          </w:tcPr>
          <w:p>
            <w:pPr/>
            <w:r>
              <w:t xml:space="preserve">string</w:t>
            </w:r>
          </w:p>
        </w:tc>
        <w:tc>
          <w:tcPr>
            <w:tcW w:w="4265" w:type="dxa"/>
          </w:tcPr>
          <w:p>
            <w:pPr/>
            <w:r>
              <w:t xml:space="preserve">Referencias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lotName</w:t>
            </w:r>
            <w:r>
              <w:t xml:space="preserve">, </w:t>
            </w:r>
            <w:r>
              <w:rPr>
                <w:rStyle w:val="CodeChar"/>
              </w:rPr>
              <w:t xml:space="preserve">variety</w:t>
            </w:r>
            <w:r>
              <w:t xml:space="preserve">, </w:t>
            </w:r>
            <w:r>
              <w:rPr>
                <w:rStyle w:val="CodeChar"/>
              </w:rPr>
              <w:t xml:space="preserve">process</w:t>
            </w:r>
            <w:r>
              <w:t xml:space="preserve">, </w:t>
            </w:r>
            <w:r>
              <w:rPr>
                <w:rStyle w:val="CodeChar"/>
              </w:rPr>
              <w:t xml:space="preserve">sca</w:t>
            </w:r>
          </w:p>
        </w:tc>
        <w:tc>
          <w:tcPr>
            <w:tcW w:w="2756" w:type="dxa"/>
          </w:tcPr>
          <w:p>
            <w:pPr/>
          </w:p>
        </w:tc>
        <w:tc>
          <w:tcPr>
            <w:tcW w:w="4265" w:type="dxa"/>
          </w:tcPr>
          <w:p>
            <w:pPr/>
            <w:r>
              <w:t xml:space="preserve">Copia del lote al momento del acuerdo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priceLb</w:t>
            </w:r>
            <w:r>
              <w:t xml:space="preserve">, </w:t>
            </w:r>
            <w:r>
              <w:rPr>
                <w:rStyle w:val="CodeChar"/>
              </w:rPr>
              <w:t xml:space="preserve">sacks</w:t>
            </w:r>
            <w:r>
              <w:t xml:space="preserve">, </w:t>
            </w:r>
            <w:r>
              <w:rPr>
                <w:rStyle w:val="CodeChar"/>
              </w:rPr>
              <w:t xml:space="preserve">incoterm</w:t>
            </w:r>
          </w:p>
        </w:tc>
        <w:tc>
          <w:tcPr>
            <w:tcW w:w="2756" w:type="dxa"/>
          </w:tcPr>
          <w:p>
            <w:pPr/>
          </w:p>
        </w:tc>
        <w:tc>
          <w:tcPr>
            <w:tcW w:w="4265" w:type="dxa"/>
          </w:tcPr>
          <w:p>
            <w:pPr/>
            <w:r>
              <w:t xml:space="preserve">Términos confirmados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756" w:type="dxa"/>
          </w:tcPr>
          <w:p>
            <w:pPr/>
            <w:r>
              <w:t xml:space="preserve">0–3</w:t>
            </w:r>
          </w:p>
        </w:tc>
        <w:tc>
          <w:tcPr>
            <w:tcW w:w="4265" w:type="dxa"/>
          </w:tcPr>
          <w:p>
            <w:pPr/>
            <w:r>
              <w:t xml:space="preserve">Cotizado, Confirmado, Enviado, Entregado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history[]</w:t>
            </w:r>
          </w:p>
        </w:tc>
        <w:tc>
          <w:tcPr>
            <w:tcW w:w="2756" w:type="dxa"/>
          </w:tcPr>
          <w:p>
            <w:pPr/>
            <w:r>
              <w:t xml:space="preserve">number[]</w:t>
            </w:r>
          </w:p>
        </w:tc>
        <w:tc>
          <w:tcPr>
            <w:tcW w:w="4265" w:type="dxa"/>
          </w:tcPr>
          <w:p>
            <w:pPr/>
            <w:r>
              <w:t xml:space="preserve">Fecha de cada estado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ratings</w:t>
            </w:r>
          </w:p>
        </w:tc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{byFarmer?, byBuyer?}</w:t>
            </w:r>
          </w:p>
        </w:tc>
        <w:tc>
          <w:tcPr>
            <w:tcW w:w="4265" w:type="dxa"/>
          </w:tcPr>
          <w:p>
            <w:pPr/>
            <w:r>
              <w:rPr>
                <w:rStyle w:val="CodeChar"/>
              </w:rPr>
              <w:t xml:space="preserve">{stars, tags[], comment {es, en}, at}</w:t>
            </w:r>
          </w:p>
        </w:tc>
      </w:tr>
      <w:tr>
        <w:tc>
          <w:tcPr>
            <w:tcW w:w="2339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2756" w:type="dxa"/>
          </w:tcPr>
          <w:p>
            <w:pPr/>
            <w:r>
              <w:t xml:space="preserve">boolean</w:t>
            </w:r>
          </w:p>
        </w:tc>
        <w:tc>
          <w:tcPr>
            <w:tcW w:w="4265" w:type="dxa"/>
          </w:tcPr>
          <w:p>
            <w:pPr/>
            <w:r>
              <w:t xml:space="preserve">Creado sin conexión y aún no sincronizado</w:t>
            </w:r>
          </w:p>
        </w:tc>
      </w:tr>
    </w:tbl>
    <w:p>
      <w:pPr/>
      <w:r>
        <w:rPr>
          <w:b/>
        </w:rPr>
        <w:t xml:space="preserve">Reputación.</w:t>
      </w:r>
      <w:r>
        <w:t xml:space="preserve"> </w:t>
      </w:r>
      <w:r>
        <w:rPr>
          <w:rStyle w:val="CodeChar"/>
        </w:rPr>
        <w:t xml:space="preserve">farmRating()</w:t>
      </w:r>
      <w:r>
        <w:t xml:space="preserve"> y </w:t>
      </w:r>
      <w:r>
        <w:rPr>
          <w:rStyle w:val="CodeChar"/>
        </w:rPr>
        <w:t xml:space="preserve">buyerRating()</w:t>
      </w:r>
      <w:r>
        <w:t xml:space="preserve"> combinan el promedio base (</w:t>
      </w:r>
      <w:r>
        <w:rPr>
          <w:rStyle w:val="CodeChar"/>
        </w:rPr>
        <w:t xml:space="preserve">rating.avg × rating.count</w:t>
      </w:r>
      <w:r>
        <w:t xml:space="preserve">) con las estrellas recibidas en acuerdos de la app y devuelven </w:t>
      </w:r>
      <w:r>
        <w:rPr>
          <w:rStyle w:val="CodeChar"/>
        </w:rPr>
        <w:t xml:space="preserve">{avg, count}</w:t>
      </w:r>
      <w:r>
        <w:t xml:space="preserve">.</w:t>
      </w:r>
    </w:p>
    <w:p>
      <w:pPr/>
      <w:r>
        <w:rPr>
          <w:b/>
        </w:rPr>
        <w:t xml:space="preserve">Conversiones</w:t>
      </w:r>
      <w:r>
        <w:t xml:space="preserve"> (</w:t>
      </w:r>
      <w:r>
        <w:rPr>
          <w:rStyle w:val="CodeChar"/>
        </w:rPr>
        <w:t xml:space="preserve">utils.js</w:t>
      </w:r>
      <w:r>
        <w:t xml:space="preserve">): 1 saco = 70 kg; 1 kg = 2,20462 lb; 1 carga (125 kg pergamino) ≈ 94,3 kg de verde ≈ 207,9 lb; tasa fija de demo 3.900 COP/USD.</w:t>
      </w:r>
    </w:p>
    <w:p>
      <w:pPr>
        <w:pStyle w:val="Code"/>
      </w:pPr>
      <w:bookmarkStart w:id="1" w:name="bongo_lang_latex_1"/>
      <w:bookmarkEnd w:id="1"/>
      <w:r>
        <w:t xml:space="preserve">\text{Total USD} = \text{precio}_{USD/lb} \times \text{sacos} \times 70 \times 2.20462</w:t>
      </w:r>
    </w:p>
    <w:p>
      <w:pPr>
        <w:pStyle w:val="Heading2"/>
      </w:pPr>
      <w:r>
        <w:t xml:space="preserve">8. Rutas y pantallas</w:t>
      </w:r>
    </w:p>
    <w:p>
      <w:pPr/>
      <w:r>
        <w:t xml:space="preserve">La app tiene 15 rutas con </w:t>
      </w:r>
      <w:r>
        <w:rPr>
          <w:rStyle w:val="CodeChar"/>
        </w:rPr>
        <w:t xml:space="preserve">HashRouter</w:t>
      </w:r>
      <w:r>
        <w:t xml:space="preserve"> (las URL quedan como </w:t>
      </w:r>
      <w:r>
        <w:rPr>
          <w:rStyle w:val="CodeChar"/>
        </w:rPr>
        <w:t xml:space="preserve">/#/chat/c1</w:t>
      </w:r>
      <w:r>
        <w:t xml:space="preserve">). Mientras </w:t>
      </w:r>
      <w:r>
        <w:rPr>
          <w:rStyle w:val="CodeChar"/>
        </w:rPr>
        <w:t xml:space="preserve">state.onboarded</w:t>
      </w:r>
      <w:r>
        <w:t xml:space="preserve"> sea falso, cualquier ruta redirige a </w:t>
      </w:r>
      <w:r>
        <w:rPr>
          <w:rStyle w:val="CodeChar"/>
        </w:rPr>
        <w:t xml:space="preserve">/welcome</w:t>
      </w:r>
      <w:r>
        <w:t xml:space="preserve">. Las rutas desconocidas van a </w:t>
      </w:r>
      <w:r>
        <w:rPr>
          <w:rStyle w:val="CodeChar"/>
        </w:rPr>
        <w:t xml:space="preserve">/home</w:t>
      </w:r>
      <w:r>
        <w:t xml:space="preserve">. Cada cambio de ruta reinicia la animación </w:t>
      </w:r>
      <w:r>
        <w:rPr>
          <w:rStyle w:val="CodeChar"/>
        </w:rPr>
        <w:t xml:space="preserve">screenIn</w:t>
      </w:r>
      <w:r>
        <w:t xml:space="preserve"> (deslizamiento y aparición de 0,32 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835"/>
        <w:gridCol w:w="1516"/>
        <w:gridCol w:w="1621"/>
        <w:gridCol w:w="2832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1835" w:type="dxa"/>
            <w:shd w:val="clear" w:color="auto" w:fill="F2F2F2"/>
          </w:tcPr>
          <w:p>
            <w:pPr/>
            <w:r>
              <w:t xml:space="preserve">Pantalla (</w:t>
            </w:r>
            <w:r>
              <w:rPr>
                <w:rStyle w:val="CodeChar"/>
              </w:rPr>
              <w:t xml:space="preserve">src/screens/</w:t>
            </w:r>
            <w:r>
              <w:t xml:space="preserve">)</w:t>
            </w:r>
          </w:p>
        </w:tc>
        <w:tc>
          <w:tcPr>
            <w:tcW w:w="1516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Barra inferior</w:t>
            </w:r>
          </w:p>
        </w:tc>
        <w:tc>
          <w:tcPr>
            <w:tcW w:w="2832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/welcome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Onboarding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No</w:t>
            </w:r>
          </w:p>
        </w:tc>
        <w:tc>
          <w:tcPr>
            <w:tcW w:w="2832" w:type="dxa"/>
          </w:tcPr>
          <w:p>
            <w:pPr/>
            <w:r>
              <w:t xml:space="preserve">Bienvenida, elección de rol, diapositivas, registro y verificación simulados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/home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FarmerHome</w:t>
            </w:r>
            <w:r>
              <w:t xml:space="preserve"> o </w:t>
            </w:r>
            <w:r>
              <w:rPr>
                <w:rStyle w:val="CodeChar"/>
              </w:rPr>
              <w:t xml:space="preserve">Explore</w:t>
            </w:r>
          </w:p>
        </w:tc>
        <w:tc>
          <w:tcPr>
            <w:tcW w:w="1516" w:type="dxa"/>
          </w:tcPr>
          <w:p>
            <w:pPr/>
            <w:r>
              <w:t xml:space="preserve">Según el rol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Inicio del caficultor o catálogo del comprador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/lot/:id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LotDetail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Detalle del lote, finca, ficha técnica, notas, certificaciones; botones “Request sample” y “Message”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/farm/:id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FarmProfile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Perfil de finca con botón ES/EN, galería, datos, reputación y lotes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/buyer/:id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BuyerProfile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Perfil de comprador con insignia “Verificado”, volumen y reseñas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/me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MyProfile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Perfil propio, enlaces a comisiones y a publicar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/publish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PublishLot</w:t>
            </w:r>
          </w:p>
        </w:tc>
        <w:tc>
          <w:tcPr>
            <w:tcW w:w="1516" w:type="dxa"/>
          </w:tcPr>
          <w:p>
            <w:pPr/>
            <w:r>
              <w:t xml:space="preserve">Caficultor</w:t>
            </w:r>
          </w:p>
        </w:tc>
        <w:tc>
          <w:tcPr>
            <w:tcW w:w="1621" w:type="dxa"/>
          </w:tcPr>
          <w:p>
            <w:pPr/>
            <w:r>
              <w:t xml:space="preserve">No</w:t>
            </w:r>
          </w:p>
        </w:tc>
        <w:tc>
          <w:tcPr>
            <w:tcW w:w="2832" w:type="dxa"/>
          </w:tcPr>
          <w:p>
            <w:pPr/>
            <w:r>
              <w:t xml:space="preserve">Formulario de 5 pasos: variedad, proceso, sacos, SCA, precio por libra o por carga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/chats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ChatList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Conversaciones con vista previa traducida, no leídos y pendientes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/chat/:id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ChatRoom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No</w:t>
            </w:r>
          </w:p>
        </w:tc>
        <w:tc>
          <w:tcPr>
            <w:tcW w:w="2832" w:type="dxa"/>
          </w:tcPr>
          <w:p>
            <w:pPr/>
            <w:r>
              <w:t xml:space="preserve">Mensajería, voz, fotos, plantillas, cotización y contraoferta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/orders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Orders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Acuerdos en curso y entregados, valor total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/orders/:id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OrderDetail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Acuerdo, línea de estado con fechas, botón de demo para avanzar, calificaciones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/rate/:id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RateAgreement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No</w:t>
            </w:r>
          </w:p>
        </w:tc>
        <w:tc>
          <w:tcPr>
            <w:tcW w:w="2832" w:type="dxa"/>
          </w:tcPr>
          <w:p>
            <w:pPr/>
            <w:r>
              <w:t xml:space="preserve">Estrellas, etiquetas rápidas y comentario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/learn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Learn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Fichas de poscosecha y exportación, acceso a comisiones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/learn/:id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LearnDetail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Pasos numerados y consejo clave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/fees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Fees</w:t>
            </w:r>
          </w:p>
        </w:tc>
        <w:tc>
          <w:tcPr>
            <w:tcW w:w="1516" w:type="dxa"/>
          </w:tcPr>
          <w:p>
            <w:pPr/>
            <w:r>
              <w:t xml:space="preserve">Ambos</w:t>
            </w:r>
          </w:p>
        </w:tc>
        <w:tc>
          <w:tcPr>
            <w:tcW w:w="1621" w:type="dxa"/>
          </w:tcPr>
          <w:p>
            <w:pPr/>
            <w:r>
              <w:t xml:space="preserve">Sí</w:t>
            </w:r>
          </w:p>
        </w:tc>
        <w:tc>
          <w:tcPr>
            <w:tcW w:w="2832" w:type="dxa"/>
          </w:tcPr>
          <w:p>
            <w:pPr/>
            <w:r>
              <w:t xml:space="preserve">Tabla de comisiones, calculadora y condiciones</w:t>
            </w:r>
          </w:p>
        </w:tc>
      </w:tr>
    </w:tbl>
    <w:p>
      <w:pPr>
        <w:pStyle w:val="Heading3"/>
      </w:pPr>
      <w:r>
        <w:t xml:space="preserve">Detalles por pantalla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Onboarding:</w:t>
      </w:r>
      <w:r>
        <w:t xml:space="preserve"> cinco pasos (bienvenida → rol → 3 diapositivas → registro precargado → verificación). El caficultor ve un código SMS que se llena solo; el comprador, una verificación de empresa de 2,2 s que termina en la insignia.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FarmerHome:</w:t>
      </w:r>
      <w:r>
        <w:t xml:space="preserve"> cuatro botones grandes (Publicar lote, Mensajes, Mis acuerdos, Aprende) con insignias, aviso de mensajes nuevos, lotes propios y consejo del día.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Explore:</w:t>
      </w:r>
      <w:r>
        <w:t xml:space="preserve"> buscador por texto (finca, variedad, sabor), chips de región y hoja de filtros (proceso, variedad, SCA mínimo 80–89, altitud mínima 1.400–2.200 m). Los lotes nuevos salen primero y se ocultan los agotados.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ChatRoom:</w:t>
      </w:r>
      <w:r>
        <w:t xml:space="preserve"> al abrirse marca como leído y baja al último mensaje. El caficultor tiene “Enviar precio”, “Frases”, “Foto” y un micrófono de 60 px; el comprador, chips de plantillas, foto y envío de texto.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PublishLot:</w:t>
      </w:r>
      <w:r>
        <w:t xml:space="preserve"> el puntaje mínimo es 80 (por debajo se bloquea el botón). Con precio por carga muestra el equivalente aproximado en USD/lb. Al publicar ofrece “Ver mi lote” o “Ir al inicio”.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Fees:</w:t>
      </w:r>
      <w:r>
        <w:t xml:space="preserve"> comisión de 2 % al caficultor y 4 % al comprador por acuerdo cerrado; el resto es gratis. La calculadora muestra cuánto recibe el caficultor.</w:t>
      </w:r>
    </w:p>
    <w:p>
      <w:pPr>
        <w:pStyle w:val="Heading2"/>
      </w:pPr>
      <w:r>
        <w:t xml:space="preserve">9. Componentes reutilizables</w:t>
      </w:r>
    </w:p>
    <w:p>
      <w:pPr/>
      <w:r>
        <w:t xml:space="preserve">Los componentes de </w:t>
      </w:r>
      <w:r>
        <w:rPr>
          <w:rStyle w:val="CodeChar"/>
        </w:rPr>
        <w:t xml:space="preserve">src/components/</w:t>
      </w:r>
      <w:r>
        <w:t xml:space="preserve"> muestran datos y avisan de acciones; casi todos leen el idioma con </w:t>
      </w:r>
      <w:r>
        <w:rPr>
          <w:rStyle w:val="CodeChar"/>
        </w:rPr>
        <w:t xml:space="preserve">useApp()</w:t>
      </w:r>
      <w:r>
        <w:t xml:space="preserve">, pero ninguno define reglas de negocio.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2524"/>
        <w:gridCol w:w="4920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Props principales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Responsabilidad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PhoneFrame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children</w:t>
            </w:r>
            <w:r>
              <w:t xml:space="preserve">, </w:t>
            </w:r>
            <w:r>
              <w:rPr>
                <w:rStyle w:val="CodeChar"/>
              </w:rPr>
              <w:t xml:space="preserve">tabBar</w:t>
            </w:r>
          </w:p>
        </w:tc>
        <w:tc>
          <w:tcPr>
            <w:tcW w:w="4920" w:type="dxa"/>
          </w:tcPr>
          <w:p>
            <w:pPr/>
            <w:r>
              <w:t xml:space="preserve">Marco de 390 × 844 px con barra de estado (hora, señal que se apaga sin conexión), banner de red, avisos e indicador de inicio. Aplica la clase </w:t>
            </w:r>
            <w:r>
              <w:rPr>
                <w:rStyle w:val="CodeChar"/>
              </w:rPr>
              <w:t xml:space="preserve">role-farmer</w:t>
            </w:r>
            <w:r>
              <w:t xml:space="preserve"> o </w:t>
            </w:r>
            <w:r>
              <w:rPr>
                <w:rStyle w:val="CodeChar"/>
              </w:rPr>
              <w:t xml:space="preserve">role-buyer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DemoPanel</w:t>
            </w:r>
          </w:p>
        </w:tc>
        <w:tc>
          <w:tcPr>
            <w:tcW w:w="2524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Cambio de rol, interruptor sin conexión, ver onboarding y reiniciar datos. Al cambiar de rol se queda en la pantalla si ambas personas participan en ella; si no, vuelve a </w:t>
            </w:r>
            <w:r>
              <w:rPr>
                <w:rStyle w:val="CodeChar"/>
              </w:rPr>
              <w:t xml:space="preserve">/home</w:t>
            </w:r>
            <w:r>
              <w:t xml:space="preserve">. En móvil se abre desde una pestaña lateral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TabBar</w:t>
            </w:r>
          </w:p>
        </w:tc>
        <w:tc>
          <w:tcPr>
            <w:tcW w:w="2524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Cinco pestañas con </w:t>
            </w:r>
            <w:r>
              <w:rPr>
                <w:rStyle w:val="CodeChar"/>
              </w:rPr>
              <w:t xml:space="preserve">NavLink</w:t>
            </w:r>
            <w:r>
              <w:t xml:space="preserve">; la de mensajes muestra la insignia de no leídos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LotCard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lot</w:t>
            </w:r>
            <w:r>
              <w:t xml:space="preserve">, </w:t>
            </w:r>
            <w:r>
              <w:rPr>
                <w:rStyle w:val="CodeChar"/>
              </w:rPr>
              <w:t xml:space="preserve">compact</w:t>
            </w:r>
          </w:p>
        </w:tc>
        <w:tc>
          <w:tcPr>
            <w:tcW w:w="4920" w:type="dxa"/>
          </w:tcPr>
          <w:p>
            <w:pPr/>
            <w:r>
              <w:t xml:space="preserve">Tarjeta grande con foto y puntaje (catálogo) o fila compacta (listas)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MessageBubble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msg</w:t>
            </w:r>
            <w:r>
              <w:t xml:space="preserve">, </w:t>
            </w:r>
            <w:r>
              <w:rPr>
                <w:rStyle w:val="CodeChar"/>
              </w:rPr>
              <w:t xml:space="preserve">handlers</w:t>
            </w:r>
          </w:p>
        </w:tc>
        <w:tc>
          <w:tcPr>
            <w:tcW w:w="4920" w:type="dxa"/>
          </w:tcPr>
          <w:p>
            <w:pPr/>
            <w:r>
              <w:t xml:space="preserve">Dibuja cada tipo de mensaje: texto con bloque de traducción, voz con reproductor simulado y transcripción, foto con pie traducido, referencia a lote, cotización, acuerdo y mensaje de sistema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QuoteCard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msg</w:t>
            </w:r>
            <w:r>
              <w:t xml:space="preserve">, </w:t>
            </w:r>
            <w:r>
              <w:rPr>
                <w:rStyle w:val="CodeChar"/>
              </w:rPr>
              <w:t xml:space="preserve">onAccept</w:t>
            </w:r>
            <w:r>
              <w:t xml:space="preserve">, </w:t>
            </w:r>
            <w:r>
              <w:rPr>
                <w:rStyle w:val="CodeChar"/>
              </w:rPr>
              <w:t xml:space="preserve">onCounter</w:t>
            </w:r>
            <w:r>
              <w:t xml:space="preserve">, </w:t>
            </w:r>
            <w:r>
              <w:rPr>
                <w:rStyle w:val="CodeChar"/>
              </w:rPr>
              <w:t xml:space="preserve">onConfirm</w:t>
            </w:r>
          </w:p>
        </w:tc>
        <w:tc>
          <w:tcPr>
            <w:tcW w:w="4920" w:type="dxa"/>
          </w:tcPr>
          <w:p>
            <w:pPr/>
            <w:r>
              <w:t xml:space="preserve">Muestra precio, cantidad, condición, total e historial de ofertas, con los botones que tocan según el estado y el rol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AgreementCard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agreement</w:t>
            </w:r>
            <w:r>
              <w:t xml:space="preserve">, </w:t>
            </w:r>
            <w:r>
              <w:rPr>
                <w:rStyle w:val="CodeChar"/>
              </w:rPr>
              <w:t xml:space="preserve">inChat</w:t>
            </w:r>
          </w:p>
        </w:tc>
        <w:tc>
          <w:tcPr>
            <w:tcW w:w="4920" w:type="dxa"/>
          </w:tcPr>
          <w:p>
            <w:pPr/>
            <w:r>
              <w:t xml:space="preserve">Tarjeta “Acuerdo registrado”: código, partes, términos, total y línea de estado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StatusTimeline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history</w:t>
            </w:r>
            <w:r>
              <w:t xml:space="preserve">, </w:t>
            </w:r>
            <w:r>
              <w:rPr>
                <w:rStyle w:val="CodeChar"/>
              </w:rPr>
              <w:t xml:space="preserve">vertical</w:t>
            </w:r>
          </w:p>
        </w:tc>
        <w:tc>
          <w:tcPr>
            <w:tcW w:w="4920" w:type="dxa"/>
          </w:tcPr>
          <w:p>
            <w:pPr/>
            <w:r>
              <w:t xml:space="preserve">Línea Cotizado → Confirmado → Enviado → Entregado, horizontal o vertical con fechas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Icon</w:t>
            </w:r>
          </w:p>
        </w:tc>
        <w:tc>
          <w:tcPr>
            <w:tcW w:w="2524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size</w:t>
            </w:r>
            <w:r>
              <w:t xml:space="preserve">, </w:t>
            </w:r>
            <w:r>
              <w:rPr>
                <w:rStyle w:val="CodeChar"/>
              </w:rPr>
              <w:t xml:space="preserve">stroke</w:t>
            </w:r>
            <w:r>
              <w:t xml:space="preserve">, </w:t>
            </w:r>
            <w:r>
              <w:rPr>
                <w:rStyle w:val="CodeChar"/>
              </w:rPr>
              <w:t xml:space="preserve">fill</w:t>
            </w:r>
          </w:p>
        </w:tc>
        <w:tc>
          <w:tcPr>
            <w:tcW w:w="4920" w:type="dxa"/>
          </w:tcPr>
          <w:p>
            <w:pPr/>
            <w:r>
              <w:t xml:space="preserve">Unos 45 íconos SVG de trazo, sin dependencias</w:t>
            </w:r>
          </w:p>
        </w:tc>
      </w:tr>
    </w:tbl>
    <w:p>
      <w:pPr>
        <w:pStyle w:val="Heading3"/>
      </w:pPr>
      <w:r>
        <w:t xml:space="preserve">Piezas pequeñas de </w:t>
      </w:r>
      <w:r>
        <w:rPr>
          <w:rStyle w:val="CodeChar"/>
        </w:rPr>
        <w:t xml:space="preserve">ui.jsx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4"/>
        <w:gridCol w:w="7245"/>
      </w:tblGrid>
      <w:tr>
        <w:trPr>
          <w:tblHeader/>
        </w:trPr>
        <w:tc>
          <w:tcPr>
            <w:tcW w:w="2114" w:type="dxa"/>
            <w:shd w:val="clear" w:color="auto" w:fill="F2F2F2"/>
          </w:tcPr>
          <w:p>
            <w:pPr/>
            <w:r>
              <w:t xml:space="preserve">Pieza</w:t>
            </w:r>
          </w:p>
        </w:tc>
        <w:tc>
          <w:tcPr>
            <w:tcW w:w="7245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Img</w:t>
            </w:r>
          </w:p>
        </w:tc>
        <w:tc>
          <w:tcPr>
            <w:tcW w:w="7245" w:type="dxa"/>
          </w:tcPr>
          <w:p>
            <w:pPr/>
            <w:r>
              <w:t xml:space="preserve">Imagen con respaldo: si la URL falla, muestra un degradado café-verde con un ícono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Avatar</w:t>
            </w:r>
          </w:p>
        </w:tc>
        <w:tc>
          <w:tcPr>
            <w:tcW w:w="7245" w:type="dxa"/>
          </w:tcPr>
          <w:p>
            <w:pPr/>
            <w:r>
              <w:t xml:space="preserve">Foto redonda con iniciales de respaldo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Stars</w:t>
            </w:r>
          </w:p>
        </w:tc>
        <w:tc>
          <w:tcPr>
            <w:tcW w:w="7245" w:type="dxa"/>
          </w:tcPr>
          <w:p>
            <w:pPr/>
            <w:r>
              <w:t xml:space="preserve">Estrellas de solo lectura con promedio y número de calificaciones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ScoreBadge</w:t>
            </w:r>
          </w:p>
        </w:tc>
        <w:tc>
          <w:tcPr>
            <w:tcW w:w="7245" w:type="dxa"/>
          </w:tcPr>
          <w:p>
            <w:pPr/>
            <w:r>
              <w:t xml:space="preserve">Insignia verde con el puntaje SCA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Verified</w:t>
            </w:r>
          </w:p>
        </w:tc>
        <w:tc>
          <w:tcPr>
            <w:tcW w:w="7245" w:type="dxa"/>
          </w:tcPr>
          <w:p>
            <w:pPr/>
            <w:r>
              <w:t xml:space="preserve">Insignia azul “Verificado”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Sheet</w:t>
            </w:r>
          </w:p>
        </w:tc>
        <w:tc>
          <w:tcPr>
            <w:tcW w:w="7245" w:type="dxa"/>
          </w:tcPr>
          <w:p>
            <w:pPr/>
            <w:r>
              <w:t xml:space="preserve">Hoja inferior modal con título, cuerpo y pie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Stepper</w:t>
            </w:r>
          </w:p>
        </w:tc>
        <w:tc>
          <w:tcPr>
            <w:tcW w:w="7245" w:type="dxa"/>
          </w:tcPr>
          <w:p>
            <w:pPr/>
            <w:r>
              <w:t xml:space="preserve">Control − valor + con botones de 56 px, paso y límites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TopBar</w:t>
            </w:r>
          </w:p>
        </w:tc>
        <w:tc>
          <w:tcPr>
            <w:tcW w:w="7245" w:type="dxa"/>
          </w:tcPr>
          <w:p>
            <w:pPr/>
            <w:r>
              <w:t xml:space="preserve">Barra superior con botón atrás; si no hay historial vuelve a </w:t>
            </w:r>
            <w:r>
              <w:rPr>
                <w:rStyle w:val="CodeChar"/>
              </w:rPr>
              <w:t xml:space="preserve">/home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Segmented</w:t>
            </w:r>
          </w:p>
        </w:tc>
        <w:tc>
          <w:tcPr>
            <w:tcW w:w="7245" w:type="dxa"/>
          </w:tcPr>
          <w:p>
            <w:pPr/>
            <w:r>
              <w:t xml:space="preserve">Selector de dos o más opciones (por ejemplo, ES / EN)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EmptyState</w:t>
            </w:r>
          </w:p>
        </w:tc>
        <w:tc>
          <w:tcPr>
            <w:tcW w:w="7245" w:type="dxa"/>
          </w:tcPr>
          <w:p>
            <w:pPr/>
            <w:r>
              <w:t xml:space="preserve">Mensaje cuando una lista está vacía</w:t>
            </w:r>
          </w:p>
        </w:tc>
      </w:tr>
    </w:tbl>
    <w:p>
      <w:pPr>
        <w:pStyle w:val="Heading2"/>
      </w:pPr>
      <w:r>
        <w:t xml:space="preserve">10. Flujos clave</w:t>
      </w:r>
    </w:p>
    <w:p>
      <w:pPr>
        <w:pStyle w:val="Heading3"/>
      </w:pPr>
      <w:r>
        <w:t xml:space="preserve">10.1 Traducción de mensajes</w:t>
      </w:r>
    </w:p>
    <w:p>
      <w:pPr/>
      <w:r>
        <w:t xml:space="preserve">Cada mensaje de texto guarda el original, su idioma y la traducción. La burbuja muestra el original y debajo la traducción, con una etiqueta que dice en qué sentido se tradujo. La función </w:t>
      </w:r>
      <w:r>
        <w:rPr>
          <w:rStyle w:val="CodeChar"/>
        </w:rPr>
        <w:t xml:space="preserve">translate(texto, idioma)</w:t>
      </w:r>
      <w:r>
        <w:t xml:space="preserve"> de </w:t>
      </w:r>
      <w:r>
        <w:rPr>
          <w:rStyle w:val="CodeChar"/>
        </w:rPr>
        <w:t xml:space="preserve">phrases.js</w:t>
      </w:r>
      <w:r>
        <w:t xml:space="preserve"> trabaja en dos pasos:</w:t>
      </w:r>
    </w:p>
    <w:p>
      <w:pPr>
        <w:pStyle w:val="ListParagraph"/>
        <w:numPr>
          <w:ilvl w:val="0"/>
          <w:numId w:val="7"/>
        </w:numPr>
      </w:pPr>
      <w:r>
        <w:t xml:space="preserve">Normaliza el texto (minúsculas, sin tildes ni signos) y lo busca en un índice de frases conocidas: plantillas, notas de voz, respuestas automáticas y frases sueltas. Si lo encuentra, devuelve la traducción exacta (</w:t>
      </w:r>
      <w:r>
        <w:rPr>
          <w:rStyle w:val="CodeChar"/>
        </w:rPr>
        <w:t xml:space="preserve">exact: true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Si no, traduce palabra por palabra con un glosario (unas 130 entradas por idioma), probando primero expresiones de 3, luego de 2 y luego de 1 palabra. El resultado se marca “aprox.”.</w:t>
      </w:r>
    </w:p>
    <w:p>
      <w:pPr>
        <w:pStyle w:val="Heading3"/>
      </w:pPr>
      <w:r>
        <w:t xml:space="preserve">10.2 Notas de voz</w:t>
      </w:r>
    </w:p>
    <w:p>
      <w:pPr>
        <w:pStyle w:val="ListParagraph"/>
        <w:numPr>
          <w:ilvl w:val="0"/>
          <w:numId w:val="8"/>
        </w:numPr>
      </w:pPr>
      <w:r>
        <w:t xml:space="preserve">El caficultor toca el micrófono; se abre una capa con pulso rojo, cronómetro y onda animada.</w:t>
      </w:r>
    </w:p>
    <w:p>
      <w:pPr>
        <w:pStyle w:val="ListParagraph"/>
        <w:numPr>
          <w:ilvl w:val="0"/>
          <w:numId w:val="8"/>
        </w:numPr>
      </w:pPr>
      <w:r>
        <w:t xml:space="preserve">Al tocar “Enviar” se crea un mensaje </w:t>
      </w:r>
      <w:r>
        <w:rPr>
          <w:rStyle w:val="CodeChar"/>
        </w:rPr>
        <w:t xml:space="preserve">voice</w:t>
      </w:r>
      <w:r>
        <w:t xml:space="preserve"> con la duración real (mínimo 3 s) y una transcripción tomada en orden de </w:t>
      </w:r>
      <w:r>
        <w:rPr>
          <w:rStyle w:val="CodeChar"/>
        </w:rPr>
        <w:t xml:space="preserve">VOICE_NOTES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Durante 1,8 s la burbuja muestra “Transcribiendo y traduciendo…”; después, la transcripción en español y su traducción al inglés. El comprador recibe la nota como transcripción más traducción.</w:t>
      </w:r>
    </w:p>
    <w:p>
      <w:pPr>
        <w:pStyle w:val="Heading3"/>
      </w:pPr>
      <w:r>
        <w:t xml:space="preserve">10.3 Cotización y acuerdo</w:t>
      </w:r>
    </w:p>
    <w:p>
      <w:pPr/>
      <w:r>
        <w:drawing>
          <wp:inline distT="0" distB="0" distL="0" distR="0">
            <wp:extent cx="5486400" cy="2188028"/>
            <wp:docPr id="2" name="image2" descr="estados de una cotización · 4 estados, doble confirm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stados de una cotización · 4 estados, doble confirmació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de una cotización · 4 estados, doble confirmación</w:t>
      </w:r>
    </w:p>
    <w:p>
      <w:pPr/>
      <w:r>
        <w:t xml:space="preserve">Quien recibe una oferta puede aceptarla o contraofertar; quien la hizo solo ve “Esperando respuesta…”. Una contraoferta marca la tarjeta anterior como reemplazada y publica una nueva, que conserva el historial de precios. Cuando una parte acepta, la otra debe confirmar; solo entonces </w:t>
      </w:r>
      <w:r>
        <w:rPr>
          <w:rStyle w:val="CodeChar"/>
        </w:rPr>
        <w:t xml:space="preserve">respondQuote(…, 'confirm')</w:t>
      </w:r>
      <w:r>
        <w:t xml:space="preserve"> crea el acuerdo.</w:t>
      </w:r>
    </w:p>
    <w:p>
      <w:pPr/>
      <w:r>
        <w:t xml:space="preserve">Al confirmar, la app hace cuatro cosas a la vez:</w:t>
      </w:r>
    </w:p>
    <w:p>
      <w:pPr>
        <w:pStyle w:val="ListParagraph"/>
        <w:numPr>
          <w:ilvl w:val="0"/>
          <w:numId w:val="9"/>
        </w:numPr>
      </w:pPr>
      <w:r>
        <w:t xml:space="preserve">Crea el </w:t>
      </w:r>
      <w:r>
        <w:rPr>
          <w:rStyle w:val="CodeChar"/>
        </w:rPr>
        <w:t xml:space="preserve">Agreement</w:t>
      </w:r>
      <w:r>
        <w:t xml:space="preserve"> con código </w:t>
      </w:r>
      <w:r>
        <w:rPr>
          <w:rStyle w:val="CodeChar"/>
        </w:rPr>
        <w:t xml:space="preserve">CD-2026-NNNN</w:t>
      </w:r>
      <w:r>
        <w:t xml:space="preserve">, estado 1 (Confirmado) y la fecha de la primera oferta como fecha de cotizado.</w:t>
      </w:r>
    </w:p>
    <w:p>
      <w:pPr>
        <w:pStyle w:val="ListParagraph"/>
        <w:numPr>
          <w:ilvl w:val="0"/>
          <w:numId w:val="9"/>
        </w:numPr>
      </w:pPr>
      <w:r>
        <w:t xml:space="preserve">Inserta un mensaje </w:t>
      </w:r>
      <w:r>
        <w:rPr>
          <w:rStyle w:val="CodeChar"/>
        </w:rPr>
        <w:t xml:space="preserve">agreement</w:t>
      </w:r>
      <w:r>
        <w:t xml:space="preserve"> en el chat, visible para las dos partes.</w:t>
      </w:r>
    </w:p>
    <w:p>
      <w:pPr>
        <w:pStyle w:val="ListParagraph"/>
        <w:numPr>
          <w:ilvl w:val="0"/>
          <w:numId w:val="9"/>
        </w:numPr>
      </w:pPr>
      <w:r>
        <w:t xml:space="preserve">Descuenta los sacos acordados del lote.</w:t>
      </w:r>
    </w:p>
    <w:p>
      <w:pPr>
        <w:pStyle w:val="ListParagraph"/>
        <w:numPr>
          <w:ilvl w:val="0"/>
          <w:numId w:val="9"/>
        </w:numPr>
      </w:pPr>
      <w:r>
        <w:t xml:space="preserve">Muestra el aviso “Acuerdo registrado”.</w:t>
      </w:r>
    </w:p>
    <w:p>
      <w:pPr>
        <w:pStyle w:val="Heading3"/>
      </w:pPr>
      <w:r>
        <w:t xml:space="preserve">10.4 Seguimiento del pedido</w:t>
      </w:r>
    </w:p>
    <w:p>
      <w:pPr/>
      <w:r>
        <w:t xml:space="preserve">El botón “Demo: marcar como…” de </w:t>
      </w:r>
      <w:r>
        <w:rPr>
          <w:rStyle w:val="CodeChar"/>
        </w:rPr>
        <w:t xml:space="preserve">OrderDetail</w:t>
      </w:r>
      <w:r>
        <w:t xml:space="preserve"> llama a </w:t>
      </w:r>
      <w:r>
        <w:rPr>
          <w:rStyle w:val="CodeChar"/>
        </w:rPr>
        <w:t xml:space="preserve">advanceAgreement()</w:t>
      </w:r>
      <w:r>
        <w:t xml:space="preserve">, que pasa de Confirmado a Enviado y de Enviado a Entregado. Cada paso guarda su fecha y deja un mensaje de sistema en el chat. La logística y el pago reales quedan fuera de la app.</w:t>
      </w:r>
    </w:p>
    <w:p>
      <w:pPr>
        <w:pStyle w:val="Heading3"/>
      </w:pPr>
      <w:r>
        <w:t xml:space="preserve">10.5 Calificación mutua</w:t>
      </w:r>
    </w:p>
    <w:p>
      <w:pPr/>
      <w:r>
        <w:t xml:space="preserve">Solo se habilita con el pedido entregado. Cada parte elige de 1 a 5 estrellas, etiquetas rápidas (por ejemplo, “Pagó a tiempo” o “Calidad igual a la muestra”) y un comentario opcional, que se traduce al otro idioma. La calificación aparece en el acuerdo, en las reseñas del perfil y en el promedio de reputación.</w:t>
      </w:r>
    </w:p>
    <w:p>
      <w:pPr>
        <w:pStyle w:val="Heading3"/>
      </w:pPr>
      <w:r>
        <w:t xml:space="preserve">10.6 Modo sin conexión</w:t>
      </w:r>
    </w:p>
    <w:p>
      <w:pPr>
        <w:pStyle w:val="ListParagraph"/>
        <w:numPr>
          <w:ilvl w:val="0"/>
          <w:numId w:val="10"/>
        </w:numPr>
      </w:pPr>
      <w:r>
        <w:t xml:space="preserve">El interruptor del panel pone </w:t>
      </w:r>
      <w:r>
        <w:rPr>
          <w:rStyle w:val="CodeChar"/>
        </w:rPr>
        <w:t xml:space="preserve">offline = true</w:t>
      </w:r>
      <w:r>
        <w:t xml:space="preserve">: aparece el banner “Sin señal” y las barras de señal se apagan.</w:t>
      </w:r>
    </w:p>
    <w:p>
      <w:pPr>
        <w:pStyle w:val="ListParagraph"/>
        <w:numPr>
          <w:ilvl w:val="0"/>
          <w:numId w:val="10"/>
        </w:numPr>
      </w:pPr>
      <w:r>
        <w:t xml:space="preserve">Todo lo que se envía (mensajes, cotizaciones, acuerdos) se guarda con </w:t>
      </w:r>
      <w:r>
        <w:rPr>
          <w:rStyle w:val="CodeChar"/>
        </w:rPr>
        <w:t xml:space="preserve">status: 'pending'</w:t>
      </w:r>
      <w:r>
        <w:t xml:space="preserve"> y muestra “Pendiente de envío”. Las respuestas automáticas esperan en cola.</w:t>
      </w:r>
    </w:p>
    <w:p>
      <w:pPr>
        <w:pStyle w:val="ListParagraph"/>
        <w:numPr>
          <w:ilvl w:val="0"/>
          <w:numId w:val="10"/>
        </w:numPr>
      </w:pPr>
      <w:r>
        <w:t xml:space="preserve">Al reconectar, </w:t>
      </w:r>
      <w:r>
        <w:rPr>
          <w:rStyle w:val="CodeChar"/>
        </w:rPr>
        <w:t xml:space="preserve">syncing = true</w:t>
      </w:r>
      <w:r>
        <w:t xml:space="preserve"> muestra “Sincronizando…” durante 2,2 s.</w:t>
      </w:r>
    </w:p>
    <w:p>
      <w:pPr>
        <w:pStyle w:val="ListParagraph"/>
        <w:numPr>
          <w:ilvl w:val="0"/>
          <w:numId w:val="10"/>
        </w:numPr>
      </w:pPr>
      <w:r>
        <w:t xml:space="preserve">Luego todo pasa a </w:t>
      </w:r>
      <w:r>
        <w:rPr>
          <w:rStyle w:val="CodeChar"/>
        </w:rPr>
        <w:t xml:space="preserve">sent</w:t>
      </w:r>
      <w:r>
        <w:t xml:space="preserve">, aparece el aviso con el número de elementos enviados y se liberan las respuestas en cola.</w:t>
      </w:r>
    </w:p>
    <w:p>
      <w:pPr>
        <w:pStyle w:val="Heading3"/>
      </w:pPr>
      <w:r>
        <w:t xml:space="preserve">10.7 Cambio de rol</w:t>
      </w:r>
    </w:p>
    <w:p>
      <w:pPr/>
      <w:r>
        <w:rPr>
          <w:rStyle w:val="CodeChar"/>
        </w:rPr>
        <w:t xml:space="preserve">DemoPanel</w:t>
      </w:r>
      <w:r>
        <w:t xml:space="preserve"> cambia </w:t>
      </w:r>
      <w:r>
        <w:rPr>
          <w:rStyle w:val="CodeChar"/>
        </w:rPr>
        <w:t xml:space="preserve">role</w:t>
      </w:r>
      <w:r>
        <w:t xml:space="preserve">; con él cambian el idioma, el tema y la barra inferior. Si la pantalla actual es el chat o el acuerdo entre las dos personas de la demo, o una pantalla neutral (lote, finca, comprador, Aprende, comisiones), se queda en ella. En cualquier otro caso vuelve a </w:t>
      </w:r>
      <w:r>
        <w:rPr>
          <w:rStyle w:val="CodeChar"/>
        </w:rPr>
        <w:t xml:space="preserve">/home</w:t>
      </w:r>
      <w:r>
        <w:t xml:space="preserve">.</w:t>
      </w:r>
    </w:p>
    <w:p>
      <w:pPr>
        <w:pStyle w:val="Heading2"/>
      </w:pPr>
      <w:r>
        <w:t xml:space="preserve">11. Trazabilidad de requisitos funcionales</w:t>
      </w:r>
    </w:p>
    <w:p>
      <w:pPr/>
      <w:r>
        <w:t xml:space="preserve">La demo cubre los requisitos funcionales del encargo. RF-19 y RF-22 no estaban descritos en él, por eso no aparecen. Los cinco requisitos marcados como “Simulado” tienen interfaz completa pero no tienen un servicio real detrás.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2989"/>
        <w:gridCol w:w="3557"/>
        <w:gridCol w:w="1589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989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3557" w:type="dxa"/>
            <w:shd w:val="clear" w:color="auto" w:fill="F2F2F2"/>
          </w:tcPr>
          <w:p>
            <w:pPr/>
            <w:r>
              <w:t xml:space="preserve">Implementación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RF-01</w:t>
            </w:r>
          </w:p>
        </w:tc>
        <w:tc>
          <w:tcPr>
            <w:tcW w:w="2989" w:type="dxa"/>
          </w:tcPr>
          <w:p>
            <w:pPr/>
            <w:r>
              <w:t xml:space="preserve">Registro de caficultor y comprador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Onboarding</w:t>
            </w:r>
            <w:r>
              <w:t xml:space="preserve">, </w:t>
            </w:r>
            <w:r>
              <w:rPr>
                <w:rStyle w:val="CodeChar"/>
              </w:rPr>
              <w:t xml:space="preserve">completeOnboarding()</w:t>
            </w:r>
          </w:p>
        </w:tc>
        <w:tc>
          <w:tcPr>
            <w:tcW w:w="1589" w:type="dxa"/>
          </w:tcPr>
          <w:p>
            <w:pPr/>
            <w:r>
              <w:t xml:space="preserve">Simulado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RF-02</w:t>
            </w:r>
          </w:p>
        </w:tc>
        <w:tc>
          <w:tcPr>
            <w:tcW w:w="2989" w:type="dxa"/>
          </w:tcPr>
          <w:p>
            <w:pPr/>
            <w:r>
              <w:t xml:space="preserve">Perfil de finca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FarmProfile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RF-03</w:t>
            </w:r>
          </w:p>
        </w:tc>
        <w:tc>
          <w:tcPr>
            <w:tcW w:w="2989" w:type="dxa"/>
          </w:tcPr>
          <w:p>
            <w:pPr/>
            <w:r>
              <w:t xml:space="preserve">Perfil de comprador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BuyerProfile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RF-04</w:t>
            </w:r>
          </w:p>
        </w:tc>
        <w:tc>
          <w:tcPr>
            <w:tcW w:w="2989" w:type="dxa"/>
          </w:tcPr>
          <w:p>
            <w:pPr/>
            <w:r>
              <w:t xml:space="preserve">Perfil en ES/EN</w:t>
            </w:r>
          </w:p>
        </w:tc>
        <w:tc>
          <w:tcPr>
            <w:tcW w:w="3557" w:type="dxa"/>
          </w:tcPr>
          <w:p>
            <w:pPr/>
            <w:r>
              <w:t xml:space="preserve">Botón </w:t>
            </w:r>
            <w:r>
              <w:rPr>
                <w:rStyle w:val="CodeChar"/>
              </w:rPr>
              <w:t xml:space="preserve">Segmented</w:t>
            </w:r>
            <w:r>
              <w:t xml:space="preserve"> en </w:t>
            </w:r>
            <w:r>
              <w:rPr>
                <w:rStyle w:val="CodeChar"/>
              </w:rPr>
              <w:t xml:space="preserve">FarmProfile</w:t>
            </w:r>
            <w:r>
              <w:t xml:space="preserve"> y </w:t>
            </w:r>
            <w:r>
              <w:rPr>
                <w:rStyle w:val="CodeChar"/>
              </w:rPr>
              <w:t xml:space="preserve">BuyerProfile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RF-05</w:t>
            </w:r>
          </w:p>
        </w:tc>
        <w:tc>
          <w:tcPr>
            <w:tcW w:w="2989" w:type="dxa"/>
          </w:tcPr>
          <w:p>
            <w:pPr/>
            <w:r>
              <w:t xml:space="preserve">Insignia “Verificado”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</w:rPr>
              <w:t xml:space="preserve">verify-box</w:t>
            </w:r>
          </w:p>
        </w:tc>
        <w:tc>
          <w:tcPr>
            <w:tcW w:w="1589" w:type="dxa"/>
          </w:tcPr>
          <w:p>
            <w:pPr/>
            <w:r>
              <w:t xml:space="preserve">Simulado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RF-06</w:t>
            </w:r>
          </w:p>
        </w:tc>
        <w:tc>
          <w:tcPr>
            <w:tcW w:w="2989" w:type="dxa"/>
          </w:tcPr>
          <w:p>
            <w:pPr/>
            <w:r>
              <w:t xml:space="preserve">Publicar lote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PublishLot</w:t>
            </w:r>
            <w:r>
              <w:t xml:space="preserve">, </w:t>
            </w:r>
            <w:r>
              <w:rPr>
                <w:rStyle w:val="CodeChar"/>
              </w:rPr>
              <w:t xml:space="preserve">publishLot()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RF-07</w:t>
            </w:r>
          </w:p>
        </w:tc>
        <w:tc>
          <w:tcPr>
            <w:tcW w:w="2989" w:type="dxa"/>
          </w:tcPr>
          <w:p>
            <w:pPr/>
            <w:r>
              <w:t xml:space="preserve">Explorar y filtrar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Explore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RF-08</w:t>
            </w:r>
          </w:p>
        </w:tc>
        <w:tc>
          <w:tcPr>
            <w:tcW w:w="2989" w:type="dxa"/>
          </w:tcPr>
          <w:p>
            <w:pPr/>
            <w:r>
              <w:t xml:space="preserve">Detalle de lote enlazado a la finca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LotDetail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RF-09</w:t>
            </w:r>
          </w:p>
        </w:tc>
        <w:tc>
          <w:tcPr>
            <w:tcW w:w="2989" w:type="dxa"/>
          </w:tcPr>
          <w:p>
            <w:pPr/>
            <w:r>
              <w:t xml:space="preserve">Mensajería directa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ChatList</w:t>
            </w:r>
            <w:r>
              <w:t xml:space="preserve">, </w:t>
            </w:r>
            <w:r>
              <w:rPr>
                <w:rStyle w:val="CodeChar"/>
              </w:rPr>
              <w:t xml:space="preserve">ChatRoom</w:t>
            </w:r>
            <w:r>
              <w:t xml:space="preserve">, </w:t>
            </w:r>
            <w:r>
              <w:rPr>
                <w:rStyle w:val="CodeChar"/>
              </w:rPr>
              <w:t xml:space="preserve">sendMessage()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RF-10</w:t>
            </w:r>
          </w:p>
        </w:tc>
        <w:tc>
          <w:tcPr>
            <w:tcW w:w="2989" w:type="dxa"/>
          </w:tcPr>
          <w:p>
            <w:pPr/>
            <w:r>
              <w:t xml:space="preserve">Traducción de mensajes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translate()</w:t>
            </w:r>
            <w:r>
              <w:t xml:space="preserve">, </w:t>
            </w:r>
            <w:r>
              <w:rPr>
                <w:rStyle w:val="CodeChar"/>
              </w:rPr>
              <w:t xml:space="preserve">TranslationBlock</w:t>
            </w:r>
          </w:p>
        </w:tc>
        <w:tc>
          <w:tcPr>
            <w:tcW w:w="1589" w:type="dxa"/>
          </w:tcPr>
          <w:p>
            <w:pPr/>
            <w:r>
              <w:t xml:space="preserve">Simulado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RF-11</w:t>
            </w:r>
          </w:p>
        </w:tc>
        <w:tc>
          <w:tcPr>
            <w:tcW w:w="2989" w:type="dxa"/>
          </w:tcPr>
          <w:p>
            <w:pPr/>
            <w:r>
              <w:t xml:space="preserve">Nota de voz con transcripción y traducción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VoiceNote</w:t>
            </w:r>
            <w:r>
              <w:t xml:space="preserve">, capa de grabación en </w:t>
            </w:r>
            <w:r>
              <w:rPr>
                <w:rStyle w:val="CodeChar"/>
              </w:rPr>
              <w:t xml:space="preserve">ChatRoom</w:t>
            </w:r>
          </w:p>
        </w:tc>
        <w:tc>
          <w:tcPr>
            <w:tcW w:w="1589" w:type="dxa"/>
          </w:tcPr>
          <w:p>
            <w:pPr/>
            <w:r>
              <w:t xml:space="preserve">Simulado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RF-12</w:t>
            </w:r>
          </w:p>
        </w:tc>
        <w:tc>
          <w:tcPr>
            <w:tcW w:w="2989" w:type="dxa"/>
          </w:tcPr>
          <w:p>
            <w:pPr/>
            <w:r>
              <w:t xml:space="preserve">Envío de fotos</w:t>
            </w:r>
          </w:p>
        </w:tc>
        <w:tc>
          <w:tcPr>
            <w:tcW w:w="3557" w:type="dxa"/>
          </w:tcPr>
          <w:p>
            <w:pPr/>
            <w:r>
              <w:t xml:space="preserve">Hoja “Enviar foto”, mensaje </w:t>
            </w:r>
            <w:r>
              <w:rPr>
                <w:rStyle w:val="CodeChar"/>
              </w:rPr>
              <w:t xml:space="preserve">photo</w:t>
            </w:r>
          </w:p>
        </w:tc>
        <w:tc>
          <w:tcPr>
            <w:tcW w:w="1589" w:type="dxa"/>
          </w:tcPr>
          <w:p>
            <w:pPr/>
            <w:r>
              <w:t xml:space="preserve">Cumplido (fotos de ejemplo)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RF-13</w:t>
            </w:r>
          </w:p>
        </w:tc>
        <w:tc>
          <w:tcPr>
            <w:tcW w:w="2989" w:type="dxa"/>
          </w:tcPr>
          <w:p>
            <w:pPr/>
            <w:r>
              <w:t xml:space="preserve">Plantillas bilingües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TEMPLATES</w:t>
            </w:r>
            <w:r>
              <w:t xml:space="preserve">, hoja “Frases”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RF-14</w:t>
            </w:r>
          </w:p>
        </w:tc>
        <w:tc>
          <w:tcPr>
            <w:tcW w:w="2989" w:type="dxa"/>
          </w:tcPr>
          <w:p>
            <w:pPr/>
            <w:r>
              <w:t xml:space="preserve">Insignia de mensajes nuevos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TabBar</w:t>
            </w:r>
            <w:r>
              <w:t xml:space="preserve">, </w:t>
            </w:r>
            <w:r>
              <w:rPr>
                <w:rStyle w:val="CodeChar"/>
              </w:rPr>
              <w:t xml:space="preserve">unreadTotal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RF-15</w:t>
            </w:r>
          </w:p>
        </w:tc>
        <w:tc>
          <w:tcPr>
            <w:tcW w:w="2989" w:type="dxa"/>
          </w:tcPr>
          <w:p>
            <w:pPr/>
            <w:r>
              <w:t xml:space="preserve">El productor publica precio</w:t>
            </w:r>
          </w:p>
        </w:tc>
        <w:tc>
          <w:tcPr>
            <w:tcW w:w="3557" w:type="dxa"/>
          </w:tcPr>
          <w:p>
            <w:pPr/>
            <w:r>
              <w:t xml:space="preserve">Hoja “Enviar precio”, </w:t>
            </w:r>
            <w:r>
              <w:rPr>
                <w:rStyle w:val="CodeChar"/>
              </w:rPr>
              <w:t xml:space="preserve">sendQuote()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RF-16</w:t>
            </w:r>
          </w:p>
        </w:tc>
        <w:tc>
          <w:tcPr>
            <w:tcW w:w="2989" w:type="dxa"/>
          </w:tcPr>
          <w:p>
            <w:pPr/>
            <w:r>
              <w:t xml:space="preserve">Aceptar o contraofertar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QuoteCard</w:t>
            </w:r>
            <w:r>
              <w:t xml:space="preserve">, </w:t>
            </w:r>
            <w:r>
              <w:rPr>
                <w:rStyle w:val="CodeChar"/>
              </w:rPr>
              <w:t xml:space="preserve">respondQuote()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RF-17</w:t>
            </w:r>
          </w:p>
        </w:tc>
        <w:tc>
          <w:tcPr>
            <w:tcW w:w="2989" w:type="dxa"/>
          </w:tcPr>
          <w:p>
            <w:pPr/>
            <w:r>
              <w:t xml:space="preserve">Doble confirmación y acuerdo registrado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respondQuote('confirm')</w:t>
            </w:r>
            <w:r>
              <w:t xml:space="preserve">, </w:t>
            </w:r>
            <w:r>
              <w:rPr>
                <w:rStyle w:val="CodeChar"/>
              </w:rPr>
              <w:t xml:space="preserve">AgreementCard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RF-18</w:t>
            </w:r>
          </w:p>
        </w:tc>
        <w:tc>
          <w:tcPr>
            <w:tcW w:w="2989" w:type="dxa"/>
          </w:tcPr>
          <w:p>
            <w:pPr/>
            <w:r>
              <w:t xml:space="preserve">Pedidos con línea de estado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Orders</w:t>
            </w:r>
            <w:r>
              <w:t xml:space="preserve">, </w:t>
            </w:r>
            <w:r>
              <w:rPr>
                <w:rStyle w:val="CodeChar"/>
              </w:rPr>
              <w:t xml:space="preserve">OrderDetail</w:t>
            </w:r>
            <w:r>
              <w:t xml:space="preserve">, </w:t>
            </w:r>
            <w:r>
              <w:rPr>
                <w:rStyle w:val="CodeChar"/>
              </w:rPr>
              <w:t xml:space="preserve">StatusTimeline</w:t>
            </w:r>
          </w:p>
        </w:tc>
        <w:tc>
          <w:tcPr>
            <w:tcW w:w="1589" w:type="dxa"/>
          </w:tcPr>
          <w:p>
            <w:pPr/>
            <w:r>
              <w:t xml:space="preserve">Cumplido (avance manual de demo)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RF-20</w:t>
            </w:r>
          </w:p>
        </w:tc>
        <w:tc>
          <w:tcPr>
            <w:tcW w:w="2989" w:type="dxa"/>
          </w:tcPr>
          <w:p>
            <w:pPr/>
            <w:r>
              <w:t xml:space="preserve">Calificación mutua tras la entrega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RateAgreement</w:t>
            </w:r>
            <w:r>
              <w:t xml:space="preserve">, </w:t>
            </w:r>
            <w:r>
              <w:rPr>
                <w:rStyle w:val="CodeChar"/>
              </w:rPr>
              <w:t xml:space="preserve">rateAgreement()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RF-21</w:t>
            </w:r>
          </w:p>
        </w:tc>
        <w:tc>
          <w:tcPr>
            <w:tcW w:w="2989" w:type="dxa"/>
          </w:tcPr>
          <w:p>
            <w:pPr/>
            <w:r>
              <w:t xml:space="preserve">Reputación acumulada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farmRating()</w:t>
            </w:r>
            <w:r>
              <w:t xml:space="preserve">, </w:t>
            </w:r>
            <w:r>
              <w:rPr>
                <w:rStyle w:val="CodeChar"/>
              </w:rPr>
              <w:t xml:space="preserve">buyerRating()</w:t>
            </w:r>
            <w:r>
              <w:t xml:space="preserve">, reseñas en perfiles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RF-23</w:t>
            </w:r>
          </w:p>
        </w:tc>
        <w:tc>
          <w:tcPr>
            <w:tcW w:w="2989" w:type="dxa"/>
          </w:tcPr>
          <w:p>
            <w:pPr/>
            <w:r>
              <w:t xml:space="preserve">Certificaciones solo visibles</w:t>
            </w:r>
          </w:p>
        </w:tc>
        <w:tc>
          <w:tcPr>
            <w:tcW w:w="3557" w:type="dxa"/>
          </w:tcPr>
          <w:p>
            <w:pPr/>
            <w:r>
              <w:t xml:space="preserve">Lista con candado en </w:t>
            </w:r>
            <w:r>
              <w:rPr>
                <w:rStyle w:val="CodeChar"/>
              </w:rPr>
              <w:t xml:space="preserve">LotDetail</w:t>
            </w:r>
            <w:r>
              <w:t xml:space="preserve"> y </w:t>
            </w:r>
            <w:r>
              <w:rPr>
                <w:rStyle w:val="CodeChar"/>
              </w:rPr>
              <w:t xml:space="preserve">FarmProfile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RF-24</w:t>
            </w:r>
          </w:p>
        </w:tc>
        <w:tc>
          <w:tcPr>
            <w:tcW w:w="2989" w:type="dxa"/>
          </w:tcPr>
          <w:p>
            <w:pPr/>
            <w:r>
              <w:t xml:space="preserve">Modo sin conexión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toggleOffline()</w:t>
            </w:r>
            <w:r>
              <w:t xml:space="preserve">, banner y cola de pendientes</w:t>
            </w:r>
          </w:p>
        </w:tc>
        <w:tc>
          <w:tcPr>
            <w:tcW w:w="1589" w:type="dxa"/>
          </w:tcPr>
          <w:p>
            <w:pPr/>
            <w:r>
              <w:t xml:space="preserve">Simulado (interruptor de demo)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RF-25</w:t>
            </w:r>
          </w:p>
        </w:tc>
        <w:tc>
          <w:tcPr>
            <w:tcW w:w="2989" w:type="dxa"/>
          </w:tcPr>
          <w:p>
            <w:pPr/>
            <w:r>
              <w:t xml:space="preserve">Buenas prácticas de poscosecha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Learn</w:t>
            </w:r>
            <w:r>
              <w:t xml:space="preserve">, </w:t>
            </w:r>
            <w:r>
              <w:rPr>
                <w:rStyle w:val="CodeChar"/>
              </w:rPr>
              <w:t xml:space="preserve">LearnDetail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RF-26</w:t>
            </w:r>
          </w:p>
        </w:tc>
        <w:tc>
          <w:tcPr>
            <w:tcW w:w="2989" w:type="dxa"/>
          </w:tcPr>
          <w:p>
            <w:pPr/>
            <w:r>
              <w:t xml:space="preserve">Pasos de exportación</w:t>
            </w:r>
          </w:p>
        </w:tc>
        <w:tc>
          <w:tcPr>
            <w:tcW w:w="3557" w:type="dxa"/>
          </w:tcPr>
          <w:p>
            <w:pPr/>
            <w:r>
              <w:t xml:space="preserve">Ficha “Exportar paso a paso”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RF-27</w:t>
            </w:r>
          </w:p>
        </w:tc>
        <w:tc>
          <w:tcPr>
            <w:tcW w:w="2989" w:type="dxa"/>
          </w:tcPr>
          <w:p>
            <w:pPr/>
            <w:r>
              <w:t xml:space="preserve">Comisiones y condiciones</w:t>
            </w:r>
          </w:p>
        </w:tc>
        <w:tc>
          <w:tcPr>
            <w:tcW w:w="3557" w:type="dxa"/>
          </w:tcPr>
          <w:p>
            <w:pPr/>
            <w:r>
              <w:rPr>
                <w:rStyle w:val="CodeChar"/>
              </w:rPr>
              <w:t xml:space="preserve">Fees</w:t>
            </w:r>
          </w:p>
        </w:tc>
        <w:tc>
          <w:tcPr>
            <w:tcW w:w="1589" w:type="dxa"/>
          </w:tcPr>
          <w:p>
            <w:pPr/>
            <w:r>
              <w:t xml:space="preserve">Cumplido</w:t>
            </w:r>
          </w:p>
        </w:tc>
      </w:tr>
    </w:tbl>
    <w:p>
      <w:pPr>
        <w:pStyle w:val="Heading2"/>
      </w:pPr>
      <w:r>
        <w:t xml:space="preserve">12. Diseño de interfaz y experiencia</w:t>
      </w:r>
    </w:p>
    <w:p>
      <w:pPr/>
      <w:r>
        <w:t xml:space="preserve">La interfaz cambia de tema según el rol: cálida y con botones grandes para el caficultor, limpia y con fotos protagonistas para el comprador. Ambos temas se definen con variables CSS en las clases </w:t>
      </w:r>
      <w:r>
        <w:rPr>
          <w:rStyle w:val="CodeChar"/>
        </w:rPr>
        <w:t xml:space="preserve">.role-farmer</w:t>
      </w:r>
      <w:r>
        <w:t xml:space="preserve"> y </w:t>
      </w:r>
      <w:r>
        <w:rPr>
          <w:rStyle w:val="CodeChar"/>
        </w:rPr>
        <w:t xml:space="preserve">.role-buyer</w:t>
      </w:r>
      <w:r>
        <w:t xml:space="preserve">, y el cambio se anima en 0,4 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7"/>
        <w:gridCol w:w="2952"/>
        <w:gridCol w:w="3401"/>
      </w:tblGrid>
      <w:tr>
        <w:trPr>
          <w:tblHeader/>
        </w:trPr>
        <w:tc>
          <w:tcPr>
            <w:tcW w:w="3007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2952" w:type="dxa"/>
            <w:shd w:val="clear" w:color="auto" w:fill="F2F2F2"/>
          </w:tcPr>
          <w:p>
            <w:pPr/>
            <w:r>
              <w:t xml:space="preserve">Caficultor</w:t>
            </w:r>
          </w:p>
        </w:tc>
        <w:tc>
          <w:tcPr>
            <w:tcW w:w="3401" w:type="dxa"/>
            <w:shd w:val="clear" w:color="auto" w:fill="F2F2F2"/>
          </w:tcPr>
          <w:p>
            <w:pPr/>
            <w:r>
              <w:t xml:space="preserve">Comprador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Fondo / superficie</w:t>
            </w:r>
          </w:p>
        </w:tc>
        <w:tc>
          <w:tcPr>
            <w:tcW w:w="2952" w:type="dxa"/>
          </w:tcPr>
          <w:p>
            <w:pPr/>
            <w:r>
              <w:t xml:space="preserve">Crema </w:t>
            </w:r>
            <w:r>
              <w:rPr>
                <w:rStyle w:val="CodeChar"/>
              </w:rPr>
              <w:t xml:space="preserve">#F5EDE0</w:t>
            </w:r>
            <w:r>
              <w:t xml:space="preserve"> / </w:t>
            </w:r>
            <w:r>
              <w:rPr>
                <w:rStyle w:val="CodeChar"/>
              </w:rPr>
              <w:t xml:space="preserve">#FFFBF4</w:t>
            </w:r>
          </w:p>
        </w:tc>
        <w:tc>
          <w:tcPr>
            <w:tcW w:w="3401" w:type="dxa"/>
          </w:tcPr>
          <w:p>
            <w:pPr/>
            <w:r>
              <w:t xml:space="preserve">Blanco hueso </w:t>
            </w:r>
            <w:r>
              <w:rPr>
                <w:rStyle w:val="CodeChar"/>
              </w:rPr>
              <w:t xml:space="preserve">#F7F6F3</w:t>
            </w:r>
            <w:r>
              <w:t xml:space="preserve"> / </w:t>
            </w:r>
            <w:r>
              <w:rPr>
                <w:rStyle w:val="CodeChar"/>
              </w:rPr>
              <w:t xml:space="preserve">#FFFFFF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Color principal</w:t>
            </w:r>
          </w:p>
        </w:tc>
        <w:tc>
          <w:tcPr>
            <w:tcW w:w="2952" w:type="dxa"/>
          </w:tcPr>
          <w:p>
            <w:pPr/>
            <w:r>
              <w:t xml:space="preserve">Café </w:t>
            </w:r>
            <w:r>
              <w:rPr>
                <w:rStyle w:val="CodeChar"/>
              </w:rPr>
              <w:t xml:space="preserve">#5B3A29</w:t>
            </w:r>
          </w:p>
        </w:tc>
        <w:tc>
          <w:tcPr>
            <w:tcW w:w="3401" w:type="dxa"/>
          </w:tcPr>
          <w:p>
            <w:pPr/>
            <w:r>
              <w:t xml:space="preserve">Casi negro </w:t>
            </w:r>
            <w:r>
              <w:rPr>
                <w:rStyle w:val="CodeChar"/>
              </w:rPr>
              <w:t xml:space="preserve">#1F1A16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Acento</w:t>
            </w:r>
          </w:p>
        </w:tc>
        <w:tc>
          <w:tcPr>
            <w:tcW w:w="2952" w:type="dxa"/>
          </w:tcPr>
          <w:p>
            <w:pPr/>
            <w:r>
              <w:t xml:space="preserve">Verde cafetal </w:t>
            </w:r>
            <w:r>
              <w:rPr>
                <w:rStyle w:val="CodeChar"/>
              </w:rPr>
              <w:t xml:space="preserve">#3E7B4F</w:t>
            </w:r>
          </w:p>
        </w:tc>
        <w:tc>
          <w:tcPr>
            <w:tcW w:w="3401" w:type="dxa"/>
          </w:tcPr>
          <w:p>
            <w:pPr/>
            <w:r>
              <w:t xml:space="preserve">Verde </w:t>
            </w:r>
            <w:r>
              <w:rPr>
                <w:rStyle w:val="CodeChar"/>
              </w:rPr>
              <w:t xml:space="preserve">#2F6B4F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Tipografía de interfaz</w:t>
            </w:r>
          </w:p>
        </w:tc>
        <w:tc>
          <w:tcPr>
            <w:tcW w:w="2952" w:type="dxa"/>
          </w:tcPr>
          <w:p>
            <w:pPr/>
            <w:r>
              <w:t xml:space="preserve">Nunito, 17 px</w:t>
            </w:r>
          </w:p>
        </w:tc>
        <w:tc>
          <w:tcPr>
            <w:tcW w:w="3401" w:type="dxa"/>
          </w:tcPr>
          <w:p>
            <w:pPr/>
            <w:r>
              <w:t xml:space="preserve">Inter, 15 px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Tipografía de títulos</w:t>
            </w:r>
          </w:p>
        </w:tc>
        <w:tc>
          <w:tcPr>
            <w:tcW w:w="2952" w:type="dxa"/>
          </w:tcPr>
          <w:p>
            <w:pPr/>
            <w:r>
              <w:t xml:space="preserve">Fraunces</w:t>
            </w:r>
          </w:p>
        </w:tc>
        <w:tc>
          <w:tcPr>
            <w:tcW w:w="3401" w:type="dxa"/>
          </w:tcPr>
          <w:p>
            <w:pPr/>
            <w:r>
              <w:t xml:space="preserve">Fraunces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Altura de botón</w:t>
            </w:r>
          </w:p>
        </w:tc>
        <w:tc>
          <w:tcPr>
            <w:tcW w:w="2952" w:type="dxa"/>
          </w:tcPr>
          <w:p>
            <w:pPr/>
            <w:r>
              <w:t xml:space="preserve">56 px</w:t>
            </w:r>
          </w:p>
        </w:tc>
        <w:tc>
          <w:tcPr>
            <w:tcW w:w="3401" w:type="dxa"/>
          </w:tcPr>
          <w:p>
            <w:pPr/>
            <w:r>
              <w:t xml:space="preserve">48 px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Radio de esquinas</w:t>
            </w:r>
          </w:p>
        </w:tc>
        <w:tc>
          <w:tcPr>
            <w:tcW w:w="2952" w:type="dxa"/>
          </w:tcPr>
          <w:p>
            <w:pPr/>
            <w:r>
              <w:t xml:space="preserve">20 px</w:t>
            </w:r>
          </w:p>
        </w:tc>
        <w:tc>
          <w:tcPr>
            <w:tcW w:w="3401" w:type="dxa"/>
          </w:tcPr>
          <w:p>
            <w:pPr/>
            <w:r>
              <w:t xml:space="preserve">16 px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Íconos de la barra inferior</w:t>
            </w:r>
          </w:p>
        </w:tc>
        <w:tc>
          <w:tcPr>
            <w:tcW w:w="2952" w:type="dxa"/>
          </w:tcPr>
          <w:p>
            <w:pPr/>
            <w:r>
              <w:t xml:space="preserve">26 px</w:t>
            </w:r>
          </w:p>
        </w:tc>
        <w:tc>
          <w:tcPr>
            <w:tcW w:w="3401" w:type="dxa"/>
          </w:tcPr>
          <w:p>
            <w:pPr/>
            <w:r>
              <w:t xml:space="preserve">23 px</w:t>
            </w:r>
          </w:p>
        </w:tc>
      </w:tr>
    </w:tbl>
    <w:p>
      <w:pPr>
        <w:pStyle w:val="Heading3"/>
      </w:pPr>
      <w:r>
        <w:t xml:space="preserve">Pensado para baja alfabetización digital</w:t>
      </w:r>
    </w:p>
    <w:p>
      <w:pPr>
        <w:pStyle w:val="ListParagraph"/>
        <w:numPr>
          <w:ilvl w:val="0"/>
          <w:numId w:val="11"/>
        </w:numPr>
      </w:pPr>
      <w:r>
        <w:t xml:space="preserve">Botones de 56 px o más, micrófono de 60 px y controles − / + de 56 px en lugar de teclear números.</w:t>
      </w:r>
    </w:p>
    <w:p>
      <w:pPr>
        <w:pStyle w:val="ListParagraph"/>
        <w:numPr>
          <w:ilvl w:val="0"/>
          <w:numId w:val="11"/>
        </w:numPr>
      </w:pPr>
      <w:r>
        <w:t xml:space="preserve">Emojis e íconos junto al texto: 💧 Lavado, 🍯 Honey, 🍒 Natural, 📦 plantillas.</w:t>
      </w:r>
    </w:p>
    <w:p>
      <w:pPr>
        <w:pStyle w:val="ListParagraph"/>
        <w:numPr>
          <w:ilvl w:val="0"/>
          <w:numId w:val="11"/>
        </w:numPr>
      </w:pPr>
      <w:r>
        <w:t xml:space="preserve">Formulario de publicación en pasos numerados del 1 al 5, con datos precargados.</w:t>
      </w:r>
    </w:p>
    <w:p>
      <w:pPr>
        <w:pStyle w:val="ListParagraph"/>
        <w:numPr>
          <w:ilvl w:val="0"/>
          <w:numId w:val="11"/>
        </w:numPr>
      </w:pPr>
      <w:r>
        <w:t xml:space="preserve">Acciones principales siempre visibles: “Enviar precio”, “Frases” y “Foto” sobre el teclado del chat.</w:t>
      </w:r>
    </w:p>
    <w:p>
      <w:pPr>
        <w:pStyle w:val="ListParagraph"/>
        <w:numPr>
          <w:ilvl w:val="0"/>
          <w:numId w:val="11"/>
        </w:numPr>
      </w:pPr>
      <w:r>
        <w:t xml:space="preserve">La traducción del mensaje ajeno se muestra más grande y en negrita que el original.</w:t>
      </w:r>
    </w:p>
    <w:p>
      <w:pPr>
        <w:pStyle w:val="Heading3"/>
      </w:pPr>
      <w:r>
        <w:t xml:space="preserve">Formato de presentación y responsive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Escritorio:</w:t>
      </w:r>
      <w:r>
        <w:t xml:space="preserve"> marco de celular de 390 × 844 px (la altura se reduce si la ventana es más baja), centrado, con el panel de demo de 290 px a la derecha.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Pantallas de 760 px o menos:</w:t>
      </w:r>
      <w:r>
        <w:t xml:space="preserve"> la app ocupa toda la pantalla, se ocultan la barra de estado falsa y la muesca, se respeta el área segura y el panel se abre desde una pestaña “Demo” en el borde derecho.</w:t>
      </w:r>
    </w:p>
    <w:p>
      <w:pPr>
        <w:pStyle w:val="Heading3"/>
      </w:pPr>
      <w:r>
        <w:t xml:space="preserve">Animaciones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0"/>
        <w:gridCol w:w="4684"/>
        <w:gridCol w:w="1306"/>
      </w:tblGrid>
      <w:tr>
        <w:trPr>
          <w:tblHeader/>
        </w:trPr>
        <w:tc>
          <w:tcPr>
            <w:tcW w:w="3370" w:type="dxa"/>
            <w:shd w:val="clear" w:color="auto" w:fill="F2F2F2"/>
          </w:tcPr>
          <w:p>
            <w:pPr/>
            <w:r>
              <w:t xml:space="preserve">Animación</w:t>
            </w:r>
          </w:p>
        </w:tc>
        <w:tc>
          <w:tcPr>
            <w:tcW w:w="4684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Duración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screenIn</w:t>
            </w:r>
            <w:r>
              <w:t xml:space="preserve"> (deslizar y aparecer)</w:t>
            </w:r>
          </w:p>
        </w:tc>
        <w:tc>
          <w:tcPr>
            <w:tcW w:w="4684" w:type="dxa"/>
          </w:tcPr>
          <w:p>
            <w:pPr/>
            <w:r>
              <w:t xml:space="preserve">Cambio de pantalla</w:t>
            </w:r>
          </w:p>
        </w:tc>
        <w:tc>
          <w:tcPr>
            <w:tcW w:w="1306" w:type="dxa"/>
          </w:tcPr>
          <w:p>
            <w:pPr/>
            <w:r>
              <w:t xml:space="preserve">0,32 s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sheetUp</w:t>
            </w:r>
          </w:p>
        </w:tc>
        <w:tc>
          <w:tcPr>
            <w:tcW w:w="4684" w:type="dxa"/>
          </w:tcPr>
          <w:p>
            <w:pPr/>
            <w:r>
              <w:t xml:space="preserve">Hojas inferiores</w:t>
            </w:r>
          </w:p>
        </w:tc>
        <w:tc>
          <w:tcPr>
            <w:tcW w:w="1306" w:type="dxa"/>
          </w:tcPr>
          <w:p>
            <w:pPr/>
            <w:r>
              <w:t xml:space="preserve">0,32 s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msgIn</w:t>
            </w:r>
          </w:p>
        </w:tc>
        <w:tc>
          <w:tcPr>
            <w:tcW w:w="4684" w:type="dxa"/>
          </w:tcPr>
          <w:p>
            <w:pPr/>
            <w:r>
              <w:t xml:space="preserve">Mensaje nuevo</w:t>
            </w:r>
          </w:p>
        </w:tc>
        <w:tc>
          <w:tcPr>
            <w:tcW w:w="1306" w:type="dxa"/>
          </w:tcPr>
          <w:p>
            <w:pPr/>
            <w:r>
              <w:t xml:space="preserve">0,3 s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popIn</w:t>
            </w:r>
          </w:p>
        </w:tc>
        <w:tc>
          <w:tcPr>
            <w:tcW w:w="4684" w:type="dxa"/>
          </w:tcPr>
          <w:p>
            <w:pPr/>
            <w:r>
              <w:t xml:space="preserve">Acuerdo registrado, insignias, verificación</w:t>
            </w:r>
          </w:p>
        </w:tc>
        <w:tc>
          <w:tcPr>
            <w:tcW w:w="1306" w:type="dxa"/>
          </w:tcPr>
          <w:p>
            <w:pPr/>
            <w:r>
              <w:t xml:space="preserve">0,3–0,45 s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recPulse</w:t>
            </w:r>
            <w:r>
              <w:t xml:space="preserve">, </w:t>
            </w:r>
            <w:r>
              <w:rPr>
                <w:rStyle w:val="CodeChar"/>
              </w:rPr>
              <w:t xml:space="preserve">wave</w:t>
            </w:r>
          </w:p>
        </w:tc>
        <w:tc>
          <w:tcPr>
            <w:tcW w:w="4684" w:type="dxa"/>
          </w:tcPr>
          <w:p>
            <w:pPr/>
            <w:r>
              <w:t xml:space="preserve">Grabación de voz</w:t>
            </w:r>
          </w:p>
        </w:tc>
        <w:tc>
          <w:tcPr>
            <w:tcW w:w="1306" w:type="dxa"/>
          </w:tcPr>
          <w:p>
            <w:pPr/>
            <w:r>
              <w:t xml:space="preserve">continuas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bounce</w:t>
            </w:r>
          </w:p>
        </w:tc>
        <w:tc>
          <w:tcPr>
            <w:tcW w:w="4684" w:type="dxa"/>
          </w:tcPr>
          <w:p>
            <w:pPr/>
            <w:r>
              <w:t xml:space="preserve">“Escribiendo…”</w:t>
            </w:r>
          </w:p>
        </w:tc>
        <w:tc>
          <w:tcPr>
            <w:tcW w:w="1306" w:type="dxa"/>
          </w:tcPr>
          <w:p>
            <w:pPr/>
            <w:r>
              <w:t xml:space="preserve">continua</w:t>
            </w:r>
          </w:p>
        </w:tc>
      </w:tr>
      <w:tr>
        <w:tc>
          <w:tcPr>
            <w:tcW w:w="3370" w:type="dxa"/>
          </w:tcPr>
          <w:p>
            <w:pPr/>
            <w:r>
              <w:rPr>
                <w:rStyle w:val="CodeChar"/>
              </w:rPr>
              <w:t xml:space="preserve">spin</w:t>
            </w:r>
          </w:p>
        </w:tc>
        <w:tc>
          <w:tcPr>
            <w:tcW w:w="4684" w:type="dxa"/>
          </w:tcPr>
          <w:p>
            <w:pPr/>
            <w:r>
              <w:t xml:space="preserve">Sincronización</w:t>
            </w:r>
          </w:p>
        </w:tc>
        <w:tc>
          <w:tcPr>
            <w:tcW w:w="1306" w:type="dxa"/>
          </w:tcPr>
          <w:p>
            <w:pPr/>
            <w:r>
              <w:t xml:space="preserve">continua</w:t>
            </w:r>
          </w:p>
        </w:tc>
      </w:tr>
    </w:tbl>
    <w:p>
      <w:pPr>
        <w:pStyle w:val="Heading3"/>
      </w:pPr>
      <w:r>
        <w:t xml:space="preserve">Accesibilidad</w:t>
      </w:r>
    </w:p>
    <w:p>
      <w:pPr>
        <w:pStyle w:val="ListParagraph"/>
        <w:numPr>
          <w:ilvl w:val="0"/>
          <w:numId w:val="13"/>
        </w:numPr>
      </w:pPr>
      <w:r>
        <w:t xml:space="preserve">Botones de solo ícono con </w:t>
      </w:r>
      <w:r>
        <w:rPr>
          <w:rStyle w:val="CodeChar"/>
        </w:rPr>
        <w:t xml:space="preserve">aria-label</w:t>
      </w:r>
      <w:r>
        <w:t xml:space="preserve">; las hojas inferiores con </w:t>
      </w:r>
      <w:r>
        <w:rPr>
          <w:rStyle w:val="CodeChar"/>
        </w:rPr>
        <w:t xml:space="preserve">role="dialog"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Las estrellas indican su valor con </w:t>
      </w:r>
      <w:r>
        <w:rPr>
          <w:rStyle w:val="CodeChar"/>
        </w:rPr>
        <w:t xml:space="preserve">aria-label</w:t>
      </w:r>
      <w:r>
        <w:t xml:space="preserve"> (por ejemplo, “4.8 / 5”).</w:t>
      </w:r>
    </w:p>
    <w:p>
      <w:pPr>
        <w:pStyle w:val="ListParagraph"/>
        <w:numPr>
          <w:ilvl w:val="0"/>
          <w:numId w:val="13"/>
        </w:numPr>
      </w:pPr>
      <w:r>
        <w:t xml:space="preserve">Si una imagen no carga, se muestra un respaldo con </w:t>
      </w:r>
      <w:r>
        <w:rPr>
          <w:rStyle w:val="CodeChar"/>
        </w:rPr>
        <w:t xml:space="preserve">role="img"</w:t>
      </w:r>
      <w:r>
        <w:t xml:space="preserve"> y su texto alternativo.</w:t>
      </w:r>
    </w:p>
    <w:p>
      <w:pPr>
        <w:pStyle w:val="ListParagraph"/>
        <w:numPr>
          <w:ilvl w:val="0"/>
          <w:numId w:val="13"/>
        </w:numPr>
      </w:pPr>
      <w:r>
        <w:t xml:space="preserve">Pendiente: contraste verificado con herramientas WCAG, navegación completa por teclado y respeto de </w:t>
      </w:r>
      <w:r>
        <w:rPr>
          <w:rStyle w:val="CodeChar"/>
        </w:rPr>
        <w:t xml:space="preserve">prefers-reduced-motion</w:t>
      </w:r>
      <w:r>
        <w:t xml:space="preserve">.</w:t>
      </w:r>
    </w:p>
    <w:p>
      <w:pPr>
        <w:pStyle w:val="Heading2"/>
      </w:pPr>
      <w:r>
        <w:t xml:space="preserve">13. Instalación, ejecución y despliegue</w:t>
      </w:r>
    </w:p>
    <w:p>
      <w:pPr/>
      <w:r>
        <w:t xml:space="preserve">Se necesita Node.js 18 o superior (probado con 22.14.0) y conexión a internet para las fuentes y las fotos. La carpeta </w:t>
      </w:r>
      <w:r>
        <w:rPr>
          <w:rStyle w:val="CodeChar"/>
        </w:rPr>
        <w:t xml:space="preserve">CafeDirecto_Demo</w:t>
      </w:r>
      <w:r>
        <w:t xml:space="preserve"> ya incluye </w:t>
      </w:r>
      <w:r>
        <w:rPr>
          <w:rStyle w:val="CodeChar"/>
        </w:rPr>
        <w:t xml:space="preserve">node_modules</w:t>
      </w:r>
      <w:r>
        <w:t xml:space="preserve">, así que </w:t>
      </w:r>
      <w:r>
        <w:rPr>
          <w:rStyle w:val="CodeChar"/>
        </w:rPr>
        <w:t xml:space="preserve">npm install</w:t>
      </w:r>
      <w:r>
        <w:t xml:space="preserve"> solo hace falta en un equipo nuevo.</w:t>
      </w:r>
    </w:p>
    <w:p>
      <w:pPr>
        <w:pStyle w:val="Heading3"/>
      </w:pPr>
      <w:r>
        <w:t xml:space="preserve">Ejecutar en desarrollo</w:t>
      </w:r>
    </w:p>
    <w:p>
      <w:pPr>
        <w:pStyle w:val="ListParagraph"/>
        <w:numPr>
          <w:ilvl w:val="0"/>
          <w:numId w:val="14"/>
        </w:numPr>
      </w:pPr>
      <w:r>
        <w:t xml:space="preserve">Abrir la carpeta </w:t>
      </w:r>
      <w:r>
        <w:rPr>
          <w:rStyle w:val="CodeChar"/>
        </w:rPr>
        <w:t xml:space="preserve">CafeDirecto_Demo</w:t>
      </w:r>
      <w:r>
        <w:t xml:space="preserve"> en Visual Studio Code (</w:t>
      </w:r>
      <w:r>
        <w:rPr>
          <w:b/>
        </w:rPr>
        <w:t xml:space="preserve">File → Open Folder…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Abrir la terminal (</w:t>
      </w:r>
      <w:r>
        <w:rPr>
          <w:b/>
        </w:rPr>
        <w:t xml:space="preserve">Terminal → New Terminal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Solo la primera vez en un equipo nuevo: </w:t>
      </w:r>
      <w:r>
        <w:rPr>
          <w:rStyle w:val="CodeChar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Ejecutar </w:t>
      </w:r>
      <w:r>
        <w:rPr>
          <w:rStyle w:val="CodeChar"/>
        </w:rPr>
        <w:t xml:space="preserve">npm run dev</w:t>
      </w:r>
      <w:r>
        <w:t xml:space="preserve"> y abrir </w:t>
      </w:r>
      <w:r>
        <w:rPr>
          <w:rStyle w:val="CodeChar"/>
        </w:rPr>
        <w:t xml:space="preserve">http://localhost:5173</w:t>
      </w:r>
      <w:r>
        <w:t xml:space="preserve">. Si el puerto está ocupado, Vite usa el siguiente libre (5174, …).</w:t>
      </w:r>
    </w:p>
    <w:p>
      <w:pPr>
        <w:pStyle w:val="ListParagraph"/>
        <w:numPr>
          <w:ilvl w:val="0"/>
          <w:numId w:val="14"/>
        </w:numPr>
      </w:pPr>
      <w:r>
        <w:t xml:space="preserve">Detener con </w:t>
      </w:r>
      <w:r>
        <w:rPr>
          <w:b/>
        </w:rPr>
        <w:t xml:space="preserve">Ctrl + C</w:t>
      </w:r>
      <w:r>
        <w:t xml:space="preserve">.</w:t>
      </w:r>
    </w:p>
    <w:p>
      <w:pPr>
        <w:pStyle w:val="Heading3"/>
      </w:pPr>
      <w:r>
        <w:t xml:space="preserve">Abrir desde un celular en la misma red wifi</w:t>
      </w:r>
    </w:p>
    <w:p>
      <w:pPr>
        <w:pStyle w:val="ListParagraph"/>
        <w:numPr>
          <w:ilvl w:val="0"/>
          <w:numId w:val="15"/>
        </w:numPr>
      </w:pPr>
      <w:r>
        <w:t xml:space="preserve">Ejecutar </w:t>
      </w:r>
      <w:r>
        <w:rPr>
          <w:rStyle w:val="CodeChar"/>
        </w:rPr>
        <w:t xml:space="preserve">npm run dev -- --host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En el celular, abrir la dirección </w:t>
      </w:r>
      <w:r>
        <w:rPr>
          <w:rStyle w:val="CodeChar"/>
        </w:rPr>
        <w:t xml:space="preserve">Network: http://192.168.x.x:5173</w:t>
      </w:r>
      <w:r>
        <w:t xml:space="preserve"> que muestra la terminal.</w:t>
      </w:r>
    </w:p>
    <w:p>
      <w:pPr>
        <w:pStyle w:val="ListParagraph"/>
        <w:numPr>
          <w:ilvl w:val="0"/>
          <w:numId w:val="15"/>
        </w:numPr>
      </w:pPr>
      <w:r>
        <w:t xml:space="preserve">Si no carga, permitir Node.js en el Firewall de Windows para redes privadas.</w:t>
      </w:r>
    </w:p>
    <w:p>
      <w:pPr>
        <w:pStyle w:val="Heading3"/>
      </w:pPr>
      <w:r>
        <w:t xml:space="preserve">Compilar y publicar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npm run build</w:t>
      </w:r>
      <w:r>
        <w:t xml:space="preserve"> genera la carpeta </w:t>
      </w:r>
      <w:r>
        <w:rPr>
          <w:rStyle w:val="CodeChar"/>
        </w:rPr>
        <w:t xml:space="preserve">dist/</w:t>
      </w:r>
      <w:r>
        <w:t xml:space="preserve"> con archivos estáticos.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npm run preview</w:t>
      </w:r>
      <w:r>
        <w:t xml:space="preserve"> la sirve en local para comprobarla.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dist/</w:t>
      </w:r>
      <w:r>
        <w:t xml:space="preserve"> se puede publicar en cualquier hosting estático (Netlify, Vercel, GitHub Pages). Como la app usa </w:t>
      </w:r>
      <w:r>
        <w:rPr>
          <w:rStyle w:val="CodeChar"/>
        </w:rPr>
        <w:t xml:space="preserve">HashRouter</w:t>
      </w:r>
      <w:r>
        <w:t xml:space="preserve">, no hace falta configurar reescrituras de rutas en el servidor.</w:t>
      </w:r>
    </w:p>
    <w:p>
      <w:pPr>
        <w:pStyle w:val="Heading3"/>
      </w:pPr>
      <w:r>
        <w:t xml:space="preserve">Reiniciar los datos</w:t>
      </w:r>
    </w:p>
    <w:p>
      <w:pPr/>
      <w:r>
        <w:t xml:space="preserve">El estado queda en el </w:t>
      </w:r>
      <w:r>
        <w:rPr>
          <w:rStyle w:val="CodeChar"/>
        </w:rPr>
        <w:t xml:space="preserve">localStorage</w:t>
      </w:r>
      <w:r>
        <w:t xml:space="preserve"> de cada navegador. Para volver a los datos de ejemplo se usa el botón </w:t>
      </w:r>
      <w:r>
        <w:rPr>
          <w:b/>
        </w:rPr>
        <w:t xml:space="preserve">Reiniciar datos</w:t>
      </w:r>
      <w:r>
        <w:t xml:space="preserve"> del panel de demo. Si se cambia la estructura de la semilla, hay que subir </w:t>
      </w:r>
      <w:r>
        <w:rPr>
          <w:rStyle w:val="CodeChar"/>
        </w:rPr>
        <w:t xml:space="preserve">SEED_VERSION</w:t>
      </w:r>
      <w:r>
        <w:t xml:space="preserve"> en </w:t>
      </w:r>
      <w:r>
        <w:rPr>
          <w:rStyle w:val="CodeChar"/>
        </w:rPr>
        <w:t xml:space="preserve">seed.js</w:t>
      </w:r>
      <w:r>
        <w:t xml:space="preserve"> para que los navegadores descarten el estado viejo.</w:t>
      </w:r>
    </w:p>
    <w:p>
      <w:pPr>
        <w:pStyle w:val="Heading2"/>
      </w:pPr>
      <w:r>
        <w:t xml:space="preserve">14. Pruebas, limitaciones y supuestos</w:t>
      </w:r>
    </w:p>
    <w:p>
      <w:pPr/>
      <w:r>
        <w:t xml:space="preserve">La demo se probó a mano en el navegador el 19 de octubre de 2026: todos los flujos funcionaron y no hubo errores en la consola. No tiene pruebas automatizadas.</w:t>
      </w:r>
    </w:p>
    <w:p>
      <w:pPr>
        <w:pStyle w:val="Heading3"/>
      </w:pPr>
      <w:r>
        <w:t xml:space="preserve">Pruebas manuales realizadas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39"/>
        <w:gridCol w:w="4521"/>
      </w:tblGrid>
      <w:tr>
        <w:trPr>
          <w:tblHeader/>
        </w:trPr>
        <w:tc>
          <w:tcPr>
            <w:tcW w:w="4839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4521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Compilación de producción (</w:t>
            </w:r>
            <w:r>
              <w:rPr>
                <w:rStyle w:val="CodeChar"/>
              </w:rPr>
              <w:t xml:space="preserve">vite build</w:t>
            </w:r>
            <w:r>
              <w:t xml:space="preserve">)</w:t>
            </w:r>
          </w:p>
        </w:tc>
        <w:tc>
          <w:tcPr>
            <w:tcW w:w="4521" w:type="dxa"/>
          </w:tcPr>
          <w:p>
            <w:pPr/>
            <w:r>
              <w:t xml:space="preserve">Sin errores ni advertencias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Carga de las 26 fotos de Unsplash</w:t>
            </w:r>
          </w:p>
        </w:tc>
        <w:tc>
          <w:tcPr>
            <w:tcW w:w="4521" w:type="dxa"/>
          </w:tcPr>
          <w:p>
            <w:pPr/>
            <w:r>
              <w:t xml:space="preserve">Las 26 respondieron HTTP 200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Onboarding del comprador hasta Explorar</w:t>
            </w:r>
          </w:p>
        </w:tc>
        <w:tc>
          <w:tcPr>
            <w:tcW w:w="4521" w:type="dxa"/>
          </w:tcPr>
          <w:p>
            <w:pPr/>
            <w:r>
              <w:t xml:space="preserve">Correcto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Contactar desde un lote y enviar plantillas y texto libre</w:t>
            </w:r>
          </w:p>
        </w:tc>
        <w:tc>
          <w:tcPr>
            <w:tcW w:w="4521" w:type="dxa"/>
          </w:tcPr>
          <w:p>
            <w:pPr/>
            <w:r>
              <w:t xml:space="preserve">Correcto; el texto libre sale marcado “aprox.”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Cambio de rol dentro del chat Berlín ↔ Huila</w:t>
            </w:r>
          </w:p>
        </w:tc>
        <w:tc>
          <w:tcPr>
            <w:tcW w:w="4521" w:type="dxa"/>
          </w:tcPr>
          <w:p>
            <w:pPr/>
            <w:r>
              <w:t xml:space="preserve">Se queda en el chat y cambia a español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Nota de voz del caficultor</w:t>
            </w:r>
          </w:p>
        </w:tc>
        <w:tc>
          <w:tcPr>
            <w:tcW w:w="4521" w:type="dxa"/>
          </w:tcPr>
          <w:p>
            <w:pPr/>
            <w:r>
              <w:t xml:space="preserve">Transcripción y traducción tras 1,8 s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Cotización → contraoferta → aceptación → confirmación</w:t>
            </w:r>
          </w:p>
        </w:tc>
        <w:tc>
          <w:tcPr>
            <w:tcW w:w="4521" w:type="dxa"/>
          </w:tcPr>
          <w:p>
            <w:pPr/>
            <w:r>
              <w:t xml:space="preserve">Acuerdo </w:t>
            </w:r>
            <w:r>
              <w:rPr>
                <w:rStyle w:val="CodeChar"/>
              </w:rPr>
              <w:t xml:space="preserve">CD-2026-0104</w:t>
            </w:r>
            <w:r>
              <w:t xml:space="preserve"> creado y visible para ambos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Avance del pedido hasta Entregado y calificación de ambas partes</w:t>
            </w:r>
          </w:p>
        </w:tc>
        <w:tc>
          <w:tcPr>
            <w:tcW w:w="4521" w:type="dxa"/>
          </w:tcPr>
          <w:p>
            <w:pPr/>
            <w:r>
              <w:t xml:space="preserve">Correcto; la reputación sube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Sin conexión: aceptar una cotización y reconectar</w:t>
            </w:r>
          </w:p>
        </w:tc>
        <w:tc>
          <w:tcPr>
            <w:tcW w:w="4521" w:type="dxa"/>
          </w:tcPr>
          <w:p>
            <w:pPr/>
            <w:r>
              <w:t xml:space="preserve">Queda pendiente, se sincroniza y la respuesta automática crea el acuerdo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Publicar un lote con precio por carga</w:t>
            </w:r>
          </w:p>
        </w:tc>
        <w:tc>
          <w:tcPr>
            <w:tcW w:w="4521" w:type="dxa"/>
          </w:tcPr>
          <w:p>
            <w:pPr/>
            <w:r>
              <w:t xml:space="preserve">Aparece primero en el catálogo con la marca “NEW”</w:t>
            </w:r>
          </w:p>
        </w:tc>
      </w:tr>
      <w:tr>
        <w:tc>
          <w:tcPr>
            <w:tcW w:w="4839" w:type="dxa"/>
          </w:tcPr>
          <w:p>
            <w:pPr/>
            <w:r>
              <w:t xml:space="preserve">Vista móvil 375 × 812</w:t>
            </w:r>
          </w:p>
        </w:tc>
        <w:tc>
          <w:tcPr>
            <w:tcW w:w="4521" w:type="dxa"/>
          </w:tcPr>
          <w:p>
            <w:pPr/>
            <w:r>
              <w:t xml:space="preserve">Pantalla completa y panel lateral “Demo”</w:t>
            </w:r>
          </w:p>
        </w:tc>
      </w:tr>
    </w:tbl>
    <w:p>
      <w:pPr>
        <w:pStyle w:val="Heading3"/>
      </w:pPr>
      <w:r>
        <w:t xml:space="preserve">Limitaciones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Sin backend:</w:t>
      </w:r>
      <w:r>
        <w:t xml:space="preserve"> los datos existen solo en el navegador donde se usan; dos dispositivos no comparten conversaciones.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Traducción:</w:t>
      </w:r>
      <w:r>
        <w:t xml:space="preserve"> fuera de las frases conocidas, la traducción palabra por palabra es pobre.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Voz:</w:t>
      </w:r>
      <w:r>
        <w:t xml:space="preserve"> no graba audio real; la transcripción sale de una lista fija.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Fotos:</w:t>
      </w:r>
      <w:r>
        <w:t xml:space="preserve"> se eligen de una galería de ejemplo; no hay carga de archivos.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Pedidos:</w:t>
      </w:r>
      <w:r>
        <w:t xml:space="preserve"> el estado se avanza con un botón de demo, no con eventos logísticos.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Seguridad:</w:t>
      </w:r>
      <w:r>
        <w:t xml:space="preserve"> no hay autenticación, autorización ni validación del lado del servidor.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Sin conexión:</w:t>
      </w:r>
      <w:r>
        <w:t xml:space="preserve"> se simula con un interruptor; no detecta la red real ni funciona sin internet la primera vez.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Pruebas:</w:t>
      </w:r>
      <w:r>
        <w:t xml:space="preserve"> no hay pruebas unitarias ni de extremo a extremo.</w:t>
      </w:r>
    </w:p>
    <w:p>
      <w:pPr>
        <w:pStyle w:val="Heading3"/>
      </w:pPr>
      <w:r>
        <w:t xml:space="preserve">Supuestos de negocio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89"/>
        <w:gridCol w:w="1868"/>
        <w:gridCol w:w="3702"/>
      </w:tblGrid>
      <w:tr>
        <w:trPr>
          <w:tblHeader/>
        </w:trPr>
        <w:tc>
          <w:tcPr>
            <w:tcW w:w="3789" w:type="dxa"/>
            <w:shd w:val="clear" w:color="auto" w:fill="F2F2F2"/>
          </w:tcPr>
          <w:p>
            <w:pPr/>
            <w:r>
              <w:t xml:space="preserve">Supuesto</w:t>
            </w:r>
          </w:p>
        </w:tc>
        <w:tc>
          <w:tcPr>
            <w:tcW w:w="1868" w:type="dxa"/>
            <w:shd w:val="clear" w:color="auto" w:fill="F2F2F2"/>
          </w:tcPr>
          <w:p>
            <w:pPr/>
            <w:r>
              <w:t xml:space="preserve">Valor usado</w:t>
            </w:r>
          </w:p>
        </w:tc>
        <w:tc>
          <w:tcPr>
            <w:tcW w:w="3702" w:type="dxa"/>
            <w:shd w:val="clear" w:color="auto" w:fill="F2F2F2"/>
          </w:tcPr>
          <w:p>
            <w:pPr/>
            <w:r>
              <w:t xml:space="preserve">Dónde se cambia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Comisión del caficultor por acuerdo</w:t>
            </w:r>
          </w:p>
        </w:tc>
        <w:tc>
          <w:tcPr>
            <w:tcW w:w="1868" w:type="dxa"/>
          </w:tcPr>
          <w:p>
            <w:pPr/>
            <w:r>
              <w:t xml:space="preserve">2 %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src/screens/Fees.jsx</w:t>
            </w:r>
            <w:r>
              <w:t xml:space="preserve"> (</w:t>
            </w:r>
            <w:r>
              <w:rPr>
                <w:rStyle w:val="CodeChar"/>
              </w:rPr>
              <w:t xml:space="preserve">FEES</w:t>
            </w:r>
            <w:r>
              <w:t xml:space="preserve">)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Comisión del comprador por acuerdo</w:t>
            </w:r>
          </w:p>
        </w:tc>
        <w:tc>
          <w:tcPr>
            <w:tcW w:w="1868" w:type="dxa"/>
          </w:tcPr>
          <w:p>
            <w:pPr/>
            <w:r>
              <w:t xml:space="preserve">4 %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src/screens/Fees.jsx</w:t>
            </w:r>
            <w:r>
              <w:t xml:space="preserve"> (</w:t>
            </w:r>
            <w:r>
              <w:rPr>
                <w:rStyle w:val="CodeChar"/>
              </w:rPr>
              <w:t xml:space="preserve">FEES</w:t>
            </w:r>
            <w:r>
              <w:t xml:space="preserve">)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Tasa de cambio de la demo</w:t>
            </w:r>
          </w:p>
        </w:tc>
        <w:tc>
          <w:tcPr>
            <w:tcW w:w="1868" w:type="dxa"/>
          </w:tcPr>
          <w:p>
            <w:pPr/>
            <w:r>
              <w:t xml:space="preserve">3.900 COP/USD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src/utils.js</w:t>
            </w:r>
            <w:r>
              <w:t xml:space="preserve"> (</w:t>
            </w:r>
            <w:r>
              <w:rPr>
                <w:rStyle w:val="CodeChar"/>
              </w:rPr>
              <w:t xml:space="preserve">COP_PER_USD</w:t>
            </w:r>
            <w:r>
              <w:t xml:space="preserve">)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Rendimiento pergamino → verde</w:t>
            </w:r>
          </w:p>
        </w:tc>
        <w:tc>
          <w:tcPr>
            <w:tcW w:w="1868" w:type="dxa"/>
          </w:tcPr>
          <w:p>
            <w:pPr/>
            <w:r>
              <w:t xml:space="preserve">92,8 kg pergamino = 70 kg verde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src/utils.js</w:t>
            </w:r>
            <w:r>
              <w:t xml:space="preserve"> (</w:t>
            </w:r>
            <w:r>
              <w:rPr>
                <w:rStyle w:val="CodeChar"/>
              </w:rPr>
              <w:t xml:space="preserve">LB_GREEN_PER_CARGA</w:t>
            </w:r>
            <w:r>
              <w:t xml:space="preserve">)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Puntaje mínimo para publicar</w:t>
            </w:r>
          </w:p>
        </w:tc>
        <w:tc>
          <w:tcPr>
            <w:tcW w:w="1868" w:type="dxa"/>
          </w:tcPr>
          <w:p>
            <w:pPr/>
            <w:r>
              <w:t xml:space="preserve">80 SCA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src/screens/PublishLot.jsx</w:t>
            </w:r>
          </w:p>
        </w:tc>
      </w:tr>
      <w:tr>
        <w:tc>
          <w:tcPr>
            <w:tcW w:w="3789" w:type="dxa"/>
          </w:tcPr>
          <w:p>
            <w:pPr/>
            <w:r>
              <w:t xml:space="preserve">Condición de entrega por defecto</w:t>
            </w:r>
          </w:p>
        </w:tc>
        <w:tc>
          <w:tcPr>
            <w:tcW w:w="1868" w:type="dxa"/>
          </w:tcPr>
          <w:p>
            <w:pPr/>
            <w:r>
              <w:t xml:space="preserve">FOB Buenaventura</w:t>
            </w:r>
          </w:p>
        </w:tc>
        <w:tc>
          <w:tcPr>
            <w:tcW w:w="3702" w:type="dxa"/>
          </w:tcPr>
          <w:p>
            <w:pPr/>
            <w:r>
              <w:rPr>
                <w:rStyle w:val="CodeChar"/>
              </w:rPr>
              <w:t xml:space="preserve">src/screens/ChatRoom.jsx</w:t>
            </w:r>
          </w:p>
        </w:tc>
      </w:tr>
    </w:tbl>
    <w:p>
      <w:pPr>
        <w:pStyle w:val="Heading2"/>
      </w:pPr>
      <w:r>
        <w:t xml:space="preserve">15. Hoja de ruta hacia producción</w:t>
      </w:r>
    </w:p>
    <w:p>
      <w:pPr/>
      <w:r>
        <w:t xml:space="preserve">Para llevar la demo a producción, el cambio principal es reemplazar </w:t>
      </w:r>
      <w:r>
        <w:rPr>
          <w:rStyle w:val="CodeChar"/>
        </w:rPr>
        <w:t xml:space="preserve">AppContext</w:t>
      </w:r>
      <w:r>
        <w:t xml:space="preserve"> y </w:t>
      </w:r>
      <w:r>
        <w:rPr>
          <w:rStyle w:val="CodeChar"/>
        </w:rPr>
        <w:t xml:space="preserve">data/</w:t>
      </w:r>
      <w:r>
        <w:t xml:space="preserve"> por un cliente de API. Las pantallas y los componentes pueden quedarse casi iguales, porque ya solo hablan con el estado a través de </w:t>
      </w:r>
      <w:r>
        <w:rPr>
          <w:rStyle w:val="CodeChar"/>
        </w:rPr>
        <w:t xml:space="preserve">useApp()</w:t>
      </w:r>
      <w:r>
        <w:t xml:space="preserve">.</w:t>
      </w:r>
    </w:p>
    <w:p>
      <w:pPr>
        <w:pStyle w:val="Heading3"/>
      </w:pPr>
      <w:r>
        <w:t xml:space="preserve">Qué se reemplaza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51"/>
        <w:gridCol w:w="4909"/>
      </w:tblGrid>
      <w:tr>
        <w:trPr>
          <w:tblHeader/>
        </w:trPr>
        <w:tc>
          <w:tcPr>
            <w:tcW w:w="4451" w:type="dxa"/>
            <w:shd w:val="clear" w:color="auto" w:fill="F2F2F2"/>
          </w:tcPr>
          <w:p>
            <w:pPr/>
            <w:r>
              <w:t xml:space="preserve">Hoy (simulado)</w:t>
            </w:r>
          </w:p>
        </w:tc>
        <w:tc>
          <w:tcPr>
            <w:tcW w:w="4909" w:type="dxa"/>
            <w:shd w:val="clear" w:color="auto" w:fill="F2F2F2"/>
          </w:tcPr>
          <w:p>
            <w:pPr/>
            <w:r>
              <w:t xml:space="preserve">En producción (propuesta)</w:t>
            </w:r>
          </w:p>
        </w:tc>
      </w:tr>
      <w:tr>
        <w:tc>
          <w:tcPr>
            <w:tcW w:w="4451" w:type="dxa"/>
          </w:tcPr>
          <w:p>
            <w:pPr/>
            <w:r>
              <w:rPr>
                <w:rStyle w:val="CodeChar"/>
              </w:rPr>
              <w:t xml:space="preserve">localStorage</w:t>
            </w:r>
            <w:r>
              <w:t xml:space="preserve"> y </w:t>
            </w:r>
            <w:r>
              <w:rPr>
                <w:rStyle w:val="CodeChar"/>
              </w:rPr>
              <w:t xml:space="preserve">seed.js</w:t>
            </w:r>
          </w:p>
        </w:tc>
        <w:tc>
          <w:tcPr>
            <w:tcW w:w="4909" w:type="dxa"/>
          </w:tcPr>
          <w:p>
            <w:pPr/>
            <w:r>
              <w:t xml:space="preserve">Base de datos PostgreSQL con API REST o GraphQL (Node.js/NestJS, o Firebase/Supabase para ir más rápido)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Registro precargado y código SMS falso</w:t>
            </w:r>
          </w:p>
        </w:tc>
        <w:tc>
          <w:tcPr>
            <w:tcW w:w="4909" w:type="dxa"/>
          </w:tcPr>
          <w:p>
            <w:pPr/>
            <w:r>
              <w:t xml:space="preserve">Autenticación con OTP por SMS o WhatsApp (caficultor) y correo + verificación de empresa (comprador)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Mensajes en el estado local</w:t>
            </w:r>
          </w:p>
        </w:tc>
        <w:tc>
          <w:tcPr>
            <w:tcW w:w="4909" w:type="dxa"/>
          </w:tcPr>
          <w:p>
            <w:pPr/>
            <w:r>
              <w:t xml:space="preserve">Chat en tiempo real con WebSockets y notificaciones push (FCM / APNs)</w:t>
            </w:r>
          </w:p>
        </w:tc>
      </w:tr>
      <w:tr>
        <w:tc>
          <w:tcPr>
            <w:tcW w:w="4451" w:type="dxa"/>
          </w:tcPr>
          <w:p>
            <w:pPr/>
            <w:r>
              <w:rPr>
                <w:rStyle w:val="CodeChar"/>
              </w:rPr>
              <w:t xml:space="preserve">translate()</w:t>
            </w:r>
            <w:r>
              <w:t xml:space="preserve"> con glosario</w:t>
            </w:r>
          </w:p>
        </w:tc>
        <w:tc>
          <w:tcPr>
            <w:tcW w:w="4909" w:type="dxa"/>
          </w:tcPr>
          <w:p>
            <w:pPr/>
            <w:r>
              <w:t xml:space="preserve">Servicio de traducción automática (DeepL o Google Cloud Translation) con glosario cafetero propio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Lista fija de notas de voz</w:t>
            </w:r>
          </w:p>
        </w:tc>
        <w:tc>
          <w:tcPr>
            <w:tcW w:w="4909" w:type="dxa"/>
          </w:tcPr>
          <w:p>
            <w:pPr/>
            <w:r>
              <w:t xml:space="preserve">Grabación real (MediaRecorder) + transcripción (Whisper u otro servicio de voz a texto)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Galería de fotos de ejemplo</w:t>
            </w:r>
          </w:p>
        </w:tc>
        <w:tc>
          <w:tcPr>
            <w:tcW w:w="4909" w:type="dxa"/>
          </w:tcPr>
          <w:p>
            <w:pPr/>
            <w:r>
              <w:t xml:space="preserve">Carga de archivos a almacenamiento de objetos (S3 o equivalente) con compresión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Interruptor de sin conexión</w:t>
            </w:r>
          </w:p>
        </w:tc>
        <w:tc>
          <w:tcPr>
            <w:tcW w:w="4909" w:type="dxa"/>
          </w:tcPr>
          <w:p>
            <w:pPr/>
            <w:r>
              <w:t xml:space="preserve">Service Worker + IndexedDB con cola de envíos y reintentos (PWA)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Botón “Demo: marcar como…”</w:t>
            </w:r>
          </w:p>
        </w:tc>
        <w:tc>
          <w:tcPr>
            <w:tcW w:w="4909" w:type="dxa"/>
          </w:tcPr>
          <w:p>
            <w:pPr/>
            <w:r>
              <w:t xml:space="preserve">Eventos del exportador o integración logística para cambiar el estado del pedido</w:t>
            </w:r>
          </w:p>
        </w:tc>
      </w:tr>
      <w:tr>
        <w:tc>
          <w:tcPr>
            <w:tcW w:w="4451" w:type="dxa"/>
          </w:tcPr>
          <w:p>
            <w:pPr/>
            <w:r>
              <w:t xml:space="preserve">Verificación de comprador simulada</w:t>
            </w:r>
          </w:p>
        </w:tc>
        <w:tc>
          <w:tcPr>
            <w:tcW w:w="4909" w:type="dxa"/>
          </w:tcPr>
          <w:p>
            <w:pPr/>
            <w:r>
              <w:t xml:space="preserve">Revisión de registro mercantil y referencias, con panel interno de verificación</w:t>
            </w:r>
          </w:p>
        </w:tc>
      </w:tr>
    </w:tbl>
    <w:p>
      <w:pPr>
        <w:pStyle w:val="Heading3"/>
      </w:pPr>
      <w:r>
        <w:t xml:space="preserve">Cambios en el frontend</w:t>
      </w:r>
    </w:p>
    <w:p>
      <w:pPr>
        <w:pStyle w:val="ListParagraph"/>
        <w:numPr>
          <w:ilvl w:val="0"/>
          <w:numId w:val="18"/>
        </w:numPr>
      </w:pPr>
      <w:r>
        <w:t xml:space="preserve">Pasar a una estructura por funcionalidad: </w:t>
      </w:r>
      <w:r>
        <w:rPr>
          <w:rStyle w:val="CodeChar"/>
        </w:rPr>
        <w:t xml:space="preserve">features/auth</w:t>
      </w:r>
      <w:r>
        <w:t xml:space="preserve">, </w:t>
      </w:r>
      <w:r>
        <w:rPr>
          <w:rStyle w:val="CodeChar"/>
        </w:rPr>
        <w:t xml:space="preserve">features/lots</w:t>
      </w:r>
      <w:r>
        <w:t xml:space="preserve">, </w:t>
      </w:r>
      <w:r>
        <w:rPr>
          <w:rStyle w:val="CodeChar"/>
        </w:rPr>
        <w:t xml:space="preserve">features/chat</w:t>
      </w:r>
      <w:r>
        <w:t xml:space="preserve">, </w:t>
      </w:r>
      <w:r>
        <w:rPr>
          <w:rStyle w:val="CodeChar"/>
        </w:rPr>
        <w:t xml:space="preserve">features/quotes</w:t>
      </w:r>
      <w:r>
        <w:t xml:space="preserve">, </w:t>
      </w:r>
      <w:r>
        <w:rPr>
          <w:rStyle w:val="CodeChar"/>
        </w:rPr>
        <w:t xml:space="preserve">features/agreements</w:t>
      </w:r>
      <w:r>
        <w:t xml:space="preserve">, </w:t>
      </w:r>
      <w:r>
        <w:rPr>
          <w:rStyle w:val="CodeChar"/>
        </w:rPr>
        <w:t xml:space="preserve">features/learn</w:t>
      </w:r>
      <w:r>
        <w:t xml:space="preserve">, cada una con pantallas, componentes y servicios.</w:t>
      </w:r>
    </w:p>
    <w:p>
      <w:pPr>
        <w:pStyle w:val="ListParagraph"/>
        <w:numPr>
          <w:ilvl w:val="0"/>
          <w:numId w:val="18"/>
        </w:numPr>
      </w:pPr>
      <w:r>
        <w:t xml:space="preserve">Agregar una capa </w:t>
      </w:r>
      <w:r>
        <w:rPr>
          <w:rStyle w:val="CodeChar"/>
        </w:rPr>
        <w:t xml:space="preserve">services/api</w:t>
      </w:r>
      <w:r>
        <w:t xml:space="preserve"> y una librería de datos remotos (por ejemplo, TanStack Query) para caché, reintentos y estados de carga.</w:t>
      </w:r>
    </w:p>
    <w:p>
      <w:pPr>
        <w:pStyle w:val="ListParagraph"/>
        <w:numPr>
          <w:ilvl w:val="0"/>
          <w:numId w:val="18"/>
        </w:numPr>
      </w:pPr>
      <w:r>
        <w:t xml:space="preserve">Migrar a TypeScript para tipar las entidades de la sección 7.</w:t>
      </w:r>
    </w:p>
    <w:p>
      <w:pPr>
        <w:pStyle w:val="ListParagraph"/>
        <w:numPr>
          <w:ilvl w:val="0"/>
          <w:numId w:val="18"/>
        </w:numPr>
      </w:pPr>
      <w:r>
        <w:t xml:space="preserve">Llevar los textos de la interfaz a archivos de traducción (i18next) en lugar de </w:t>
      </w:r>
      <w:r>
        <w:rPr>
          <w:rStyle w:val="CodeChar"/>
        </w:rPr>
        <w:t xml:space="preserve">tr(es, en)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Empaquetar como app móvil con Capacitor o reescribir en React Native.</w:t>
      </w:r>
    </w:p>
    <w:p>
      <w:pPr>
        <w:pStyle w:val="ListParagraph"/>
        <w:numPr>
          <w:ilvl w:val="0"/>
          <w:numId w:val="18"/>
        </w:numPr>
      </w:pPr>
      <w:r>
        <w:t xml:space="preserve">Agregar pruebas: unitarias con Vitest, de componentes con Testing Library y de extremo a extremo con Playwright.</w:t>
      </w:r>
    </w:p>
    <w:p>
      <w:pPr>
        <w:pStyle w:val="Heading3"/>
      </w:pPr>
      <w:r>
        <w:t xml:space="preserve">Fases sugeridas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Base:</w:t>
      </w:r>
      <w:r>
        <w:t xml:space="preserve"> API, base de datos, autenticación y perfiles reales (RF-01 a RF-08).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Comunicación:</w:t>
      </w:r>
      <w:r>
        <w:t xml:space="preserve"> chat en tiempo real, traducción, voz, fotos y notificaciones (RF-09 a RF-14).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Negociación:</w:t>
      </w:r>
      <w:r>
        <w:t xml:space="preserve"> cotizaciones y acuerdos guardados en el servidor con registro de auditoría (RF-15 a RF-18).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Confianza:</w:t>
      </w:r>
      <w:r>
        <w:t xml:space="preserve"> calificaciones, reputación y verificación de compradores (RF-05, RF-20, RF-21).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Campo:</w:t>
      </w:r>
      <w:r>
        <w:t xml:space="preserve"> modo sin conexión real y optimización para redes lentas (RF-24).</w:t>
      </w:r>
    </w:p>
    <w:p>
      <w:pPr/>
      <w:r>
        <w:rPr>
          <w:b/>
        </w:rPr>
        <w:t xml:space="preserve">Pregunta abierta:</w:t>
      </w:r>
      <w:r>
        <w:t xml:space="preserve"> quién cobra las comisiones y cómo, si pagos y logística siguen fuera de la plataforma.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CaféDirecto · Documento técnico de la demo</dc:title>
  <dc:description>Claude Docs node/c1f61f13-9109@17 docx-w7</dc:description>
  <cp:revision>17</cp:revision>
</cp:coreProperties>
</file>