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Initiativkatalog – fra risikoregister til handling</w:t>
      </w:r>
    </w:p>
    <w:p>
      <w:pPr>
        <w:jc w:val="center"/>
      </w:pPr>
      <w:r>
        <w:rPr>
          <w:b/>
          <w:color w:val="66756F"/>
        </w:rPr>
        <w:t>Hvedebro Maskinfabrik</w:t>
      </w:r>
    </w:p>
    <w:p/>
    <w:p>
      <w:r>
        <w:rPr>
          <w:rFonts w:ascii="Aptos" w:hAnsi="Aptos"/>
          <w:b w:val="0"/>
        </w:rPr>
        <w:t>Initiativerne er afledt af:</w:t>
      </w:r>
    </w:p>
    <w:p>
      <w:pPr>
        <w:pStyle w:val="ListNumber"/>
      </w:pPr>
      <w:r>
        <w:rPr>
          <w:rFonts w:ascii="Aptos" w:hAnsi="Aptos"/>
          <w:b w:val="0"/>
        </w:rPr>
        <w:t>Risikoscorer i 03-analyse/risikoanalyse-score.md</w:t>
      </w:r>
    </w:p>
    <w:p>
      <w:pPr>
        <w:pStyle w:val="ListNumber"/>
      </w:pPr>
      <w:r>
        <w:rPr>
          <w:rFonts w:ascii="Aptos" w:hAnsi="Aptos"/>
          <w:b w:val="0"/>
        </w:rPr>
        <w:t>Områderne IT, OT, fysisk sikkerhed, personale og governance</w:t>
      </w:r>
    </w:p>
    <w:p>
      <w:pPr>
        <w:pStyle w:val="Heading1"/>
      </w:pPr>
      <w:r>
        <w:t>Prioriterede initiativer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type="dxa" w:w="1662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Initiativ</w:t>
            </w:r>
          </w:p>
        </w:tc>
        <w:tc>
          <w:tcPr>
            <w:tcW w:type="dxa" w:w="1662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Primære risici</w:t>
            </w:r>
          </w:p>
        </w:tc>
        <w:tc>
          <w:tcPr>
            <w:tcW w:type="dxa" w:w="1662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Risikobehandling</w:t>
            </w:r>
          </w:p>
        </w:tc>
        <w:tc>
          <w:tcPr>
            <w:tcW w:type="dxa" w:w="1662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Hovedleverancer</w:t>
            </w:r>
          </w:p>
        </w:tc>
        <w:tc>
          <w:tcPr>
            <w:tcW w:type="dxa" w:w="1662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Fase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Governance, roller og risikoproces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R07, R14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RACI, risikoregister med ejere, månedligt styringsforum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Politikpakke (IT, OT, leverandør, hjemmearbejde, AI)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R05, R07, R12, R13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Godkendte politikker + håndbog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F1-F2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Asset inventory + klassifikation (IT/OT/data)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R03, R04, R08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Aktivregister, kritikalitet, ejerskab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IT/OT-segmentering og OT-DMZ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R01, R03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Zonearkitektur, firewall-regler, adgangslister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F1-F2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Kontrolleret fjernadgang (PAM-light)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R01, R06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VPN/jump-host, MFA, sessionslog, tidsstyring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F1-F2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Backup- og restoreprogram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3-2-1 backup, restore-test, recovery-runbooks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F1-F2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Shadow IT-udfasning + platformstrategi (cloud/lokal)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R04, R05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Undgå + 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Migration fra uautoriserede servere, beslutningskriterier cloud/lokal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F1-F2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IAM/MFA-løft og adgangsrecertificering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Rollemodel, privilegiekontrol, JML-proces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F1-F2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I09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Leverandørstyring og kontraktkrav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Overføre + 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Sikkerhedsbilag, revisionsret, hændelseskrav, exitkrav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F1-F3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I10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Logning, monitorering og incident playbooks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R10, R11, R15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Central logning, use-cases, eskalationsflow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F2-F3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I11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Fysisk sikkerhedsløft (ID/nøgler/lager)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R08, R09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Adgangspolitik, nøgleproces, besøgslog, zonering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F1-F2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I12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Awareness- og træningsprogram (rollebaseret)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R11, R12, R15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Årshjul, phishing-træning, ledertræning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F2-F4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I13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Hjemmearbejdsstandard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R12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Managed devices, VPN/MFA-krav, datalagringsregler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F3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I14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AI-governance og AI-audit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R13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Mitigere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AI-register, godkendelsesflow, kvartalsvis AI-audit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F3-F4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I15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Rest-risiko styring (accept/overførsel)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R16 + udvalgte medium-risici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Acceptere / Overføre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Register for accepterede risici med revurderingsdato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F2-F4</w:t>
            </w:r>
          </w:p>
        </w:tc>
      </w:tr>
    </w:tbl>
    <w:p/>
    <w:p>
      <w:pPr>
        <w:pStyle w:val="Heading1"/>
      </w:pPr>
      <w:r>
        <w:t>Hvad prioriteres først?</w:t>
      </w:r>
    </w:p>
    <w:p>
      <w:pPr>
        <w:pStyle w:val="Heading2"/>
      </w:pPr>
      <w:r>
        <w:t>A. Første prioritet (top 4 risici)</w:t>
      </w:r>
    </w:p>
    <w:p>
      <w:pPr>
        <w:pStyle w:val="ListBullet"/>
      </w:pPr>
      <w:r>
        <w:rPr>
          <w:rFonts w:ascii="Aptos" w:hAnsi="Aptos"/>
          <w:b w:val="0"/>
        </w:rPr>
        <w:t>I04 (segmentering)</w:t>
      </w:r>
    </w:p>
    <w:p>
      <w:pPr>
        <w:pStyle w:val="ListBullet"/>
      </w:pPr>
      <w:r>
        <w:rPr>
          <w:rFonts w:ascii="Aptos" w:hAnsi="Aptos"/>
          <w:b w:val="0"/>
        </w:rPr>
        <w:t>I05 (fjernadgang)</w:t>
      </w:r>
    </w:p>
    <w:p>
      <w:pPr>
        <w:pStyle w:val="ListBullet"/>
      </w:pPr>
      <w:r>
        <w:rPr>
          <w:rFonts w:ascii="Aptos" w:hAnsi="Aptos"/>
          <w:b w:val="0"/>
        </w:rPr>
        <w:t>I06 (backup/restore)</w:t>
      </w:r>
    </w:p>
    <w:p>
      <w:pPr>
        <w:pStyle w:val="ListBullet"/>
      </w:pPr>
      <w:r>
        <w:rPr>
          <w:rFonts w:ascii="Aptos" w:hAnsi="Aptos"/>
          <w:b w:val="0"/>
        </w:rPr>
        <w:t>I07 (shadow IT + platformstrategi)</w:t>
      </w:r>
    </w:p>
    <w:p>
      <w:pPr>
        <w:pStyle w:val="Heading2"/>
      </w:pPr>
      <w:r>
        <w:t>B. Anden prioritet (stabilisering)</w:t>
      </w:r>
    </w:p>
    <w:p>
      <w:pPr>
        <w:pStyle w:val="ListBullet"/>
      </w:pPr>
      <w:r>
        <w:rPr>
          <w:rFonts w:ascii="Aptos" w:hAnsi="Aptos"/>
          <w:b w:val="0"/>
        </w:rPr>
        <w:t>I08 (IAM/MFA)</w:t>
      </w:r>
    </w:p>
    <w:p>
      <w:pPr>
        <w:pStyle w:val="ListBullet"/>
      </w:pPr>
      <w:r>
        <w:rPr>
          <w:rFonts w:ascii="Aptos" w:hAnsi="Aptos"/>
          <w:b w:val="0"/>
        </w:rPr>
        <w:t>I09 (leverandørstyring)</w:t>
      </w:r>
    </w:p>
    <w:p>
      <w:pPr>
        <w:pStyle w:val="ListBullet"/>
      </w:pPr>
      <w:r>
        <w:rPr>
          <w:rFonts w:ascii="Aptos" w:hAnsi="Aptos"/>
          <w:b w:val="0"/>
        </w:rPr>
        <w:t>I10 (detektion/incident)</w:t>
      </w:r>
    </w:p>
    <w:p>
      <w:pPr>
        <w:pStyle w:val="ListBullet"/>
      </w:pPr>
      <w:r>
        <w:rPr>
          <w:rFonts w:ascii="Aptos" w:hAnsi="Aptos"/>
          <w:b w:val="0"/>
        </w:rPr>
        <w:t>I11 (fysisk sikkerhed)</w:t>
      </w:r>
    </w:p>
    <w:p>
      <w:pPr>
        <w:pStyle w:val="Heading2"/>
      </w:pPr>
      <w:r>
        <w:t>C. Tredje prioritet (fremtidssikring)</w:t>
      </w:r>
    </w:p>
    <w:p>
      <w:pPr>
        <w:pStyle w:val="ListBullet"/>
      </w:pPr>
      <w:r>
        <w:rPr>
          <w:rFonts w:ascii="Aptos" w:hAnsi="Aptos"/>
          <w:b w:val="0"/>
        </w:rPr>
        <w:t>I12-I14 (awareness, hjemmearbejde, AI)</w:t>
      </w:r>
    </w:p>
    <w:p>
      <w:pPr>
        <w:pStyle w:val="ListBullet"/>
      </w:pPr>
      <w:r>
        <w:rPr>
          <w:rFonts w:ascii="Aptos" w:hAnsi="Aptos"/>
          <w:b w:val="0"/>
        </w:rPr>
        <w:t>I15 (styring af accepterede/overførte risici)</w:t>
      </w:r>
    </w:p>
    <w:p>
      <w:pPr>
        <w:pStyle w:val="Heading1"/>
      </w:pPr>
      <w:r>
        <w:t>Afhængigheder</w:t>
      </w:r>
    </w:p>
    <w:p>
      <w:pPr>
        <w:pStyle w:val="ListBullet"/>
      </w:pPr>
      <w:r>
        <w:rPr>
          <w:rFonts w:ascii="Aptos" w:hAnsi="Aptos"/>
          <w:b w:val="0"/>
        </w:rPr>
        <w:t>I04 kræver I03 (asset inventory)</w:t>
      </w:r>
    </w:p>
    <w:p>
      <w:pPr>
        <w:pStyle w:val="ListBullet"/>
      </w:pPr>
      <w:r>
        <w:rPr>
          <w:rFonts w:ascii="Aptos" w:hAnsi="Aptos"/>
          <w:b w:val="0"/>
        </w:rPr>
        <w:t>I07 kræver I01-I03 (governance, roller, overblik)</w:t>
      </w:r>
    </w:p>
    <w:p>
      <w:pPr>
        <w:pStyle w:val="ListBullet"/>
      </w:pPr>
      <w:r>
        <w:rPr>
          <w:rFonts w:ascii="Aptos" w:hAnsi="Aptos"/>
          <w:b w:val="0"/>
        </w:rPr>
        <w:t>I14 kræver I02 + I12 (AI-regler + træning)</w:t>
      </w:r>
    </w:p>
    <w:p>
      <w:pPr>
        <w:pStyle w:val="ListBullet"/>
      </w:pPr>
      <w:r>
        <w:rPr>
          <w:rFonts w:ascii="Aptos" w:hAnsi="Aptos"/>
          <w:b w:val="0"/>
        </w:rPr>
        <w:t>I15 kræver løbende opdateringer fra hele initiativporteføljen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E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