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60"/>
        <w:jc w:val="center"/>
      </w:pPr>
      <w:r>
        <w:rPr>
          <w:rFonts w:ascii="Calibri" w:cs="Calibri" w:eastAsia="Calibri" w:hAnsi="Calibri"/>
          <w:b/>
          <w:bCs/>
          <w:color w:val="2E5B9A"/>
          <w:spacing w:val="20"/>
          <w:sz w:val="22"/>
          <w:szCs w:val="22"/>
        </w:rPr>
        <w:t xml:space="preserve">RELATÓRIO TÉCNICO-CIENTÍFICO</w:t>
      </w:r>
    </w:p>
    <w:p>
      <w:pPr>
        <w:spacing w:after="100"/>
        <w:jc w:val="center"/>
      </w:pPr>
      <w:r>
        <w:rPr>
          <w:rFonts w:ascii="Calibri" w:cs="Calibri" w:eastAsia="Calibri" w:hAnsi="Calibri"/>
          <w:b/>
          <w:bCs/>
          <w:color w:val="1F3864"/>
          <w:sz w:val="40"/>
          <w:szCs w:val="40"/>
        </w:rPr>
        <w:t xml:space="preserve">Repositório App_Brainlink e a Viabilidade de</w:t>
      </w:r>
    </w:p>
    <w:p>
      <w:pPr>
        <w:spacing w:after="400"/>
        <w:jc w:val="center"/>
      </w:pPr>
      <w:r>
        <w:rPr>
          <w:rFonts w:ascii="Calibri" w:cs="Calibri" w:eastAsia="Calibri" w:hAnsi="Calibri"/>
          <w:b/>
          <w:bCs/>
          <w:color w:val="1F3864"/>
          <w:sz w:val="40"/>
          <w:szCs w:val="40"/>
        </w:rPr>
        <w:t xml:space="preserve">Detecção de Indicadores de TDAH via EEG de Consumo</w:t>
      </w:r>
    </w:p>
    <w:p>
      <w:pPr>
        <w:spacing w:after="60"/>
        <w:jc w:val="center"/>
      </w:pPr>
      <w:r>
        <w:rPr>
          <w:rFonts w:ascii="Calibri" w:cs="Calibri" w:eastAsia="Calibri" w:hAnsi="Calibri"/>
          <w:i/>
          <w:iCs/>
          <w:color w:val="595959"/>
          <w:sz w:val="22"/>
          <w:szCs w:val="22"/>
        </w:rPr>
        <w:t xml:space="preserve">Pesquisa aprofundada: engenharia de software, neurociência aplicada e enquadramento regulatório</w:t>
      </w:r>
    </w:p>
    <w:p>
      <w:pPr>
        <w:spacing w:before="900"/>
      </w:pPr>
    </w:p>
    <w:tbl>
      <w:tblPr>
        <w:tblW w:type="dxa" w:w="9350"/>
        <w:tblBorders>
          <w:top w:val="single" w:color="AAAAAA" w:sz="4"/>
          <w:left w:val="single" w:color="AAAAAA" w:sz="4"/>
          <w:bottom w:val="single" w:color="AAAAAA" w:sz="4"/>
          <w:right w:val="single" w:color="AAAAAA" w:sz="4"/>
          <w:insideH w:val="single" w:color="CCCCCC" w:sz="4"/>
          <w:insideV w:val="single" w:color="CCCCCC" w:sz="4"/>
        </w:tblBorders>
      </w:tblPr>
      <w:tblGrid>
        <w:gridCol w:w="2600"/>
        <w:gridCol w:w="6750"/>
      </w:tblGrid>
      <w:tr>
        <w:trPr>
          <w:cantSplit/>
          <w:tblHeader/>
        </w:trPr>
        <w:tc>
          <w:tcPr>
            <w:tcW w:type="dxa" w:w="26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Item</w:t>
            </w:r>
          </w:p>
        </w:tc>
        <w:tc>
          <w:tcPr>
            <w:tcW w:type="dxa" w:w="675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Detalhe</w:t>
            </w:r>
          </w:p>
        </w:tc>
      </w:tr>
      <w:tr>
        <w:trPr>
          <w:cantSplit/>
        </w:trPr>
        <w:tc>
          <w:tcPr>
            <w:tcW w:type="dxa" w:w="2600"/>
            <w:tcMar>
              <w:top w:type="dxa" w:w="90"/>
              <w:left w:type="dxa" w:w="120"/>
              <w:bottom w:type="dxa" w:w="90"/>
              <w:right w:type="dxa" w:w="120"/>
            </w:tcMar>
          </w:tcPr>
          <w:p>
            <w:pPr>
              <w:spacing w:line="264"/>
            </w:pPr>
            <w:r>
              <w:rPr>
                <w:rFonts w:ascii="Calibri" w:cs="Calibri" w:eastAsia="Calibri" w:hAnsi="Calibri"/>
                <w:sz w:val="19"/>
                <w:szCs w:val="19"/>
              </w:rPr>
              <w:t xml:space="preserve">Projeto analisado</w:t>
            </w:r>
          </w:p>
        </w:tc>
        <w:tc>
          <w:tcPr>
            <w:tcW w:type="dxa" w:w="6750"/>
            <w:tcMar>
              <w:top w:type="dxa" w:w="90"/>
              <w:left w:type="dxa" w:w="120"/>
              <w:bottom w:type="dxa" w:w="90"/>
              <w:right w:type="dxa" w:w="120"/>
            </w:tcMar>
          </w:tcPr>
          <w:p>
            <w:pPr>
              <w:spacing w:line="264"/>
            </w:pPr>
            <w:r>
              <w:rPr>
                <w:rFonts w:ascii="Calibri" w:cs="Calibri" w:eastAsia="Calibri" w:hAnsi="Calibri"/>
                <w:sz w:val="19"/>
                <w:szCs w:val="19"/>
              </w:rPr>
              <w:t xml:space="preserve">github.com/gustavoobezerra/App_Brainlink (branch master)</w:t>
            </w:r>
          </w:p>
        </w:tc>
      </w:tr>
      <w:tr>
        <w:trPr>
          <w:cantSplit/>
        </w:trPr>
        <w:tc>
          <w:tcPr>
            <w:tcW w:type="dxa" w:w="2600"/>
            <w:tcMar>
              <w:top w:type="dxa" w:w="90"/>
              <w:left w:type="dxa" w:w="120"/>
              <w:bottom w:type="dxa" w:w="90"/>
              <w:right w:type="dxa" w:w="120"/>
            </w:tcMar>
          </w:tcPr>
          <w:p>
            <w:pPr>
              <w:spacing w:line="264"/>
            </w:pPr>
            <w:r>
              <w:rPr>
                <w:rFonts w:ascii="Calibri" w:cs="Calibri" w:eastAsia="Calibri" w:hAnsi="Calibri"/>
                <w:sz w:val="19"/>
                <w:szCs w:val="19"/>
              </w:rPr>
              <w:t xml:space="preserve">Autor do repositório</w:t>
            </w:r>
          </w:p>
        </w:tc>
        <w:tc>
          <w:tcPr>
            <w:tcW w:type="dxa" w:w="6750"/>
            <w:tcMar>
              <w:top w:type="dxa" w:w="90"/>
              <w:left w:type="dxa" w:w="120"/>
              <w:bottom w:type="dxa" w:w="90"/>
              <w:right w:type="dxa" w:w="120"/>
            </w:tcMar>
          </w:tcPr>
          <w:p>
            <w:pPr>
              <w:spacing w:line="264"/>
            </w:pPr>
            <w:r>
              <w:rPr>
                <w:rFonts w:ascii="Calibri" w:cs="Calibri" w:eastAsia="Calibri" w:hAnsi="Calibri"/>
                <w:sz w:val="19"/>
                <w:szCs w:val="19"/>
              </w:rPr>
              <w:t xml:space="preserve">Gustavo De Oliveira Bezerra</w:t>
            </w:r>
          </w:p>
        </w:tc>
      </w:tr>
      <w:tr>
        <w:trPr>
          <w:cantSplit/>
        </w:trPr>
        <w:tc>
          <w:tcPr>
            <w:tcW w:type="dxa" w:w="2600"/>
            <w:tcMar>
              <w:top w:type="dxa" w:w="90"/>
              <w:left w:type="dxa" w:w="120"/>
              <w:bottom w:type="dxa" w:w="90"/>
              <w:right w:type="dxa" w:w="120"/>
            </w:tcMar>
          </w:tcPr>
          <w:p>
            <w:pPr>
              <w:spacing w:line="264"/>
            </w:pPr>
            <w:r>
              <w:rPr>
                <w:rFonts w:ascii="Calibri" w:cs="Calibri" w:eastAsia="Calibri" w:hAnsi="Calibri"/>
                <w:sz w:val="19"/>
                <w:szCs w:val="19"/>
              </w:rPr>
              <w:t xml:space="preserve">Aplicação pretendida</w:t>
            </w:r>
          </w:p>
        </w:tc>
        <w:tc>
          <w:tcPr>
            <w:tcW w:type="dxa" w:w="6750"/>
            <w:tcMar>
              <w:top w:type="dxa" w:w="90"/>
              <w:left w:type="dxa" w:w="120"/>
              <w:bottom w:type="dxa" w:w="90"/>
              <w:right w:type="dxa" w:w="120"/>
            </w:tcMar>
          </w:tcPr>
          <w:p>
            <w:pPr>
              <w:spacing w:line="264"/>
            </w:pPr>
            <w:r>
              <w:rPr>
                <w:rFonts w:ascii="Calibri" w:cs="Calibri" w:eastAsia="Calibri" w:hAnsi="Calibri"/>
                <w:sz w:val="19"/>
                <w:szCs w:val="19"/>
              </w:rPr>
              <w:t xml:space="preserve">Suporte à identificação de padrões de atenção associados ao TDAH</w:t>
            </w:r>
          </w:p>
        </w:tc>
      </w:tr>
      <w:tr>
        <w:trPr>
          <w:cantSplit/>
        </w:trPr>
        <w:tc>
          <w:tcPr>
            <w:tcW w:type="dxa" w:w="2600"/>
            <w:tcMar>
              <w:top w:type="dxa" w:w="90"/>
              <w:left w:type="dxa" w:w="120"/>
              <w:bottom w:type="dxa" w:w="90"/>
              <w:right w:type="dxa" w:w="120"/>
            </w:tcMar>
          </w:tcPr>
          <w:p>
            <w:pPr>
              <w:spacing w:line="264"/>
            </w:pPr>
            <w:r>
              <w:rPr>
                <w:rFonts w:ascii="Calibri" w:cs="Calibri" w:eastAsia="Calibri" w:hAnsi="Calibri"/>
                <w:sz w:val="19"/>
                <w:szCs w:val="19"/>
              </w:rPr>
              <w:t xml:space="preserve">Data da pesquisa</w:t>
            </w:r>
          </w:p>
        </w:tc>
        <w:tc>
          <w:tcPr>
            <w:tcW w:type="dxa" w:w="6750"/>
            <w:tcMar>
              <w:top w:type="dxa" w:w="90"/>
              <w:left w:type="dxa" w:w="120"/>
              <w:bottom w:type="dxa" w:w="90"/>
              <w:right w:type="dxa" w:w="120"/>
            </w:tcMar>
          </w:tcPr>
          <w:p>
            <w:pPr>
              <w:spacing w:line="264"/>
            </w:pPr>
            <w:r>
              <w:rPr>
                <w:rFonts w:ascii="Calibri" w:cs="Calibri" w:eastAsia="Calibri" w:hAnsi="Calibri"/>
                <w:sz w:val="19"/>
                <w:szCs w:val="19"/>
              </w:rPr>
              <w:t xml:space="preserve">13 de agosto de 2026</w:t>
            </w:r>
          </w:p>
        </w:tc>
      </w:tr>
      <w:tr>
        <w:trPr>
          <w:cantSplit/>
        </w:trPr>
        <w:tc>
          <w:tcPr>
            <w:tcW w:type="dxa" w:w="2600"/>
            <w:tcMar>
              <w:top w:type="dxa" w:w="90"/>
              <w:left w:type="dxa" w:w="120"/>
              <w:bottom w:type="dxa" w:w="90"/>
              <w:right w:type="dxa" w:w="120"/>
            </w:tcMar>
          </w:tcPr>
          <w:p>
            <w:pPr>
              <w:spacing w:line="264"/>
            </w:pPr>
            <w:r>
              <w:rPr>
                <w:rFonts w:ascii="Calibri" w:cs="Calibri" w:eastAsia="Calibri" w:hAnsi="Calibri"/>
                <w:sz w:val="19"/>
                <w:szCs w:val="19"/>
              </w:rPr>
              <w:t xml:space="preserve">Escopo desta pesquisa</w:t>
            </w:r>
          </w:p>
        </w:tc>
        <w:tc>
          <w:tcPr>
            <w:tcW w:type="dxa" w:w="6750"/>
            <w:tcMar>
              <w:top w:type="dxa" w:w="90"/>
              <w:left w:type="dxa" w:w="120"/>
              <w:bottom w:type="dxa" w:w="90"/>
              <w:right w:type="dxa" w:w="120"/>
            </w:tcMar>
          </w:tcPr>
          <w:p>
            <w:pPr>
              <w:spacing w:line="264"/>
            </w:pPr>
            <w:r>
              <w:rPr>
                <w:rFonts w:ascii="Calibri" w:cs="Calibri" w:eastAsia="Calibri" w:hAnsi="Calibri"/>
                <w:sz w:val="19"/>
                <w:szCs w:val="19"/>
              </w:rPr>
              <w:t xml:space="preserve">Auditoria de código, fundamentação científica (EEG/TDAH) e enquadramento regulatório (Brasil/EUA)</w:t>
            </w:r>
          </w:p>
        </w:tc>
      </w:tr>
    </w:tbl>
    <w:p>
      <w:r>
        <w:br w:type="page"/>
      </w:r>
    </w:p>
    <w:p>
      <w:pPr>
        <w:pStyle w:val="Heading1"/>
        <w:keepNext/>
        <w:pBdr>
          <w:bottom w:val="single" w:color="1F3864" w:sz="6"/>
        </w:pBdr>
        <w:spacing w:after="200" w:before="480"/>
      </w:pPr>
      <w:r>
        <w:rPr>
          <w:rFonts w:ascii="Calibri" w:cs="Calibri" w:eastAsia="Calibri" w:hAnsi="Calibri"/>
          <w:b/>
          <w:bCs/>
          <w:color w:val="1F3864"/>
          <w:sz w:val="30"/>
          <w:szCs w:val="30"/>
        </w:rPr>
        <w:t xml:space="preserve">1. Sumário Executivo</w:t>
      </w:r>
    </w:p>
    <w:p>
      <w:pPr>
        <w:spacing w:after="160" w:line="288"/>
        <w:jc w:val="both"/>
      </w:pPr>
      <w:r>
        <w:rPr>
          <w:rFonts w:ascii="Calibri" w:cs="Calibri" w:eastAsia="Calibri" w:hAnsi="Calibri"/>
          <w:sz w:val="21"/>
          <w:szCs w:val="21"/>
        </w:rPr>
        <w:t xml:space="preserve">Este relatório documenta uma investigação profunda sobre o repositório App_Brainlink e sua aplicabilidade como base técnica para um recurso de apoio à identificação de padrões de atenção associados ao Transtorno de Déficit de Atenção e Hiperatividade (TDAH). A pesquisa cobriu três frentes: (1) auditoria completa do código-fonte do repositório; (2) revisão da literatura científica sobre biomarcadores eletroencefalográficos de TDAH, com ênfase na razão theta/beta (TBR); e (3) mapeamento do enquadramento regulatório aplicável no Brasil (ANVISA) e nos EUA (FDA), este último usado como referência internacional.</w:t>
      </w:r>
    </w:p>
    <w:tbl>
      <w:tblPr>
        <w:tblW w:type="dxa" w:w="9350"/>
        <w:tblBorders>
          <w:top w:val="single" w:color="1F3864" w:sz="4"/>
          <w:left w:val="single" w:color="1F3864" w:sz="24"/>
          <w:bottom w:val="single" w:color="1F3864" w:sz="4"/>
          <w:right w:val="single" w:color="1F3864" w:sz="4"/>
          <w:insideH w:val="none"/>
          <w:insideV w:val="none"/>
        </w:tblBorders>
      </w:tblPr>
      <w:tblGrid>
        <w:gridCol w:w="100"/>
      </w:tblGrid>
      <w:tr>
        <w:trPr>
          <w:cantSplit/>
        </w:trPr>
        <w:tc>
          <w:tcPr>
            <w:tcW w:type="dxa" w:w="9350"/>
            <w:shd w:fill="EDEFF4" w:val="clear"/>
            <w:tcMar>
              <w:top w:type="dxa" w:w="160"/>
              <w:left w:type="dxa" w:w="220"/>
              <w:bottom w:type="dxa" w:w="160"/>
              <w:right w:type="dxa" w:w="220"/>
            </w:tcMar>
          </w:tcPr>
          <w:p>
            <w:pPr>
              <w:keepNext/>
              <w:keepLines/>
              <w:spacing w:after="60"/>
            </w:pPr>
            <w:r>
              <w:rPr>
                <w:rFonts w:ascii="Calibri" w:cs="Calibri" w:eastAsia="Calibri" w:hAnsi="Calibri"/>
                <w:b/>
                <w:bCs/>
                <w:color w:val="1F3864"/>
                <w:sz w:val="21"/>
                <w:szCs w:val="21"/>
              </w:rPr>
              <w:t xml:space="preserve">Conclusão central</w:t>
            </w:r>
          </w:p>
          <w:p>
            <w:pPr>
              <w:keepLines/>
              <w:spacing w:after="0" w:line="276"/>
              <w:jc w:val="both"/>
            </w:pPr>
            <w:r>
              <w:rPr>
                <w:rFonts w:ascii="Calibri" w:cs="Calibri" w:eastAsia="Calibri" w:hAnsi="Calibri"/>
                <w:sz w:val="20"/>
                <w:szCs w:val="20"/>
              </w:rPr>
              <w:t xml:space="preserve">O repositório é uma base técnica sólida e já funcional para captura de dados EEG via BrainLink Lite (chip NeuroSky ThinkGear). Ele NÃO contém, hoje, qualquer lógica de classificação, pontuação ou inferência sobre TDAH — e nem deveria conter isso sem mediação clínica. É perfeitamente viável evoluir esse projeto para um app de apoio, triagem, autoconhecimento e acompanhamento longitudinal de atenção. Não é viável, tecnicamente nem legalmente, transformá-lo em ferramenta de diagnóstico de TDAH sem envolvimento de profissional de saúde habilitado e sem registro regulatório apropriado.</w:t>
            </w:r>
          </w:p>
        </w:tc>
      </w:tr>
    </w:tbl>
    <w:p>
      <w:pPr>
        <w:spacing w:after="200"/>
      </w:pPr>
    </w:p>
    <w:p>
      <w:pPr>
        <w:pStyle w:val="Heading1"/>
        <w:keepNext/>
        <w:pBdr>
          <w:bottom w:val="single" w:color="1F3864" w:sz="6"/>
        </w:pBdr>
        <w:spacing w:after="200" w:before="480"/>
      </w:pPr>
      <w:r>
        <w:rPr>
          <w:rFonts w:ascii="Calibri" w:cs="Calibri" w:eastAsia="Calibri" w:hAnsi="Calibri"/>
          <w:b/>
          <w:bCs/>
          <w:color w:val="1F3864"/>
          <w:sz w:val="30"/>
          <w:szCs w:val="30"/>
        </w:rPr>
        <w:t xml:space="preserve">2. Auditoria do Repositório App_Brainlink</w:t>
      </w:r>
    </w:p>
    <w:p>
      <w:pPr>
        <w:spacing w:after="160" w:line="288"/>
        <w:jc w:val="both"/>
      </w:pPr>
      <w:r>
        <w:rPr>
          <w:rFonts w:ascii="Calibri" w:cs="Calibri" w:eastAsia="Calibri" w:hAnsi="Calibri"/>
          <w:sz w:val="21"/>
          <w:szCs w:val="21"/>
        </w:rPr>
        <w:t xml:space="preserve">O repositório é um aplicativo Flutter (Dart) com uma ponte nativa Android em Java, cujo objetivo declarado no próprio README é servir como "protótipo acadêmico" para aquisição e visualização de indicadores eletroencefalográficos do headset BrainLink Lite. O código traz, de forma explícita e reiterada, o aviso de que os dados exibidos não devem ser usados para diagnóstico, tratamento ou tomada de decisão clínica — um cuidado que já está alinhado com o que a pesquisa científica e regulatória (seções 3 e 4) recomenda.</w:t>
      </w:r>
    </w:p>
    <w:p>
      <w:pPr>
        <w:pStyle w:val="Heading2"/>
        <w:keepNext/>
        <w:spacing w:after="140" w:before="320"/>
      </w:pPr>
      <w:r>
        <w:rPr>
          <w:rFonts w:ascii="Calibri" w:cs="Calibri" w:eastAsia="Calibri" w:hAnsi="Calibri"/>
          <w:b/>
          <w:bCs/>
          <w:color w:val="2E5B9A"/>
          <w:sz w:val="24"/>
          <w:szCs w:val="24"/>
        </w:rPr>
        <w:t xml:space="preserve">2.1 Estrutura geral</w:t>
      </w:r>
    </w:p>
    <w:p>
      <w:pPr>
        <w:spacing w:after="160" w:line="288"/>
        <w:jc w:val="both"/>
      </w:pPr>
      <w:r>
        <w:rPr>
          <w:rFonts w:ascii="Calibri" w:cs="Calibri" w:eastAsia="Calibri" w:hAnsi="Calibri"/>
          <w:sz w:val="21"/>
          <w:szCs w:val="21"/>
        </w:rPr>
        <w:t xml:space="preserve">O projeto está organizado da seguinte forma:</w:t>
      </w:r>
    </w:p>
    <w:tbl>
      <w:tblPr>
        <w:tblW w:type="dxa" w:w="9350"/>
        <w:tblBorders>
          <w:top w:val="single" w:color="AAAAAA" w:sz="4"/>
          <w:left w:val="single" w:color="AAAAAA" w:sz="4"/>
          <w:bottom w:val="single" w:color="AAAAAA" w:sz="4"/>
          <w:right w:val="single" w:color="AAAAAA" w:sz="4"/>
          <w:insideH w:val="single" w:color="CCCCCC" w:sz="4"/>
          <w:insideV w:val="single" w:color="CCCCCC" w:sz="4"/>
        </w:tblBorders>
      </w:tblPr>
      <w:tblGrid>
        <w:gridCol w:w="1700"/>
        <w:gridCol w:w="3200"/>
        <w:gridCol w:w="4450"/>
      </w:tblGrid>
      <w:tr>
        <w:trPr>
          <w:cantSplit/>
          <w:tblHeader/>
        </w:trPr>
        <w:tc>
          <w:tcPr>
            <w:tcW w:type="dxa" w:w="17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Camada</w:t>
            </w:r>
          </w:p>
        </w:tc>
        <w:tc>
          <w:tcPr>
            <w:tcW w:type="dxa" w:w="32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Arquivo(s)</w:t>
            </w:r>
          </w:p>
        </w:tc>
        <w:tc>
          <w:tcPr>
            <w:tcW w:type="dxa" w:w="445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Função</w:t>
            </w:r>
          </w:p>
        </w:tc>
      </w:tr>
      <w:tr>
        <w:trPr>
          <w:cantSplit/>
        </w:trPr>
        <w:tc>
          <w:tcPr>
            <w:tcW w:type="dxa" w:w="1700"/>
            <w:tcMar>
              <w:top w:type="dxa" w:w="90"/>
              <w:left w:type="dxa" w:w="120"/>
              <w:bottom w:type="dxa" w:w="90"/>
              <w:right w:type="dxa" w:w="120"/>
            </w:tcMar>
          </w:tcPr>
          <w:p>
            <w:pPr>
              <w:spacing w:line="264"/>
            </w:pPr>
            <w:r>
              <w:rPr>
                <w:rFonts w:ascii="Calibri" w:cs="Calibri" w:eastAsia="Calibri" w:hAnsi="Calibri"/>
                <w:sz w:val="19"/>
                <w:szCs w:val="19"/>
              </w:rPr>
              <w:t xml:space="preserve">Entrada do app</w:t>
            </w:r>
          </w:p>
        </w:tc>
        <w:tc>
          <w:tcPr>
            <w:tcW w:type="dxa" w:w="3200"/>
            <w:tcMar>
              <w:top w:type="dxa" w:w="90"/>
              <w:left w:type="dxa" w:w="120"/>
              <w:bottom w:type="dxa" w:w="90"/>
              <w:right w:type="dxa" w:w="120"/>
            </w:tcMar>
          </w:tcPr>
          <w:p>
            <w:pPr>
              <w:spacing w:line="264"/>
            </w:pPr>
            <w:r>
              <w:rPr>
                <w:rFonts w:ascii="Calibri" w:cs="Calibri" w:eastAsia="Calibri" w:hAnsi="Calibri"/>
                <w:sz w:val="19"/>
                <w:szCs w:val="19"/>
              </w:rPr>
              <w:t xml:space="preserve">lib/main.dart</w:t>
            </w:r>
          </w:p>
        </w:tc>
        <w:tc>
          <w:tcPr>
            <w:tcW w:type="dxa" w:w="4450"/>
            <w:tcMar>
              <w:top w:type="dxa" w:w="90"/>
              <w:left w:type="dxa" w:w="120"/>
              <w:bottom w:type="dxa" w:w="90"/>
              <w:right w:type="dxa" w:w="120"/>
            </w:tcMar>
          </w:tcPr>
          <w:p>
            <w:pPr>
              <w:spacing w:line="264"/>
            </w:pPr>
            <w:r>
              <w:rPr>
                <w:rFonts w:ascii="Calibri" w:cs="Calibri" w:eastAsia="Calibri" w:hAnsi="Calibri"/>
                <w:sz w:val="19"/>
                <w:szCs w:val="19"/>
              </w:rPr>
              <w:t xml:space="preserve">Tema visual (dark mode), orientação de tela, bootstrap do Flutter</w:t>
            </w:r>
          </w:p>
        </w:tc>
      </w:tr>
      <w:tr>
        <w:trPr>
          <w:cantSplit/>
        </w:trPr>
        <w:tc>
          <w:tcPr>
            <w:tcW w:type="dxa" w:w="1700"/>
            <w:tcMar>
              <w:top w:type="dxa" w:w="90"/>
              <w:left w:type="dxa" w:w="120"/>
              <w:bottom w:type="dxa" w:w="90"/>
              <w:right w:type="dxa" w:w="120"/>
            </w:tcMar>
          </w:tcPr>
          <w:p>
            <w:pPr>
              <w:spacing w:line="264"/>
            </w:pPr>
            <w:r>
              <w:rPr>
                <w:rFonts w:ascii="Calibri" w:cs="Calibri" w:eastAsia="Calibri" w:hAnsi="Calibri"/>
                <w:sz w:val="19"/>
                <w:szCs w:val="19"/>
              </w:rPr>
              <w:t xml:space="preserve">Modelo de dados</w:t>
            </w:r>
          </w:p>
        </w:tc>
        <w:tc>
          <w:tcPr>
            <w:tcW w:type="dxa" w:w="3200"/>
            <w:tcMar>
              <w:top w:type="dxa" w:w="90"/>
              <w:left w:type="dxa" w:w="120"/>
              <w:bottom w:type="dxa" w:w="90"/>
              <w:right w:type="dxa" w:w="120"/>
            </w:tcMar>
          </w:tcPr>
          <w:p>
            <w:pPr>
              <w:spacing w:line="264"/>
            </w:pPr>
            <w:r>
              <w:rPr>
                <w:rFonts w:ascii="Calibri" w:cs="Calibri" w:eastAsia="Calibri" w:hAnsi="Calibri"/>
                <w:sz w:val="19"/>
                <w:szCs w:val="19"/>
              </w:rPr>
              <w:t xml:space="preserve">lib/data/models/eeg_data.dart</w:t>
            </w:r>
          </w:p>
        </w:tc>
        <w:tc>
          <w:tcPr>
            <w:tcW w:type="dxa" w:w="4450"/>
            <w:tcMar>
              <w:top w:type="dxa" w:w="90"/>
              <w:left w:type="dxa" w:w="120"/>
              <w:bottom w:type="dxa" w:w="90"/>
              <w:right w:type="dxa" w:w="120"/>
            </w:tcMar>
          </w:tcPr>
          <w:p>
            <w:pPr>
              <w:spacing w:line="264"/>
            </w:pPr>
            <w:r>
              <w:rPr>
                <w:rFonts w:ascii="Calibri" w:cs="Calibri" w:eastAsia="Calibri" w:hAnsi="Calibri"/>
                <w:sz w:val="19"/>
                <w:szCs w:val="19"/>
              </w:rPr>
              <w:t xml:space="preserve">Classe imutável EEGData com 11 campos (attention, meditation, signalQuality, 8 bandas de frequência)</w:t>
            </w:r>
          </w:p>
        </w:tc>
      </w:tr>
      <w:tr>
        <w:trPr>
          <w:cantSplit/>
        </w:trPr>
        <w:tc>
          <w:tcPr>
            <w:tcW w:type="dxa" w:w="1700"/>
            <w:tcMar>
              <w:top w:type="dxa" w:w="90"/>
              <w:left w:type="dxa" w:w="120"/>
              <w:bottom w:type="dxa" w:w="90"/>
              <w:right w:type="dxa" w:w="120"/>
            </w:tcMar>
          </w:tcPr>
          <w:p>
            <w:pPr>
              <w:spacing w:line="264"/>
            </w:pPr>
            <w:r>
              <w:rPr>
                <w:rFonts w:ascii="Calibri" w:cs="Calibri" w:eastAsia="Calibri" w:hAnsi="Calibri"/>
                <w:sz w:val="19"/>
                <w:szCs w:val="19"/>
              </w:rPr>
              <w:t xml:space="preserve">Ponte nativa</w:t>
            </w:r>
          </w:p>
        </w:tc>
        <w:tc>
          <w:tcPr>
            <w:tcW w:type="dxa" w:w="3200"/>
            <w:tcMar>
              <w:top w:type="dxa" w:w="90"/>
              <w:left w:type="dxa" w:w="120"/>
              <w:bottom w:type="dxa" w:w="90"/>
              <w:right w:type="dxa" w:w="120"/>
            </w:tcMar>
          </w:tcPr>
          <w:p>
            <w:pPr>
              <w:spacing w:line="264"/>
            </w:pPr>
            <w:r>
              <w:rPr>
                <w:rFonts w:ascii="Calibri" w:cs="Calibri" w:eastAsia="Calibri" w:hAnsi="Calibri"/>
                <w:sz w:val="19"/>
                <w:szCs w:val="19"/>
              </w:rPr>
              <w:t xml:space="preserve">lib/native/brainlink_bridge.dart</w:t>
            </w:r>
          </w:p>
        </w:tc>
        <w:tc>
          <w:tcPr>
            <w:tcW w:type="dxa" w:w="4450"/>
            <w:tcMar>
              <w:top w:type="dxa" w:w="90"/>
              <w:left w:type="dxa" w:w="120"/>
              <w:bottom w:type="dxa" w:w="90"/>
              <w:right w:type="dxa" w:w="120"/>
            </w:tcMar>
          </w:tcPr>
          <w:p>
            <w:pPr>
              <w:spacing w:line="264"/>
            </w:pPr>
            <w:r>
              <w:rPr>
                <w:rFonts w:ascii="Calibri" w:cs="Calibri" w:eastAsia="Calibri" w:hAnsi="Calibri"/>
                <w:sz w:val="19"/>
                <w:szCs w:val="19"/>
              </w:rPr>
              <w:t xml:space="preserve">MethodChannel com o Android; expõe streams reativas (eegDataStream, connectionStateStream, etc.)</w:t>
            </w:r>
          </w:p>
        </w:tc>
      </w:tr>
      <w:tr>
        <w:trPr>
          <w:cantSplit/>
        </w:trPr>
        <w:tc>
          <w:tcPr>
            <w:tcW w:type="dxa" w:w="1700"/>
            <w:tcMar>
              <w:top w:type="dxa" w:w="90"/>
              <w:left w:type="dxa" w:w="120"/>
              <w:bottom w:type="dxa" w:w="90"/>
              <w:right w:type="dxa" w:w="120"/>
            </w:tcMar>
          </w:tcPr>
          <w:p>
            <w:pPr>
              <w:spacing w:line="264"/>
            </w:pPr>
            <w:r>
              <w:rPr>
                <w:rFonts w:ascii="Calibri" w:cs="Calibri" w:eastAsia="Calibri" w:hAnsi="Calibri"/>
                <w:sz w:val="19"/>
                <w:szCs w:val="19"/>
              </w:rPr>
              <w:t xml:space="preserve">Simulação</w:t>
            </w:r>
          </w:p>
        </w:tc>
        <w:tc>
          <w:tcPr>
            <w:tcW w:type="dxa" w:w="3200"/>
            <w:tcMar>
              <w:top w:type="dxa" w:w="90"/>
              <w:left w:type="dxa" w:w="120"/>
              <w:bottom w:type="dxa" w:w="90"/>
              <w:right w:type="dxa" w:w="120"/>
            </w:tcMar>
          </w:tcPr>
          <w:p>
            <w:pPr>
              <w:spacing w:line="264"/>
            </w:pPr>
            <w:r>
              <w:rPr>
                <w:rFonts w:ascii="Calibri" w:cs="Calibri" w:eastAsia="Calibri" w:hAnsi="Calibri"/>
                <w:sz w:val="19"/>
                <w:szCs w:val="19"/>
              </w:rPr>
              <w:t xml:space="preserve">lib/services/mock_data_service.dart</w:t>
            </w:r>
          </w:p>
        </w:tc>
        <w:tc>
          <w:tcPr>
            <w:tcW w:type="dxa" w:w="4450"/>
            <w:tcMar>
              <w:top w:type="dxa" w:w="90"/>
              <w:left w:type="dxa" w:w="120"/>
              <w:bottom w:type="dxa" w:w="90"/>
              <w:right w:type="dxa" w:w="120"/>
            </w:tcMar>
          </w:tcPr>
          <w:p>
            <w:pPr>
              <w:spacing w:line="264"/>
            </w:pPr>
            <w:r>
              <w:rPr>
                <w:rFonts w:ascii="Calibri" w:cs="Calibri" w:eastAsia="Calibri" w:hAnsi="Calibri"/>
                <w:sz w:val="19"/>
                <w:szCs w:val="19"/>
              </w:rPr>
              <w:t xml:space="preserve">Gerador de dados sintéticos com 4 perfis (relaxed, focused, meditative, baseline) para testes sem hardware</w:t>
            </w:r>
          </w:p>
        </w:tc>
      </w:tr>
      <w:tr>
        <w:trPr>
          <w:cantSplit/>
        </w:trPr>
        <w:tc>
          <w:tcPr>
            <w:tcW w:type="dxa" w:w="1700"/>
            <w:tcMar>
              <w:top w:type="dxa" w:w="90"/>
              <w:left w:type="dxa" w:w="120"/>
              <w:bottom w:type="dxa" w:w="90"/>
              <w:right w:type="dxa" w:w="120"/>
            </w:tcMar>
          </w:tcPr>
          <w:p>
            <w:pPr>
              <w:spacing w:line="264"/>
            </w:pPr>
            <w:r>
              <w:rPr>
                <w:rFonts w:ascii="Calibri" w:cs="Calibri" w:eastAsia="Calibri" w:hAnsi="Calibri"/>
                <w:sz w:val="19"/>
                <w:szCs w:val="19"/>
              </w:rPr>
              <w:t xml:space="preserve">Interface</w:t>
            </w:r>
          </w:p>
        </w:tc>
        <w:tc>
          <w:tcPr>
            <w:tcW w:type="dxa" w:w="3200"/>
            <w:tcMar>
              <w:top w:type="dxa" w:w="90"/>
              <w:left w:type="dxa" w:w="120"/>
              <w:bottom w:type="dxa" w:w="90"/>
              <w:right w:type="dxa" w:w="120"/>
            </w:tcMar>
          </w:tcPr>
          <w:p>
            <w:pPr>
              <w:spacing w:line="264"/>
            </w:pPr>
            <w:r>
              <w:rPr>
                <w:rFonts w:ascii="Calibri" w:cs="Calibri" w:eastAsia="Calibri" w:hAnsi="Calibri"/>
                <w:sz w:val="19"/>
                <w:szCs w:val="19"/>
              </w:rPr>
              <w:t xml:space="preserve">lib/ui/screens/home_screen.dart</w:t>
            </w:r>
          </w:p>
        </w:tc>
        <w:tc>
          <w:tcPr>
            <w:tcW w:type="dxa" w:w="4450"/>
            <w:tcMar>
              <w:top w:type="dxa" w:w="90"/>
              <w:left w:type="dxa" w:w="120"/>
              <w:bottom w:type="dxa" w:w="90"/>
              <w:right w:type="dxa" w:w="120"/>
            </w:tcMar>
          </w:tcPr>
          <w:p>
            <w:pPr>
              <w:spacing w:line="264"/>
            </w:pPr>
            <w:r>
              <w:rPr>
                <w:rFonts w:ascii="Calibri" w:cs="Calibri" w:eastAsia="Calibri" w:hAnsi="Calibri"/>
                <w:sz w:val="19"/>
                <w:szCs w:val="19"/>
              </w:rPr>
              <w:t xml:space="preserve">Painel único com cards de Atenção, Meditação, Qualidade de Sinal e barras de potência por banda</w:t>
            </w:r>
          </w:p>
        </w:tc>
      </w:tr>
      <w:tr>
        <w:trPr>
          <w:cantSplit/>
        </w:trPr>
        <w:tc>
          <w:tcPr>
            <w:tcW w:type="dxa" w:w="1700"/>
            <w:tcMar>
              <w:top w:type="dxa" w:w="90"/>
              <w:left w:type="dxa" w:w="120"/>
              <w:bottom w:type="dxa" w:w="90"/>
              <w:right w:type="dxa" w:w="120"/>
            </w:tcMar>
          </w:tcPr>
          <w:p>
            <w:pPr>
              <w:spacing w:line="264"/>
            </w:pPr>
            <w:r>
              <w:rPr>
                <w:rFonts w:ascii="Calibri" w:cs="Calibri" w:eastAsia="Calibri" w:hAnsi="Calibri"/>
                <w:sz w:val="19"/>
                <w:szCs w:val="19"/>
              </w:rPr>
              <w:t xml:space="preserve">Camada Android</w:t>
            </w:r>
          </w:p>
        </w:tc>
        <w:tc>
          <w:tcPr>
            <w:tcW w:type="dxa" w:w="3200"/>
            <w:tcMar>
              <w:top w:type="dxa" w:w="90"/>
              <w:left w:type="dxa" w:w="120"/>
              <w:bottom w:type="dxa" w:w="90"/>
              <w:right w:type="dxa" w:w="120"/>
            </w:tcMar>
          </w:tcPr>
          <w:p>
            <w:pPr>
              <w:spacing w:line="264"/>
            </w:pPr>
            <w:r>
              <w:rPr>
                <w:rFonts w:ascii="Calibri" w:cs="Calibri" w:eastAsia="Calibri" w:hAnsi="Calibri"/>
                <w:sz w:val="19"/>
                <w:szCs w:val="19"/>
              </w:rPr>
              <w:t xml:space="preserve">MainActivity.java</w:t>
            </w:r>
          </w:p>
        </w:tc>
        <w:tc>
          <w:tcPr>
            <w:tcW w:type="dxa" w:w="4450"/>
            <w:tcMar>
              <w:top w:type="dxa" w:w="90"/>
              <w:left w:type="dxa" w:w="120"/>
              <w:bottom w:type="dxa" w:w="90"/>
              <w:right w:type="dxa" w:w="120"/>
            </w:tcMar>
          </w:tcPr>
          <w:p>
            <w:pPr>
              <w:spacing w:line="264"/>
            </w:pPr>
            <w:r>
              <w:rPr>
                <w:rFonts w:ascii="Calibri" w:cs="Calibri" w:eastAsia="Calibri" w:hAnsi="Calibri"/>
                <w:sz w:val="19"/>
                <w:szCs w:val="19"/>
              </w:rPr>
              <w:t xml:space="preserve">Implementa o SDK proprietário NeuroSky (TgStreamReader) e converte callbacks para o Flutter</w:t>
            </w:r>
          </w:p>
        </w:tc>
      </w:tr>
      <w:tr>
        <w:trPr>
          <w:cantSplit/>
        </w:trPr>
        <w:tc>
          <w:tcPr>
            <w:tcW w:type="dxa" w:w="1700"/>
            <w:tcMar>
              <w:top w:type="dxa" w:w="90"/>
              <w:left w:type="dxa" w:w="120"/>
              <w:bottom w:type="dxa" w:w="90"/>
              <w:right w:type="dxa" w:w="120"/>
            </w:tcMar>
          </w:tcPr>
          <w:p>
            <w:pPr>
              <w:spacing w:line="264"/>
            </w:pPr>
            <w:r>
              <w:rPr>
                <w:rFonts w:ascii="Calibri" w:cs="Calibri" w:eastAsia="Calibri" w:hAnsi="Calibri"/>
                <w:sz w:val="19"/>
                <w:szCs w:val="19"/>
              </w:rPr>
              <w:t xml:space="preserve">SDK nativo</w:t>
            </w:r>
          </w:p>
        </w:tc>
        <w:tc>
          <w:tcPr>
            <w:tcW w:type="dxa" w:w="3200"/>
            <w:tcMar>
              <w:top w:type="dxa" w:w="90"/>
              <w:left w:type="dxa" w:w="120"/>
              <w:bottom w:type="dxa" w:w="90"/>
              <w:right w:type="dxa" w:w="120"/>
            </w:tcMar>
          </w:tcPr>
          <w:p>
            <w:pPr>
              <w:spacing w:line="264"/>
            </w:pPr>
            <w:r>
              <w:rPr>
                <w:rFonts w:ascii="Calibri" w:cs="Calibri" w:eastAsia="Calibri" w:hAnsi="Calibri"/>
                <w:sz w:val="19"/>
                <w:szCs w:val="19"/>
              </w:rPr>
              <w:t xml:space="preserve">libStreamSDK_v1.3.2.jar</w:t>
            </w:r>
          </w:p>
        </w:tc>
        <w:tc>
          <w:tcPr>
            <w:tcW w:type="dxa" w:w="4450"/>
            <w:tcMar>
              <w:top w:type="dxa" w:w="90"/>
              <w:left w:type="dxa" w:w="120"/>
              <w:bottom w:type="dxa" w:w="90"/>
              <w:right w:type="dxa" w:w="120"/>
            </w:tcMar>
          </w:tcPr>
          <w:p>
            <w:pPr>
              <w:spacing w:line="264"/>
            </w:pPr>
            <w:r>
              <w:rPr>
                <w:rFonts w:ascii="Calibri" w:cs="Calibri" w:eastAsia="Calibri" w:hAnsi="Calibri"/>
                <w:sz w:val="19"/>
                <w:szCs w:val="19"/>
              </w:rPr>
              <w:t xml:space="preserve">SDK proprietário Macrotellect/NeuroSky, uso restrito pelos termos do fabricante</w:t>
            </w:r>
          </w:p>
        </w:tc>
      </w:tr>
      <w:tr>
        <w:trPr>
          <w:cantSplit/>
        </w:trPr>
        <w:tc>
          <w:tcPr>
            <w:tcW w:type="dxa" w:w="1700"/>
            <w:tcMar>
              <w:top w:type="dxa" w:w="90"/>
              <w:left w:type="dxa" w:w="120"/>
              <w:bottom w:type="dxa" w:w="90"/>
              <w:right w:type="dxa" w:w="120"/>
            </w:tcMar>
          </w:tcPr>
          <w:p>
            <w:pPr>
              <w:spacing w:line="264"/>
            </w:pPr>
            <w:r>
              <w:rPr>
                <w:rFonts w:ascii="Calibri" w:cs="Calibri" w:eastAsia="Calibri" w:hAnsi="Calibri"/>
                <w:sz w:val="19"/>
                <w:szCs w:val="19"/>
              </w:rPr>
              <w:t xml:space="preserve">Utilitário Python</w:t>
            </w:r>
          </w:p>
        </w:tc>
        <w:tc>
          <w:tcPr>
            <w:tcW w:type="dxa" w:w="3200"/>
            <w:tcMar>
              <w:top w:type="dxa" w:w="90"/>
              <w:left w:type="dxa" w:w="120"/>
              <w:bottom w:type="dxa" w:w="90"/>
              <w:right w:type="dxa" w:w="120"/>
            </w:tcMar>
          </w:tcPr>
          <w:p>
            <w:pPr>
              <w:spacing w:line="264"/>
            </w:pPr>
            <w:r>
              <w:rPr>
                <w:rFonts w:ascii="Calibri" w:cs="Calibri" w:eastAsia="Calibri" w:hAnsi="Calibri"/>
                <w:sz w:val="19"/>
                <w:szCs w:val="19"/>
              </w:rPr>
              <w:t xml:space="preserve">tools/python_test/main.py</w:t>
            </w:r>
          </w:p>
        </w:tc>
        <w:tc>
          <w:tcPr>
            <w:tcW w:type="dxa" w:w="4450"/>
            <w:tcMar>
              <w:top w:type="dxa" w:w="90"/>
              <w:left w:type="dxa" w:w="120"/>
              <w:bottom w:type="dxa" w:w="90"/>
              <w:right w:type="dxa" w:w="120"/>
            </w:tcMar>
          </w:tcPr>
          <w:p>
            <w:pPr>
              <w:spacing w:line="264"/>
            </w:pPr>
            <w:r>
              <w:rPr>
                <w:rFonts w:ascii="Calibri" w:cs="Calibri" w:eastAsia="Calibri" w:hAnsi="Calibri"/>
                <w:sz w:val="19"/>
                <w:szCs w:val="19"/>
              </w:rPr>
              <w:t xml:space="preserve">Leitura serial alternativa (Windows/COM), útil para prototipagem em desktop</w:t>
            </w:r>
          </w:p>
        </w:tc>
      </w:tr>
    </w:tbl>
    <w:p>
      <w:pPr>
        <w:pStyle w:val="Heading2"/>
        <w:keepNext/>
        <w:spacing w:after="140" w:before="320"/>
      </w:pPr>
      <w:r>
        <w:rPr>
          <w:rFonts w:ascii="Calibri" w:cs="Calibri" w:eastAsia="Calibri" w:hAnsi="Calibri"/>
          <w:b/>
          <w:bCs/>
          <w:color w:val="2E5B9A"/>
          <w:sz w:val="24"/>
          <w:szCs w:val="24"/>
        </w:rPr>
        <w:t xml:space="preserve">2.2 O que o dispositivo realmente entrega</w:t>
      </w:r>
    </w:p>
    <w:p>
      <w:pPr>
        <w:spacing w:after="160" w:line="288"/>
        <w:jc w:val="both"/>
      </w:pPr>
      <w:r>
        <w:rPr>
          <w:rFonts w:ascii="Calibri" w:cs="Calibri" w:eastAsia="Calibri" w:hAnsi="Calibri"/>
          <w:sz w:val="21"/>
          <w:szCs w:val="21"/>
        </w:rPr>
        <w:t xml:space="preserve">O SDK NeuroSky (o mesmo chip ThinkGear usado no BrainLink Lite/Pro) entrega, por amostra, os seguintes campos — confirmados tanto no código Java (MainActivity.updateBandPowers/sendEEGDataToDart) quanto no utilitário Python:</w:t>
      </w:r>
    </w:p>
    <w:p>
      <w:pPr>
        <w:pStyle w:val="ListParagraph"/>
        <w:numPr>
          <w:ilvl w:val="0"/>
          <w:numId w:val="2"/>
        </w:numPr>
        <w:spacing w:after="90" w:line="276"/>
      </w:pPr>
      <w:r>
        <w:rPr>
          <w:rFonts w:ascii="Calibri" w:cs="Calibri" w:eastAsia="Calibri" w:hAnsi="Calibri"/>
          <w:sz w:val="21"/>
          <w:szCs w:val="21"/>
        </w:rPr>
        <w:t xml:space="preserve">attention e meditation — índices proprietários "eSense" (0–100), calculados por algoritmo fechado da NeuroSky, não documentado publicamente em termos de fórmula exata.</w:t>
      </w:r>
    </w:p>
    <w:p>
      <w:pPr>
        <w:pStyle w:val="ListParagraph"/>
        <w:numPr>
          <w:ilvl w:val="0"/>
          <w:numId w:val="2"/>
        </w:numPr>
        <w:spacing w:after="90" w:line="276"/>
      </w:pPr>
      <w:r>
        <w:rPr>
          <w:rFonts w:ascii="Calibri" w:cs="Calibri" w:eastAsia="Calibri" w:hAnsi="Calibri"/>
          <w:sz w:val="21"/>
          <w:szCs w:val="21"/>
        </w:rPr>
        <w:t xml:space="preserve">signalQuality — escala 0–200 (quanto menor, melhor o contato do eletrodo com a pele).</w:t>
      </w:r>
    </w:p>
    <w:p>
      <w:pPr>
        <w:pStyle w:val="ListParagraph"/>
        <w:numPr>
          <w:ilvl w:val="0"/>
          <w:numId w:val="2"/>
        </w:numPr>
        <w:spacing w:after="90" w:line="276"/>
      </w:pPr>
      <w:r>
        <w:rPr>
          <w:rFonts w:ascii="Calibri" w:cs="Calibri" w:eastAsia="Calibri" w:hAnsi="Calibri"/>
          <w:sz w:val="21"/>
          <w:szCs w:val="21"/>
        </w:rPr>
        <w:t xml:space="preserve">8 bandas de potência relativa: delta, theta, lowAlpha, highAlpha, lowBeta, highBeta, lowGamma, midGamma.</w:t>
      </w:r>
    </w:p>
    <w:p>
      <w:pPr>
        <w:pStyle w:val="ListParagraph"/>
        <w:numPr>
          <w:ilvl w:val="0"/>
          <w:numId w:val="2"/>
        </w:numPr>
        <w:spacing w:after="90" w:line="276"/>
      </w:pPr>
      <w:r>
        <w:rPr>
          <w:rFonts w:ascii="Calibri" w:cs="Calibri" w:eastAsia="Calibri" w:hAnsi="Calibri"/>
          <w:sz w:val="21"/>
          <w:szCs w:val="21"/>
        </w:rPr>
        <w:t xml:space="preserve">Um único canal de EEG, no ponto Fp1 (região frontal), com eletrodo de referência no lóbulo da orelha — não há eletrodo em Cz nem em outras regiões do escalpo.</w:t>
      </w:r>
    </w:p>
    <w:tbl>
      <w:tblPr>
        <w:tblW w:type="dxa" w:w="9350"/>
        <w:tblBorders>
          <w:top w:val="single" w:color="9C2B2B" w:sz="4"/>
          <w:left w:val="single" w:color="9C2B2B" w:sz="24"/>
          <w:bottom w:val="single" w:color="9C2B2B" w:sz="4"/>
          <w:right w:val="single" w:color="9C2B2B" w:sz="4"/>
          <w:insideH w:val="none"/>
          <w:insideV w:val="none"/>
        </w:tblBorders>
      </w:tblPr>
      <w:tblGrid>
        <w:gridCol w:w="100"/>
      </w:tblGrid>
      <w:tr>
        <w:trPr>
          <w:cantSplit/>
        </w:trPr>
        <w:tc>
          <w:tcPr>
            <w:tcW w:type="dxa" w:w="9350"/>
            <w:shd w:fill="EDEFF4" w:val="clear"/>
            <w:tcMar>
              <w:top w:type="dxa" w:w="160"/>
              <w:left w:type="dxa" w:w="220"/>
              <w:bottom w:type="dxa" w:w="160"/>
              <w:right w:type="dxa" w:w="220"/>
            </w:tcMar>
          </w:tcPr>
          <w:p>
            <w:pPr>
              <w:keepNext/>
              <w:keepLines/>
              <w:spacing w:after="60"/>
            </w:pPr>
            <w:r>
              <w:rPr>
                <w:rFonts w:ascii="Calibri" w:cs="Calibri" w:eastAsia="Calibri" w:hAnsi="Calibri"/>
                <w:b/>
                <w:bCs/>
                <w:color w:val="9C2B2B"/>
                <w:sz w:val="21"/>
                <w:szCs w:val="21"/>
              </w:rPr>
              <w:t xml:space="preserve">Ponto crítico de engenharia</w:t>
            </w:r>
          </w:p>
          <w:p>
            <w:pPr>
              <w:keepLines/>
              <w:spacing w:after="0" w:line="276"/>
              <w:jc w:val="both"/>
            </w:pPr>
            <w:r>
              <w:rPr>
                <w:rFonts w:ascii="Calibri" w:cs="Calibri" w:eastAsia="Calibri" w:hAnsi="Calibri"/>
                <w:sz w:val="20"/>
                <w:szCs w:val="20"/>
              </w:rPr>
              <w:t xml:space="preserve">Como há apenas 1 canal (Fp1) e não em Cz, o dispositivo NÃO reproduz a configuração de eletrodo usada no único sistema já aprovado pelo FDA para auxiliar diagnóstico de TDAH (o NEBA System, que usa Cz — ver seção 4.1). Isso não invalida o uso do BrainLink para um app de bem-estar/atenção, mas invalida qualquer alegação de equivalência com uma ferramenta clínica validada.</w:t>
            </w:r>
          </w:p>
        </w:tc>
      </w:tr>
    </w:tbl>
    <w:p>
      <w:pPr>
        <w:pStyle w:val="Heading2"/>
        <w:keepNext/>
        <w:spacing w:after="140" w:before="320"/>
      </w:pPr>
      <w:r>
        <w:rPr>
          <w:rFonts w:ascii="Calibri" w:cs="Calibri" w:eastAsia="Calibri" w:hAnsi="Calibri"/>
          <w:b/>
          <w:bCs/>
          <w:color w:val="2E5B9A"/>
          <w:sz w:val="24"/>
          <w:szCs w:val="24"/>
        </w:rPr>
        <w:t xml:space="preserve">2.3 Estado de maturidade (conforme o próprio README)</w:t>
      </w:r>
    </w:p>
    <w:tbl>
      <w:tblPr>
        <w:tblW w:type="dxa" w:w="9350"/>
        <w:tblBorders>
          <w:top w:val="single" w:color="AAAAAA" w:sz="4"/>
          <w:left w:val="single" w:color="AAAAAA" w:sz="4"/>
          <w:bottom w:val="single" w:color="AAAAAA" w:sz="4"/>
          <w:right w:val="single" w:color="AAAAAA" w:sz="4"/>
          <w:insideH w:val="single" w:color="CCCCCC" w:sz="4"/>
          <w:insideV w:val="single" w:color="CCCCCC" w:sz="4"/>
        </w:tblBorders>
      </w:tblPr>
      <w:tblGrid>
        <w:gridCol w:w="4200"/>
        <w:gridCol w:w="5150"/>
      </w:tblGrid>
      <w:tr>
        <w:trPr>
          <w:cantSplit/>
          <w:tblHeader/>
        </w:trPr>
        <w:tc>
          <w:tcPr>
            <w:tcW w:type="dxa" w:w="42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Componente</w:t>
            </w:r>
          </w:p>
        </w:tc>
        <w:tc>
          <w:tcPr>
            <w:tcW w:type="dxa" w:w="515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Situação</w:t>
            </w:r>
          </w:p>
        </w:tc>
      </w:tr>
      <w:tr>
        <w:trPr>
          <w:cantSplit/>
        </w:trPr>
        <w:tc>
          <w:tcPr>
            <w:tcW w:type="dxa" w:w="4200"/>
            <w:tcMar>
              <w:top w:type="dxa" w:w="90"/>
              <w:left w:type="dxa" w:w="120"/>
              <w:bottom w:type="dxa" w:w="90"/>
              <w:right w:type="dxa" w:w="120"/>
            </w:tcMar>
          </w:tcPr>
          <w:p>
            <w:pPr>
              <w:spacing w:line="264"/>
            </w:pPr>
            <w:r>
              <w:rPr>
                <w:rFonts w:ascii="Calibri" w:cs="Calibri" w:eastAsia="Calibri" w:hAnsi="Calibri"/>
                <w:sz w:val="19"/>
                <w:szCs w:val="19"/>
              </w:rPr>
              <w:t xml:space="preserve">Painel de demonstração</w:t>
            </w:r>
          </w:p>
        </w:tc>
        <w:tc>
          <w:tcPr>
            <w:tcW w:type="dxa" w:w="5150"/>
            <w:tcMar>
              <w:top w:type="dxa" w:w="90"/>
              <w:left w:type="dxa" w:w="120"/>
              <w:bottom w:type="dxa" w:w="90"/>
              <w:right w:type="dxa" w:w="120"/>
            </w:tcMar>
          </w:tcPr>
          <w:p>
            <w:pPr>
              <w:spacing w:line="264"/>
            </w:pPr>
            <w:r>
              <w:rPr>
                <w:rFonts w:ascii="Calibri" w:cs="Calibri" w:eastAsia="Calibri" w:hAnsi="Calibri"/>
                <w:sz w:val="19"/>
                <w:szCs w:val="19"/>
              </w:rPr>
              <w:t xml:space="preserve">Implementado com dados simulados</w:t>
            </w:r>
          </w:p>
        </w:tc>
      </w:tr>
      <w:tr>
        <w:trPr>
          <w:cantSplit/>
        </w:trPr>
        <w:tc>
          <w:tcPr>
            <w:tcW w:type="dxa" w:w="4200"/>
            <w:tcMar>
              <w:top w:type="dxa" w:w="90"/>
              <w:left w:type="dxa" w:w="120"/>
              <w:bottom w:type="dxa" w:w="90"/>
              <w:right w:type="dxa" w:w="120"/>
            </w:tcMar>
          </w:tcPr>
          <w:p>
            <w:pPr>
              <w:spacing w:line="264"/>
            </w:pPr>
            <w:r>
              <w:rPr>
                <w:rFonts w:ascii="Calibri" w:cs="Calibri" w:eastAsia="Calibri" w:hAnsi="Calibri"/>
                <w:sz w:val="19"/>
                <w:szCs w:val="19"/>
              </w:rPr>
              <w:t xml:space="preserve">Modelo de amostra EEG</w:t>
            </w:r>
          </w:p>
        </w:tc>
        <w:tc>
          <w:tcPr>
            <w:tcW w:type="dxa" w:w="5150"/>
            <w:tcMar>
              <w:top w:type="dxa" w:w="90"/>
              <w:left w:type="dxa" w:w="120"/>
              <w:bottom w:type="dxa" w:w="90"/>
              <w:right w:type="dxa" w:w="120"/>
            </w:tcMar>
          </w:tcPr>
          <w:p>
            <w:pPr>
              <w:spacing w:line="264"/>
            </w:pPr>
            <w:r>
              <w:rPr>
                <w:rFonts w:ascii="Calibri" w:cs="Calibri" w:eastAsia="Calibri" w:hAnsi="Calibri"/>
                <w:sz w:val="19"/>
                <w:szCs w:val="19"/>
              </w:rPr>
              <w:t xml:space="preserve">Implementado</w:t>
            </w:r>
          </w:p>
        </w:tc>
      </w:tr>
      <w:tr>
        <w:trPr>
          <w:cantSplit/>
        </w:trPr>
        <w:tc>
          <w:tcPr>
            <w:tcW w:type="dxa" w:w="4200"/>
            <w:tcMar>
              <w:top w:type="dxa" w:w="90"/>
              <w:left w:type="dxa" w:w="120"/>
              <w:bottom w:type="dxa" w:w="90"/>
              <w:right w:type="dxa" w:w="120"/>
            </w:tcMar>
          </w:tcPr>
          <w:p>
            <w:pPr>
              <w:spacing w:line="264"/>
            </w:pPr>
            <w:r>
              <w:rPr>
                <w:rFonts w:ascii="Calibri" w:cs="Calibri" w:eastAsia="Calibri" w:hAnsi="Calibri"/>
                <w:sz w:val="19"/>
                <w:szCs w:val="19"/>
              </w:rPr>
              <w:t xml:space="preserve">Comunicação Flutter–Android</w:t>
            </w:r>
          </w:p>
        </w:tc>
        <w:tc>
          <w:tcPr>
            <w:tcW w:type="dxa" w:w="5150"/>
            <w:tcMar>
              <w:top w:type="dxa" w:w="90"/>
              <w:left w:type="dxa" w:w="120"/>
              <w:bottom w:type="dxa" w:w="90"/>
              <w:right w:type="dxa" w:w="120"/>
            </w:tcMar>
          </w:tcPr>
          <w:p>
            <w:pPr>
              <w:spacing w:line="264"/>
            </w:pPr>
            <w:r>
              <w:rPr>
                <w:rFonts w:ascii="Calibri" w:cs="Calibri" w:eastAsia="Calibri" w:hAnsi="Calibri"/>
                <w:sz w:val="19"/>
                <w:szCs w:val="19"/>
              </w:rPr>
              <w:t xml:space="preserve">Implementada via MethodChannel</w:t>
            </w:r>
          </w:p>
        </w:tc>
      </w:tr>
      <w:tr>
        <w:trPr>
          <w:cantSplit/>
        </w:trPr>
        <w:tc>
          <w:tcPr>
            <w:tcW w:type="dxa" w:w="4200"/>
            <w:tcMar>
              <w:top w:type="dxa" w:w="90"/>
              <w:left w:type="dxa" w:w="120"/>
              <w:bottom w:type="dxa" w:w="90"/>
              <w:right w:type="dxa" w:w="120"/>
            </w:tcMar>
          </w:tcPr>
          <w:p>
            <w:pPr>
              <w:spacing w:line="264"/>
            </w:pPr>
            <w:r>
              <w:rPr>
                <w:rFonts w:ascii="Calibri" w:cs="Calibri" w:eastAsia="Calibri" w:hAnsi="Calibri"/>
                <w:sz w:val="19"/>
                <w:szCs w:val="19"/>
              </w:rPr>
              <w:t xml:space="preserve">Processamento pelo SDK BrainLink</w:t>
            </w:r>
          </w:p>
        </w:tc>
        <w:tc>
          <w:tcPr>
            <w:tcW w:type="dxa" w:w="5150"/>
            <w:tcMar>
              <w:top w:type="dxa" w:w="90"/>
              <w:left w:type="dxa" w:w="120"/>
              <w:bottom w:type="dxa" w:w="90"/>
              <w:right w:type="dxa" w:w="120"/>
            </w:tcMar>
          </w:tcPr>
          <w:p>
            <w:pPr>
              <w:spacing w:line="264"/>
            </w:pPr>
            <w:r>
              <w:rPr>
                <w:rFonts w:ascii="Calibri" w:cs="Calibri" w:eastAsia="Calibri" w:hAnsi="Calibri"/>
                <w:sz w:val="19"/>
                <w:szCs w:val="19"/>
              </w:rPr>
              <w:t xml:space="preserve">Integrado na camada Android</w:t>
            </w:r>
          </w:p>
        </w:tc>
      </w:tr>
      <w:tr>
        <w:trPr>
          <w:cantSplit/>
        </w:trPr>
        <w:tc>
          <w:tcPr>
            <w:tcW w:type="dxa" w:w="4200"/>
            <w:tcMar>
              <w:top w:type="dxa" w:w="90"/>
              <w:left w:type="dxa" w:w="120"/>
              <w:bottom w:type="dxa" w:w="90"/>
              <w:right w:type="dxa" w:w="120"/>
            </w:tcMar>
          </w:tcPr>
          <w:p>
            <w:pPr>
              <w:spacing w:line="264"/>
            </w:pPr>
            <w:r>
              <w:rPr>
                <w:rFonts w:ascii="Calibri" w:cs="Calibri" w:eastAsia="Calibri" w:hAnsi="Calibri"/>
                <w:sz w:val="19"/>
                <w:szCs w:val="19"/>
              </w:rPr>
              <w:t xml:space="preserve">Descoberta e seleção do headset (BLE)</w:t>
            </w:r>
          </w:p>
        </w:tc>
        <w:tc>
          <w:tcPr>
            <w:tcW w:type="dxa" w:w="5150"/>
            <w:tcMar>
              <w:top w:type="dxa" w:w="90"/>
              <w:left w:type="dxa" w:w="120"/>
              <w:bottom w:type="dxa" w:w="90"/>
              <w:right w:type="dxa" w:w="120"/>
            </w:tcMar>
          </w:tcPr>
          <w:p>
            <w:pPr>
              <w:spacing w:line="264"/>
            </w:pPr>
            <w:r>
              <w:rPr>
                <w:rFonts w:ascii="Calibri" w:cs="Calibri" w:eastAsia="Calibri" w:hAnsi="Calibri"/>
                <w:sz w:val="19"/>
                <w:szCs w:val="19"/>
              </w:rPr>
              <w:t xml:space="preserve">Pendente na interface</w:t>
            </w:r>
          </w:p>
        </w:tc>
      </w:tr>
      <w:tr>
        <w:trPr>
          <w:cantSplit/>
        </w:trPr>
        <w:tc>
          <w:tcPr>
            <w:tcW w:type="dxa" w:w="4200"/>
            <w:tcMar>
              <w:top w:type="dxa" w:w="90"/>
              <w:left w:type="dxa" w:w="120"/>
              <w:bottom w:type="dxa" w:w="90"/>
              <w:right w:type="dxa" w:w="120"/>
            </w:tcMar>
          </w:tcPr>
          <w:p>
            <w:pPr>
              <w:spacing w:line="264"/>
            </w:pPr>
            <w:r>
              <w:rPr>
                <w:rFonts w:ascii="Calibri" w:cs="Calibri" w:eastAsia="Calibri" w:hAnsi="Calibri"/>
                <w:sz w:val="19"/>
                <w:szCs w:val="19"/>
              </w:rPr>
              <w:t xml:space="preserve">Persistência / histórico de sessões</w:t>
            </w:r>
          </w:p>
        </w:tc>
        <w:tc>
          <w:tcPr>
            <w:tcW w:type="dxa" w:w="5150"/>
            <w:tcMar>
              <w:top w:type="dxa" w:w="90"/>
              <w:left w:type="dxa" w:w="120"/>
              <w:bottom w:type="dxa" w:w="90"/>
              <w:right w:type="dxa" w:w="120"/>
            </w:tcMar>
          </w:tcPr>
          <w:p>
            <w:pPr>
              <w:spacing w:line="264"/>
            </w:pPr>
            <w:r>
              <w:rPr>
                <w:rFonts w:ascii="Calibri" w:cs="Calibri" w:eastAsia="Calibri" w:hAnsi="Calibri"/>
                <w:sz w:val="19"/>
                <w:szCs w:val="19"/>
              </w:rPr>
              <w:t xml:space="preserve">Não implementado</w:t>
            </w:r>
          </w:p>
        </w:tc>
      </w:tr>
      <w:tr>
        <w:trPr>
          <w:cantSplit/>
        </w:trPr>
        <w:tc>
          <w:tcPr>
            <w:tcW w:type="dxa" w:w="4200"/>
            <w:tcMar>
              <w:top w:type="dxa" w:w="90"/>
              <w:left w:type="dxa" w:w="120"/>
              <w:bottom w:type="dxa" w:w="90"/>
              <w:right w:type="dxa" w:w="120"/>
            </w:tcMar>
          </w:tcPr>
          <w:p>
            <w:pPr>
              <w:spacing w:line="264"/>
            </w:pPr>
            <w:r>
              <w:rPr>
                <w:rFonts w:ascii="Calibri" w:cs="Calibri" w:eastAsia="Calibri" w:hAnsi="Calibri"/>
                <w:sz w:val="19"/>
                <w:szCs w:val="19"/>
              </w:rPr>
              <w:t xml:space="preserve">Testes automatizados</w:t>
            </w:r>
          </w:p>
        </w:tc>
        <w:tc>
          <w:tcPr>
            <w:tcW w:type="dxa" w:w="5150"/>
            <w:tcMar>
              <w:top w:type="dxa" w:w="90"/>
              <w:left w:type="dxa" w:w="120"/>
              <w:bottom w:type="dxa" w:w="90"/>
              <w:right w:type="dxa" w:w="120"/>
            </w:tcMar>
          </w:tcPr>
          <w:p>
            <w:pPr>
              <w:spacing w:line="264"/>
            </w:pPr>
            <w:r>
              <w:rPr>
                <w:rFonts w:ascii="Calibri" w:cs="Calibri" w:eastAsia="Calibri" w:hAnsi="Calibri"/>
                <w:sz w:val="19"/>
                <w:szCs w:val="19"/>
              </w:rPr>
              <w:t xml:space="preserve">Não implementado</w:t>
            </w:r>
          </w:p>
        </w:tc>
      </w:tr>
      <w:tr>
        <w:trPr>
          <w:cantSplit/>
        </w:trPr>
        <w:tc>
          <w:tcPr>
            <w:tcW w:type="dxa" w:w="4200"/>
            <w:tcMar>
              <w:top w:type="dxa" w:w="90"/>
              <w:left w:type="dxa" w:w="120"/>
              <w:bottom w:type="dxa" w:w="90"/>
              <w:right w:type="dxa" w:w="120"/>
            </w:tcMar>
          </w:tcPr>
          <w:p>
            <w:pPr>
              <w:spacing w:line="264"/>
            </w:pPr>
            <w:r>
              <w:rPr>
                <w:rFonts w:ascii="Calibri" w:cs="Calibri" w:eastAsia="Calibri" w:hAnsi="Calibri"/>
                <w:sz w:val="19"/>
                <w:szCs w:val="19"/>
              </w:rPr>
              <w:t xml:space="preserve">Validação clínica</w:t>
            </w:r>
          </w:p>
        </w:tc>
        <w:tc>
          <w:tcPr>
            <w:tcW w:type="dxa" w:w="5150"/>
            <w:tcMar>
              <w:top w:type="dxa" w:w="90"/>
              <w:left w:type="dxa" w:w="120"/>
              <w:bottom w:type="dxa" w:w="90"/>
              <w:right w:type="dxa" w:w="120"/>
            </w:tcMar>
          </w:tcPr>
          <w:p>
            <w:pPr>
              <w:spacing w:line="264"/>
            </w:pPr>
            <w:r>
              <w:rPr>
                <w:rFonts w:ascii="Calibri" w:cs="Calibri" w:eastAsia="Calibri" w:hAnsi="Calibri"/>
                <w:sz w:val="19"/>
                <w:szCs w:val="19"/>
              </w:rPr>
              <w:t xml:space="preserve">Fora do escopo (por definição do projeto)</w:t>
            </w:r>
          </w:p>
        </w:tc>
      </w:tr>
    </w:tbl>
    <w:p>
      <w:pPr>
        <w:spacing w:after="160" w:line="288"/>
        <w:jc w:val="both"/>
      </w:pPr>
      <w:r>
        <w:rPr>
          <w:rFonts w:ascii="Calibri" w:cs="Calibri" w:eastAsia="Calibri" w:hAnsi="Calibri"/>
          <w:sz w:val="21"/>
          <w:szCs w:val="21"/>
        </w:rPr>
        <w:t xml:space="preserve">O commit mais recente ("Mais Profissional", 7 de agosto de 2026) reorganizou o projeto de forma significativa: documentação nova (README e FRONTEND_INTEGRATION.md), reestruturação de pastas, simplificação da MainActivity.java (que caiu de 516 linhas para uma implementação mais enxuta) e reescrita da tela principal. Isso indica um projeto em evolução ativa e cuidado crescente com qualidade de código — uma base saudável para expandir.</w:t>
      </w:r>
    </w:p>
    <w:p>
      <w:pPr>
        <w:pStyle w:val="Heading2"/>
        <w:keepNext/>
        <w:spacing w:after="140" w:before="320"/>
      </w:pPr>
      <w:r>
        <w:rPr>
          <w:rFonts w:ascii="Calibri" w:cs="Calibri" w:eastAsia="Calibri" w:hAnsi="Calibri"/>
          <w:b/>
          <w:bCs/>
          <w:color w:val="2E5B9A"/>
          <w:sz w:val="24"/>
          <w:szCs w:val="24"/>
        </w:rPr>
        <w:t xml:space="preserve">2.4 Lacunas técnicas relevantes para o objetivo de detectar TDAH</w:t>
      </w:r>
    </w:p>
    <w:p>
      <w:pPr>
        <w:pStyle w:val="ListParagraph"/>
        <w:numPr>
          <w:ilvl w:val="0"/>
          <w:numId w:val="2"/>
        </w:numPr>
        <w:spacing w:after="90" w:line="276"/>
      </w:pPr>
      <w:r>
        <w:rPr>
          <w:rFonts w:ascii="Calibri" w:cs="Calibri" w:eastAsia="Calibri" w:hAnsi="Calibri"/>
          <w:sz w:val="21"/>
          <w:szCs w:val="21"/>
        </w:rPr>
        <w:t xml:space="preserve">Não há nenhum cálculo de razão theta/beta (TBR) ou de qualquer outro índice espectral composto no código atual — apenas exposição bruta das bandas.</w:t>
      </w:r>
    </w:p>
    <w:p>
      <w:pPr>
        <w:pStyle w:val="ListParagraph"/>
        <w:numPr>
          <w:ilvl w:val="0"/>
          <w:numId w:val="2"/>
        </w:numPr>
        <w:spacing w:after="90" w:line="276"/>
      </w:pPr>
      <w:r>
        <w:rPr>
          <w:rFonts w:ascii="Calibri" w:cs="Calibri" w:eastAsia="Calibri" w:hAnsi="Calibri"/>
          <w:sz w:val="21"/>
          <w:szCs w:val="21"/>
        </w:rPr>
        <w:t xml:space="preserve">Não há janelamento, filtragem de artefatos (piscadas, tensão muscular, movimento) nem normalização estatística das bandas — os valores de banda no MockDataService chegam a ordens de grandeza de centenas de milhares, sem qualquer padronização.</w:t>
      </w:r>
    </w:p>
    <w:p>
      <w:pPr>
        <w:pStyle w:val="ListParagraph"/>
        <w:numPr>
          <w:ilvl w:val="0"/>
          <w:numId w:val="2"/>
        </w:numPr>
        <w:spacing w:after="90" w:line="276"/>
      </w:pPr>
      <w:r>
        <w:rPr>
          <w:rFonts w:ascii="Calibri" w:cs="Calibri" w:eastAsia="Calibri" w:hAnsi="Calibri"/>
          <w:sz w:val="21"/>
          <w:szCs w:val="21"/>
        </w:rPr>
        <w:t xml:space="preserve">Não há persistência de sessões, o que impede análise longitudinal (essencial para qualquer aplicação de acompanhamento de atenção ao longo do tempo).</w:t>
      </w:r>
    </w:p>
    <w:p>
      <w:pPr>
        <w:pStyle w:val="ListParagraph"/>
        <w:numPr>
          <w:ilvl w:val="0"/>
          <w:numId w:val="2"/>
        </w:numPr>
        <w:spacing w:after="90" w:line="276"/>
      </w:pPr>
      <w:r>
        <w:rPr>
          <w:rFonts w:ascii="Calibri" w:cs="Calibri" w:eastAsia="Calibri" w:hAnsi="Calibri"/>
          <w:sz w:val="21"/>
          <w:szCs w:val="21"/>
        </w:rPr>
        <w:t xml:space="preserve">A descoberta Bluetooth (scan/seleção do dispositivo) ainda não está exposta na interface, apesar das permissões já estarem corretamente declaradas no AndroidManifest.xml (Android 12+ com BLUETOOTH_SCAN/CONNECT e flag neverForLocation).</w:t>
      </w:r>
    </w:p>
    <w:p>
      <w:pPr>
        <w:pStyle w:val="ListParagraph"/>
        <w:numPr>
          <w:ilvl w:val="0"/>
          <w:numId w:val="2"/>
        </w:numPr>
        <w:spacing w:after="90" w:line="276"/>
      </w:pPr>
      <w:r>
        <w:rPr>
          <w:rFonts w:ascii="Calibri" w:cs="Calibri" w:eastAsia="Calibri" w:hAnsi="Calibri"/>
          <w:sz w:val="21"/>
          <w:szCs w:val="21"/>
        </w:rPr>
        <w:t xml:space="preserve">Não há consentimento informado, política de privacidade ou anonimização de dados implementados — pontos que se tornam obrigatórios no momento em que o app passar a lidar com dados de saúde de pessoas reais, especialmente crianças (público típico de avaliação de TDAH).</w:t>
      </w:r>
    </w:p>
    <w:p>
      <w:r>
        <w:br w:type="page"/>
      </w:r>
    </w:p>
    <w:p>
      <w:pPr>
        <w:pStyle w:val="Heading1"/>
        <w:keepNext/>
        <w:pBdr>
          <w:bottom w:val="single" w:color="1F3864" w:sz="6"/>
        </w:pBdr>
        <w:spacing w:after="200" w:before="480"/>
      </w:pPr>
      <w:r>
        <w:rPr>
          <w:rFonts w:ascii="Calibri" w:cs="Calibri" w:eastAsia="Calibri" w:hAnsi="Calibri"/>
          <w:b/>
          <w:bCs/>
          <w:color w:val="1F3864"/>
          <w:sz w:val="30"/>
          <w:szCs w:val="30"/>
        </w:rPr>
        <w:t xml:space="preserve">3. Fundamentação Científica: EEG e TDAH</w:t>
      </w:r>
    </w:p>
    <w:p>
      <w:pPr>
        <w:pStyle w:val="Heading2"/>
        <w:keepNext/>
        <w:spacing w:after="140" w:before="320"/>
      </w:pPr>
      <w:r>
        <w:rPr>
          <w:rFonts w:ascii="Calibri" w:cs="Calibri" w:eastAsia="Calibri" w:hAnsi="Calibri"/>
          <w:b/>
          <w:bCs/>
          <w:color w:val="2E5B9A"/>
          <w:sz w:val="24"/>
          <w:szCs w:val="24"/>
        </w:rPr>
        <w:t xml:space="preserve">3.1 A hipótese central: a razão Theta/Beta (TBR)</w:t>
      </w:r>
    </w:p>
    <w:p>
      <w:pPr>
        <w:spacing w:after="160" w:line="288"/>
        <w:jc w:val="both"/>
      </w:pPr>
      <w:r>
        <w:rPr>
          <w:rFonts w:ascii="Calibri" w:cs="Calibri" w:eastAsia="Calibri" w:hAnsi="Calibri"/>
          <w:sz w:val="21"/>
          <w:szCs w:val="21"/>
        </w:rPr>
        <w:t xml:space="preserve">A literatura sobre EEG e TDAH gira historicamente em torno da razão theta/beta (TBR — Theta/Beta Ratio), proposta por Lubar em 1991. A lógica fisiológica é: maior atividade theta (4–8 Hz) está associada a sonolência e fadiga; menor atividade beta (&gt;14 Hz) está associada a redução de atividade mental e concentração. Crianças com TDAH tendem, em média, a apresentar TBR elevado — mais theta em relação a beta — quando comparadas a controles neurotípicos.</w:t>
      </w:r>
    </w:p>
    <w:p>
      <w:pPr>
        <w:spacing w:after="160" w:line="288"/>
        <w:jc w:val="both"/>
      </w:pPr>
      <w:r>
        <w:rPr>
          <w:rFonts w:ascii="Calibri" w:cs="Calibri" w:eastAsia="Calibri" w:hAnsi="Calibri"/>
          <w:sz w:val="21"/>
          <w:szCs w:val="21"/>
        </w:rPr>
        <w:t xml:space="preserve">Em 1999, Monastra e colaboradores reportaram sensibilidade de 86% e especificidade de 98% usando TBR para classificar TDAH em estudo multicêntrico, resultado que embasou décadas de interesse comercial e clínico no marcador.</w:t>
      </w:r>
    </w:p>
    <w:p>
      <w:pPr>
        <w:pStyle w:val="Heading2"/>
        <w:keepNext/>
        <w:spacing w:after="140" w:before="320"/>
      </w:pPr>
      <w:r>
        <w:rPr>
          <w:rFonts w:ascii="Calibri" w:cs="Calibri" w:eastAsia="Calibri" w:hAnsi="Calibri"/>
          <w:b/>
          <w:bCs/>
          <w:color w:val="2E5B9A"/>
          <w:sz w:val="24"/>
          <w:szCs w:val="24"/>
        </w:rPr>
        <w:t xml:space="preserve">3.2 Validação regulatória: o caso NEBA System (FDA, 2013)</w:t>
      </w:r>
    </w:p>
    <w:p>
      <w:pPr>
        <w:spacing w:after="160" w:line="288"/>
        <w:jc w:val="both"/>
      </w:pPr>
      <w:r>
        <w:rPr>
          <w:rFonts w:ascii="Calibri" w:cs="Calibri" w:eastAsia="Calibri" w:hAnsi="Calibri"/>
          <w:sz w:val="21"/>
          <w:szCs w:val="21"/>
        </w:rPr>
        <w:t xml:space="preserve">Em 15 de julho de 2013, o FDA autorizou (via classificação de novo, K112711) o NEBA System — o primeiro dispositivo baseado em biomarcador cerebral aprovado para qualquer condição psiquiátrica nos Estados Unidos. O NEBA mede a TBR em um único eletrodo posicionado em Cz (vértice do crânio), em sessão de 15 a 20 minutos, e compara o resultado a um banco de dados normativo por idade.</w:t>
      </w:r>
    </w:p>
    <w:tbl>
      <w:tblPr>
        <w:tblW w:type="dxa" w:w="9350"/>
        <w:tblBorders>
          <w:top w:val="single" w:color="AAAAAA" w:sz="4"/>
          <w:left w:val="single" w:color="AAAAAA" w:sz="4"/>
          <w:bottom w:val="single" w:color="AAAAAA" w:sz="4"/>
          <w:right w:val="single" w:color="AAAAAA" w:sz="4"/>
          <w:insideH w:val="single" w:color="CCCCCC" w:sz="4"/>
          <w:insideV w:val="single" w:color="CCCCCC" w:sz="4"/>
        </w:tblBorders>
      </w:tblPr>
      <w:tblGrid>
        <w:gridCol w:w="4600"/>
        <w:gridCol w:w="4750"/>
      </w:tblGrid>
      <w:tr>
        <w:trPr>
          <w:cantSplit/>
          <w:tblHeader/>
        </w:trPr>
        <w:tc>
          <w:tcPr>
            <w:tcW w:type="dxa" w:w="46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Parâmetro do NEBA System</w:t>
            </w:r>
          </w:p>
        </w:tc>
        <w:tc>
          <w:tcPr>
            <w:tcW w:type="dxa" w:w="475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Valor</w:t>
            </w:r>
          </w:p>
        </w:tc>
      </w:tr>
      <w:tr>
        <w:trPr>
          <w:cantSplit/>
        </w:trPr>
        <w:tc>
          <w:tcPr>
            <w:tcW w:type="dxa" w:w="4600"/>
            <w:tcMar>
              <w:top w:type="dxa" w:w="90"/>
              <w:left w:type="dxa" w:w="120"/>
              <w:bottom w:type="dxa" w:w="90"/>
              <w:right w:type="dxa" w:w="120"/>
            </w:tcMar>
          </w:tcPr>
          <w:p>
            <w:pPr>
              <w:spacing w:line="264"/>
            </w:pPr>
            <w:r>
              <w:rPr>
                <w:rFonts w:ascii="Calibri" w:cs="Calibri" w:eastAsia="Calibri" w:hAnsi="Calibri"/>
                <w:sz w:val="19"/>
                <w:szCs w:val="19"/>
              </w:rPr>
              <w:t xml:space="preserve">Faixa etária aprovada</w:t>
            </w:r>
          </w:p>
        </w:tc>
        <w:tc>
          <w:tcPr>
            <w:tcW w:type="dxa" w:w="4750"/>
            <w:tcMar>
              <w:top w:type="dxa" w:w="90"/>
              <w:left w:type="dxa" w:w="120"/>
              <w:bottom w:type="dxa" w:w="90"/>
              <w:right w:type="dxa" w:w="120"/>
            </w:tcMar>
          </w:tcPr>
          <w:p>
            <w:pPr>
              <w:spacing w:line="264"/>
            </w:pPr>
            <w:r>
              <w:rPr>
                <w:rFonts w:ascii="Calibri" w:cs="Calibri" w:eastAsia="Calibri" w:hAnsi="Calibri"/>
                <w:sz w:val="19"/>
                <w:szCs w:val="19"/>
              </w:rPr>
              <w:t xml:space="preserve">6 a 17 anos</w:t>
            </w:r>
          </w:p>
        </w:tc>
      </w:tr>
      <w:tr>
        <w:trPr>
          <w:cantSplit/>
        </w:trPr>
        <w:tc>
          <w:tcPr>
            <w:tcW w:type="dxa" w:w="4600"/>
            <w:tcMar>
              <w:top w:type="dxa" w:w="90"/>
              <w:left w:type="dxa" w:w="120"/>
              <w:bottom w:type="dxa" w:w="90"/>
              <w:right w:type="dxa" w:w="120"/>
            </w:tcMar>
          </w:tcPr>
          <w:p>
            <w:pPr>
              <w:spacing w:line="264"/>
            </w:pPr>
            <w:r>
              <w:rPr>
                <w:rFonts w:ascii="Calibri" w:cs="Calibri" w:eastAsia="Calibri" w:hAnsi="Calibri"/>
                <w:sz w:val="19"/>
                <w:szCs w:val="19"/>
              </w:rPr>
              <w:t xml:space="preserve">Eletrodo</w:t>
            </w:r>
          </w:p>
        </w:tc>
        <w:tc>
          <w:tcPr>
            <w:tcW w:type="dxa" w:w="4750"/>
            <w:tcMar>
              <w:top w:type="dxa" w:w="90"/>
              <w:left w:type="dxa" w:w="120"/>
              <w:bottom w:type="dxa" w:w="90"/>
              <w:right w:type="dxa" w:w="120"/>
            </w:tcMar>
          </w:tcPr>
          <w:p>
            <w:pPr>
              <w:spacing w:line="264"/>
            </w:pPr>
            <w:r>
              <w:rPr>
                <w:rFonts w:ascii="Calibri" w:cs="Calibri" w:eastAsia="Calibri" w:hAnsi="Calibri"/>
                <w:sz w:val="19"/>
                <w:szCs w:val="19"/>
              </w:rPr>
              <w:t xml:space="preserve">Único canal, posição Cz</w:t>
            </w:r>
          </w:p>
        </w:tc>
      </w:tr>
      <w:tr>
        <w:trPr>
          <w:cantSplit/>
        </w:trPr>
        <w:tc>
          <w:tcPr>
            <w:tcW w:type="dxa" w:w="4600"/>
            <w:tcMar>
              <w:top w:type="dxa" w:w="90"/>
              <w:left w:type="dxa" w:w="120"/>
              <w:bottom w:type="dxa" w:w="90"/>
              <w:right w:type="dxa" w:w="120"/>
            </w:tcMar>
          </w:tcPr>
          <w:p>
            <w:pPr>
              <w:spacing w:line="264"/>
            </w:pPr>
            <w:r>
              <w:rPr>
                <w:rFonts w:ascii="Calibri" w:cs="Calibri" w:eastAsia="Calibri" w:hAnsi="Calibri"/>
                <w:sz w:val="19"/>
                <w:szCs w:val="19"/>
              </w:rPr>
              <w:t xml:space="preserve">Uso autorizado pelo FDA</w:t>
            </w:r>
          </w:p>
        </w:tc>
        <w:tc>
          <w:tcPr>
            <w:tcW w:type="dxa" w:w="4750"/>
            <w:tcMar>
              <w:top w:type="dxa" w:w="90"/>
              <w:left w:type="dxa" w:w="120"/>
              <w:bottom w:type="dxa" w:w="90"/>
              <w:right w:type="dxa" w:w="120"/>
            </w:tcMar>
          </w:tcPr>
          <w:p>
            <w:pPr>
              <w:spacing w:line="264"/>
            </w:pPr>
            <w:r>
              <w:rPr>
                <w:rFonts w:ascii="Calibri" w:cs="Calibri" w:eastAsia="Calibri" w:hAnsi="Calibri"/>
                <w:sz w:val="19"/>
                <w:szCs w:val="19"/>
              </w:rPr>
              <w:t xml:space="preserve">Apoio à avaliação clínica — NUNCA como ferramenta autônoma de diagnóstico</w:t>
            </w:r>
          </w:p>
        </w:tc>
      </w:tr>
      <w:tr>
        <w:trPr>
          <w:cantSplit/>
        </w:trPr>
        <w:tc>
          <w:tcPr>
            <w:tcW w:type="dxa" w:w="4600"/>
            <w:tcMar>
              <w:top w:type="dxa" w:w="90"/>
              <w:left w:type="dxa" w:w="120"/>
              <w:bottom w:type="dxa" w:w="90"/>
              <w:right w:type="dxa" w:w="120"/>
            </w:tcMar>
          </w:tcPr>
          <w:p>
            <w:pPr>
              <w:spacing w:line="264"/>
            </w:pPr>
            <w:r>
              <w:rPr>
                <w:rFonts w:ascii="Calibri" w:cs="Calibri" w:eastAsia="Calibri" w:hAnsi="Calibri"/>
                <w:sz w:val="19"/>
                <w:szCs w:val="19"/>
              </w:rPr>
              <w:t xml:space="preserve">Sensibilidade (6–11 anos)</w:t>
            </w:r>
          </w:p>
        </w:tc>
        <w:tc>
          <w:tcPr>
            <w:tcW w:type="dxa" w:w="4750"/>
            <w:tcMar>
              <w:top w:type="dxa" w:w="90"/>
              <w:left w:type="dxa" w:w="120"/>
              <w:bottom w:type="dxa" w:w="90"/>
              <w:right w:type="dxa" w:w="120"/>
            </w:tcMar>
          </w:tcPr>
          <w:p>
            <w:pPr>
              <w:spacing w:line="264"/>
            </w:pPr>
            <w:r>
              <w:rPr>
                <w:rFonts w:ascii="Calibri" w:cs="Calibri" w:eastAsia="Calibri" w:hAnsi="Calibri"/>
                <w:sz w:val="19"/>
                <w:szCs w:val="19"/>
              </w:rPr>
              <w:t xml:space="preserve">79%</w:t>
            </w:r>
          </w:p>
        </w:tc>
      </w:tr>
      <w:tr>
        <w:trPr>
          <w:cantSplit/>
        </w:trPr>
        <w:tc>
          <w:tcPr>
            <w:tcW w:type="dxa" w:w="4600"/>
            <w:tcMar>
              <w:top w:type="dxa" w:w="90"/>
              <w:left w:type="dxa" w:w="120"/>
              <w:bottom w:type="dxa" w:w="90"/>
              <w:right w:type="dxa" w:w="120"/>
            </w:tcMar>
          </w:tcPr>
          <w:p>
            <w:pPr>
              <w:spacing w:line="264"/>
            </w:pPr>
            <w:r>
              <w:rPr>
                <w:rFonts w:ascii="Calibri" w:cs="Calibri" w:eastAsia="Calibri" w:hAnsi="Calibri"/>
                <w:sz w:val="19"/>
                <w:szCs w:val="19"/>
              </w:rPr>
              <w:t xml:space="preserve">Especificidade (6–11 anos)</w:t>
            </w:r>
          </w:p>
        </w:tc>
        <w:tc>
          <w:tcPr>
            <w:tcW w:type="dxa" w:w="4750"/>
            <w:tcMar>
              <w:top w:type="dxa" w:w="90"/>
              <w:left w:type="dxa" w:w="120"/>
              <w:bottom w:type="dxa" w:w="90"/>
              <w:right w:type="dxa" w:w="120"/>
            </w:tcMar>
          </w:tcPr>
          <w:p>
            <w:pPr>
              <w:spacing w:line="264"/>
            </w:pPr>
            <w:r>
              <w:rPr>
                <w:rFonts w:ascii="Calibri" w:cs="Calibri" w:eastAsia="Calibri" w:hAnsi="Calibri"/>
                <w:sz w:val="19"/>
                <w:szCs w:val="19"/>
              </w:rPr>
              <w:t xml:space="preserve">97%</w:t>
            </w:r>
          </w:p>
        </w:tc>
      </w:tr>
      <w:tr>
        <w:trPr>
          <w:cantSplit/>
        </w:trPr>
        <w:tc>
          <w:tcPr>
            <w:tcW w:type="dxa" w:w="4600"/>
            <w:tcMar>
              <w:top w:type="dxa" w:w="90"/>
              <w:left w:type="dxa" w:w="120"/>
              <w:bottom w:type="dxa" w:w="90"/>
              <w:right w:type="dxa" w:w="120"/>
            </w:tcMar>
          </w:tcPr>
          <w:p>
            <w:pPr>
              <w:spacing w:line="264"/>
            </w:pPr>
            <w:r>
              <w:rPr>
                <w:rFonts w:ascii="Calibri" w:cs="Calibri" w:eastAsia="Calibri" w:hAnsi="Calibri"/>
                <w:sz w:val="19"/>
                <w:szCs w:val="19"/>
              </w:rPr>
              <w:t xml:space="preserve">Acurácia diagnóstica combinada com avaliação clínica</w:t>
            </w:r>
          </w:p>
        </w:tc>
        <w:tc>
          <w:tcPr>
            <w:tcW w:type="dxa" w:w="4750"/>
            <w:tcMar>
              <w:top w:type="dxa" w:w="90"/>
              <w:left w:type="dxa" w:w="120"/>
              <w:bottom w:type="dxa" w:w="90"/>
              <w:right w:type="dxa" w:w="120"/>
            </w:tcMar>
          </w:tcPr>
          <w:p>
            <w:pPr>
              <w:spacing w:line="264"/>
            </w:pPr>
            <w:r>
              <w:rPr>
                <w:rFonts w:ascii="Calibri" w:cs="Calibri" w:eastAsia="Calibri" w:hAnsi="Calibri"/>
                <w:sz w:val="19"/>
                <w:szCs w:val="19"/>
              </w:rPr>
              <w:t xml:space="preserve">Aumento de 61% para 88% (segundo estudo apresentado ao FDA)</w:t>
            </w:r>
          </w:p>
        </w:tc>
      </w:tr>
    </w:tbl>
    <w:p>
      <w:pPr>
        <w:spacing w:after="120"/>
      </w:pPr>
    </w:p>
    <w:tbl>
      <w:tblPr>
        <w:tblW w:type="dxa" w:w="9350"/>
        <w:tblBorders>
          <w:top w:val="single" w:color="1F3864" w:sz="4"/>
          <w:left w:val="single" w:color="1F3864" w:sz="24"/>
          <w:bottom w:val="single" w:color="1F3864" w:sz="4"/>
          <w:right w:val="single" w:color="1F3864" w:sz="4"/>
          <w:insideH w:val="none"/>
          <w:insideV w:val="none"/>
        </w:tblBorders>
      </w:tblPr>
      <w:tblGrid>
        <w:gridCol w:w="100"/>
      </w:tblGrid>
      <w:tr>
        <w:trPr>
          <w:cantSplit/>
        </w:trPr>
        <w:tc>
          <w:tcPr>
            <w:tcW w:type="dxa" w:w="9350"/>
            <w:shd w:fill="EDEFF4" w:val="clear"/>
            <w:tcMar>
              <w:top w:type="dxa" w:w="160"/>
              <w:left w:type="dxa" w:w="220"/>
              <w:bottom w:type="dxa" w:w="160"/>
              <w:right w:type="dxa" w:w="220"/>
            </w:tcMar>
          </w:tcPr>
          <w:p>
            <w:pPr>
              <w:keepNext/>
              <w:keepLines/>
              <w:spacing w:after="60"/>
            </w:pPr>
            <w:r>
              <w:rPr>
                <w:rFonts w:ascii="Calibri" w:cs="Calibri" w:eastAsia="Calibri" w:hAnsi="Calibri"/>
                <w:b/>
                <w:bCs/>
                <w:color w:val="1F3864"/>
                <w:sz w:val="21"/>
                <w:szCs w:val="21"/>
              </w:rPr>
              <w:t xml:space="preserve">O que o FDA nunca autorizou</w:t>
            </w:r>
          </w:p>
          <w:p>
            <w:pPr>
              <w:keepLines/>
              <w:spacing w:after="0" w:line="276"/>
              <w:jc w:val="both"/>
            </w:pPr>
            <w:r>
              <w:rPr>
                <w:rFonts w:ascii="Calibri" w:cs="Calibri" w:eastAsia="Calibri" w:hAnsi="Calibri"/>
                <w:sz w:val="20"/>
                <w:szCs w:val="20"/>
              </w:rPr>
              <w:t xml:space="preserve">É importante destacar, com precisão jurídica: o FDA jamais aprovou o TBR — nem o NEBA — como ferramenta de diagnóstico autônomo. A autorização é estritamente como "aid" (auxílio) a ser usado por um clínico, em conjunto com avaliação comportamental estruturada (DSM-5, escalas Conners/SNAP-IV). Usar EEG isoladamente para "diagnosticar" TDAH nunca foi, em nenhum momento, endossado pela agência.</w:t>
            </w:r>
          </w:p>
        </w:tc>
      </w:tr>
    </w:tbl>
    <w:p>
      <w:pPr>
        <w:pStyle w:val="Heading2"/>
        <w:keepNext/>
        <w:spacing w:after="140" w:before="320"/>
      </w:pPr>
      <w:r>
        <w:rPr>
          <w:rFonts w:ascii="Calibri" w:cs="Calibri" w:eastAsia="Calibri" w:hAnsi="Calibri"/>
          <w:b/>
          <w:bCs/>
          <w:color w:val="2E5B9A"/>
          <w:sz w:val="24"/>
          <w:szCs w:val="24"/>
        </w:rPr>
        <w:t xml:space="preserve">3.3 A controvérsia científica recente sobre o TBR (2025–2026)</w:t>
      </w:r>
    </w:p>
    <w:p>
      <w:pPr>
        <w:spacing w:after="160" w:line="288"/>
        <w:jc w:val="both"/>
      </w:pPr>
      <w:r>
        <w:rPr>
          <w:rFonts w:ascii="Calibri" w:cs="Calibri" w:eastAsia="Calibri" w:hAnsi="Calibri"/>
          <w:sz w:val="21"/>
          <w:szCs w:val="21"/>
        </w:rPr>
        <w:t xml:space="preserve">A pesquisa mais recente lança dúvida séria sobre a robustez do TBR como biomarcador — informação essencial para qualquer decisão de produto que dependa dele. Um estudo de "análise multiverso" publicado em 2026 (medRxiv/eLife), testando 576 especificações analíticas plausíveis em duas amostras independentes de larga escala (Healthy Brain Network, N=1.499, e uma amostra de validação, N=381), concluiu que não há evidência consistente de que o TBR diferencie pessoas com TDAH de controles saudáveis — os valores de TBR variam substancialmente conforme escolhas metodológicas, especialmente a definição da frequência alfa individual (IAF) e a inclinação aperiódica 1/f do espectro.</w:t>
      </w:r>
    </w:p>
    <w:p>
      <w:pPr>
        <w:spacing w:after="160" w:line="288"/>
        <w:jc w:val="both"/>
      </w:pPr>
      <w:r>
        <w:rPr>
          <w:rFonts w:ascii="Calibri" w:cs="Calibri" w:eastAsia="Calibri" w:hAnsi="Calibri"/>
          <w:sz w:val="21"/>
          <w:szCs w:val="21"/>
        </w:rPr>
        <w:t xml:space="preserve">Esse achado tem respaldo em estudos anteriores: um estudo publicado na ScienceDirect já havia encontrado que nem TBR, nem theta e beta isoladamente, discriminavam significativamente entre pacientes com TDAH e controles pareados por idade e sexo. Outro estudo (PMC, 2024) tentou estabelecer um ponto de corte clínico para o TBR e obteve sensibilidades de apenas 7,3% a 14,5% — números inaceitáveis para uso diagnóstico isolado. Um terceiro estudo, comparando TDAH com Transtorno Específico de Aprendizagem, não encontrou diferença significativa de TBR entre os dois grupos em eletrodos frontocentrais.</w:t>
      </w:r>
    </w:p>
    <w:p>
      <w:pPr>
        <w:spacing w:after="160" w:line="288"/>
        <w:jc w:val="both"/>
      </w:pPr>
      <w:r>
        <w:rPr>
          <w:rFonts w:ascii="Calibri" w:cs="Calibri" w:eastAsia="Calibri" w:hAnsi="Calibri"/>
          <w:sz w:val="21"/>
          <w:szCs w:val="21"/>
        </w:rPr>
        <w:t xml:space="preserve">A leitura honesta da literatura, portanto, é: o TBR é um achado de nível populacional (aproximadamente 60% das pessoas com TDAH mostram TBR elevado; a outra parte não) e não uma assinatura garantida em cada indivíduo. Pesquisas recentes apontam que features espectrais individualizadas — como a IAF combinada com a inclinação aperiódica — podem ser marcadores mais promissores do que o TBR bruto, mas isso ainda é fronteira de pesquisa, não prática validada.</w:t>
      </w:r>
    </w:p>
    <w:p>
      <w:pPr>
        <w:pStyle w:val="Heading2"/>
        <w:keepNext/>
        <w:spacing w:after="140" w:before="320"/>
      </w:pPr>
      <w:r>
        <w:rPr>
          <w:rFonts w:ascii="Calibri" w:cs="Calibri" w:eastAsia="Calibri" w:hAnsi="Calibri"/>
          <w:b/>
          <w:bCs/>
          <w:color w:val="2E5B9A"/>
          <w:sz w:val="24"/>
          <w:szCs w:val="24"/>
        </w:rPr>
        <w:t xml:space="preserve">3.4 O que a ciência recomenda em vez de "detecção"</w:t>
      </w:r>
    </w:p>
    <w:p>
      <w:pPr>
        <w:spacing w:after="160" w:line="288"/>
        <w:jc w:val="both"/>
      </w:pPr>
      <w:r>
        <w:rPr>
          <w:rFonts w:ascii="Calibri" w:cs="Calibri" w:eastAsia="Calibri" w:hAnsi="Calibri"/>
          <w:sz w:val="21"/>
          <w:szCs w:val="21"/>
        </w:rPr>
        <w:t xml:space="preserve">Diante desse quadro, a framing mais defensável cientificamente para um produto como o do Brainlink não é "detectar TDAH", mas sim:</w:t>
      </w:r>
    </w:p>
    <w:p>
      <w:pPr>
        <w:pStyle w:val="ListParagraph"/>
        <w:numPr>
          <w:ilvl w:val="0"/>
          <w:numId w:val="3"/>
        </w:numPr>
        <w:spacing w:after="90" w:line="276"/>
      </w:pPr>
      <w:r>
        <w:rPr>
          <w:rFonts w:ascii="Calibri" w:cs="Calibri" w:eastAsia="Calibri" w:hAnsi="Calibri"/>
          <w:sz w:val="21"/>
          <w:szCs w:val="21"/>
        </w:rPr>
        <w:t xml:space="preserve">Monitorar e visualizar, de forma longitudinal, padrões de atenção/relaxamento auto-relatados pelo próprio índice eSense do dispositivo (que é proprietário e não clinicamente validado, mas útil como proxy subjetivo).</w:t>
      </w:r>
    </w:p>
    <w:p>
      <w:pPr>
        <w:pStyle w:val="ListParagraph"/>
        <w:numPr>
          <w:ilvl w:val="0"/>
          <w:numId w:val="3"/>
        </w:numPr>
        <w:spacing w:after="90" w:line="276"/>
      </w:pPr>
      <w:r>
        <w:rPr>
          <w:rFonts w:ascii="Calibri" w:cs="Calibri" w:eastAsia="Calibri" w:hAnsi="Calibri"/>
          <w:sz w:val="21"/>
          <w:szCs w:val="21"/>
        </w:rPr>
        <w:t xml:space="preserve">Correlacionar esses padrões com contexto comportamental informado pelo usuário (tarefas, horários, ambiente), criando um diário de atenção digital.</w:t>
      </w:r>
    </w:p>
    <w:p>
      <w:pPr>
        <w:pStyle w:val="ListParagraph"/>
        <w:numPr>
          <w:ilvl w:val="0"/>
          <w:numId w:val="3"/>
        </w:numPr>
        <w:spacing w:after="90" w:line="276"/>
      </w:pPr>
      <w:r>
        <w:rPr>
          <w:rFonts w:ascii="Calibri" w:cs="Calibri" w:eastAsia="Calibri" w:hAnsi="Calibri"/>
          <w:sz w:val="21"/>
          <w:szCs w:val="21"/>
        </w:rPr>
        <w:t xml:space="preserve">Gerar relatórios que o usuário possa levar a um profissional de saúde como dado complementar — nunca como veredito.</w:t>
      </w:r>
    </w:p>
    <w:p>
      <w:pPr>
        <w:pStyle w:val="ListParagraph"/>
        <w:numPr>
          <w:ilvl w:val="0"/>
          <w:numId w:val="3"/>
        </w:numPr>
        <w:spacing w:after="90" w:line="276"/>
      </w:pPr>
      <w:r>
        <w:rPr>
          <w:rFonts w:ascii="Calibri" w:cs="Calibri" w:eastAsia="Calibri" w:hAnsi="Calibri"/>
          <w:sz w:val="21"/>
          <w:szCs w:val="21"/>
        </w:rPr>
        <w:t xml:space="preserve">Deixar claro, em toda a experiência do produto, que nenhuma métrica do app constitui diagnóstico, replicando explicitamente a mesma cautela que o FDA impôs ao NEBA e que o README do repositório já assume.</w:t>
      </w:r>
    </w:p>
    <w:p>
      <w:pPr>
        <w:pStyle w:val="Heading2"/>
        <w:keepNext/>
        <w:spacing w:after="140" w:before="320"/>
      </w:pPr>
      <w:r>
        <w:rPr>
          <w:rFonts w:ascii="Calibri" w:cs="Calibri" w:eastAsia="Calibri" w:hAnsi="Calibri"/>
          <w:b/>
          <w:bCs/>
          <w:color w:val="2E5B9A"/>
          <w:sz w:val="24"/>
          <w:szCs w:val="24"/>
        </w:rPr>
        <w:t xml:space="preserve">3.5 Limitações técnicas do hardware de consumo (NeuroSky/BrainLink)</w:t>
      </w:r>
    </w:p>
    <w:p>
      <w:pPr>
        <w:spacing w:after="160" w:line="288"/>
        <w:jc w:val="both"/>
      </w:pPr>
      <w:r>
        <w:rPr>
          <w:rFonts w:ascii="Calibri" w:cs="Calibri" w:eastAsia="Calibri" w:hAnsi="Calibri"/>
          <w:sz w:val="21"/>
          <w:szCs w:val="21"/>
        </w:rPr>
        <w:t xml:space="preserve">Uma revisão sistemática recente (PLOS ONE, 2024) aponta evidências conflitantes sobre a acurácia do NeuroSky MindWave para os próprios estados que ele afirma medir (atenção e meditação) — um estudo (Maskeliunas et al.) encontrou baixa precisão nesse reconhecimento, embora outro (Rogers et al.) tenha achado utilidade do dispositivo para prever desfechos funcionais pós-AVC.</w:t>
      </w:r>
    </w:p>
    <w:p>
      <w:pPr>
        <w:spacing w:after="160" w:line="288"/>
        <w:jc w:val="both"/>
      </w:pPr>
      <w:r>
        <w:rPr>
          <w:rFonts w:ascii="Calibri" w:cs="Calibri" w:eastAsia="Calibri" w:hAnsi="Calibri"/>
          <w:sz w:val="21"/>
          <w:szCs w:val="21"/>
        </w:rPr>
        <w:t xml:space="preserve">Um estudo de 2026 publicado na Scientific Reports (Nature) comparou diretamente o BrainLink Pro contra um equipamento de referência clínica (DSI-24, 21 eletrodos). Os resultados foram encorajadores em certos aspectos e limitantes em outros:</w:t>
      </w:r>
    </w:p>
    <w:p>
      <w:pPr>
        <w:pStyle w:val="ListParagraph"/>
        <w:numPr>
          <w:ilvl w:val="0"/>
          <w:numId w:val="2"/>
        </w:numPr>
        <w:spacing w:after="90" w:line="276"/>
      </w:pPr>
      <w:r>
        <w:rPr>
          <w:rFonts w:ascii="Calibri" w:cs="Calibri" w:eastAsia="Calibri" w:hAnsi="Calibri"/>
          <w:sz w:val="21"/>
          <w:szCs w:val="21"/>
        </w:rPr>
        <w:t xml:space="preserve">O BrainLink Pro detectou corretamente 100% dos artefatos de piscada e contração de mandíbula testados, no mesmo nível que o equipamento clínico.</w:t>
      </w:r>
    </w:p>
    <w:p>
      <w:pPr>
        <w:pStyle w:val="ListParagraph"/>
        <w:numPr>
          <w:ilvl w:val="0"/>
          <w:numId w:val="2"/>
        </w:numPr>
        <w:spacing w:after="90" w:line="276"/>
      </w:pPr>
      <w:r>
        <w:rPr>
          <w:rFonts w:ascii="Calibri" w:cs="Calibri" w:eastAsia="Calibri" w:hAnsi="Calibri"/>
          <w:sz w:val="21"/>
          <w:szCs w:val="21"/>
        </w:rPr>
        <w:t xml:space="preserve">O efeito Berger (aumento de potência alfa de olhos fechados vs. abertos) foi detectado com sucesso, confirmando que o dispositivo mede atividade cerebral real, não apenas ruído.</w:t>
      </w:r>
    </w:p>
    <w:p>
      <w:pPr>
        <w:pStyle w:val="ListParagraph"/>
        <w:numPr>
          <w:ilvl w:val="0"/>
          <w:numId w:val="2"/>
        </w:numPr>
        <w:spacing w:after="90" w:line="276"/>
      </w:pPr>
      <w:r>
        <w:rPr>
          <w:rFonts w:ascii="Calibri" w:cs="Calibri" w:eastAsia="Calibri" w:hAnsi="Calibri"/>
          <w:sz w:val="21"/>
          <w:szCs w:val="21"/>
        </w:rPr>
        <w:t xml:space="preserve">A frequência de pico alfa individual do BrainLink Pro diferiu, em média, apenas 0,24 Hz do equipamento de referência — sem diferença estatisticamente significativa.</w:t>
      </w:r>
    </w:p>
    <w:p>
      <w:pPr>
        <w:pStyle w:val="ListParagraph"/>
        <w:numPr>
          <w:ilvl w:val="0"/>
          <w:numId w:val="2"/>
        </w:numPr>
        <w:spacing w:after="90" w:line="276"/>
      </w:pPr>
      <w:r>
        <w:rPr>
          <w:rFonts w:ascii="Calibri" w:cs="Calibri" w:eastAsia="Calibri" w:hAnsi="Calibri"/>
          <w:sz w:val="21"/>
          <w:szCs w:val="21"/>
        </w:rPr>
        <w:t xml:space="preserve">O BrainLink Pro mostrou a maior robustez a ruído de movimento entre os quatro dispositivos de consumo testados (correlação de 0,95 entre sinal pré e pós-movimento).</w:t>
      </w:r>
    </w:p>
    <w:p>
      <w:pPr>
        <w:pStyle w:val="ListParagraph"/>
        <w:numPr>
          <w:ilvl w:val="0"/>
          <w:numId w:val="2"/>
        </w:numPr>
        <w:spacing w:after="90" w:line="276"/>
      </w:pPr>
      <w:r>
        <w:rPr>
          <w:rFonts w:ascii="Calibri" w:cs="Calibri" w:eastAsia="Calibri" w:hAnsi="Calibri"/>
          <w:sz w:val="21"/>
          <w:szCs w:val="21"/>
        </w:rPr>
        <w:t xml:space="preserve">Limitação central, reconhecida pelos próprios autores: por ter apenas um eletrodo em Fp1, o BrainLink Pro (assim como o MindWave) não permite estudos de assimetria frontal e fornece informação estrutural limitada em comparação a dispositivos multicanal.</w:t>
      </w:r>
    </w:p>
    <w:tbl>
      <w:tblPr>
        <w:tblW w:type="dxa" w:w="9350"/>
        <w:tblBorders>
          <w:top w:val="single" w:color="1E6B3C" w:sz="4"/>
          <w:left w:val="single" w:color="1E6B3C" w:sz="24"/>
          <w:bottom w:val="single" w:color="1E6B3C" w:sz="4"/>
          <w:right w:val="single" w:color="1E6B3C" w:sz="4"/>
          <w:insideH w:val="none"/>
          <w:insideV w:val="none"/>
        </w:tblBorders>
      </w:tblPr>
      <w:tblGrid>
        <w:gridCol w:w="100"/>
      </w:tblGrid>
      <w:tr>
        <w:trPr>
          <w:cantSplit/>
        </w:trPr>
        <w:tc>
          <w:tcPr>
            <w:tcW w:type="dxa" w:w="9350"/>
            <w:shd w:fill="EDEFF4" w:val="clear"/>
            <w:tcMar>
              <w:top w:type="dxa" w:w="160"/>
              <w:left w:type="dxa" w:w="220"/>
              <w:bottom w:type="dxa" w:w="160"/>
              <w:right w:type="dxa" w:w="220"/>
            </w:tcMar>
          </w:tcPr>
          <w:p>
            <w:pPr>
              <w:keepNext/>
              <w:keepLines/>
              <w:spacing w:after="60"/>
            </w:pPr>
            <w:r>
              <w:rPr>
                <w:rFonts w:ascii="Calibri" w:cs="Calibri" w:eastAsia="Calibri" w:hAnsi="Calibri"/>
                <w:b/>
                <w:bCs/>
                <w:color w:val="1E6B3C"/>
                <w:sz w:val="21"/>
                <w:szCs w:val="21"/>
              </w:rPr>
              <w:t xml:space="preserve">Leitura prática para o projeto</w:t>
            </w:r>
          </w:p>
          <w:p>
            <w:pPr>
              <w:keepLines/>
              <w:spacing w:after="0" w:line="276"/>
              <w:jc w:val="both"/>
            </w:pPr>
            <w:r>
              <w:rPr>
                <w:rFonts w:ascii="Calibri" w:cs="Calibri" w:eastAsia="Calibri" w:hAnsi="Calibri"/>
                <w:sz w:val="20"/>
                <w:szCs w:val="20"/>
              </w:rPr>
              <w:t xml:space="preserve">A evidência mais recente e mais rigorosa (2026) confirma que o hardware BrainLink é tecnicamente confiável para captar atividade cerebral genuína — não é "brinquedo" nem ruído puro. O gargalo não está na confiabilidade do sinal, e sim (1) na cobertura de apenas um canal frontal, e (2) na fragilidade científica do biomarcador TBR em si, que é o que normalmente se tentaria usar para relacionar esse sinal ao TDAH.</w:t>
            </w:r>
          </w:p>
        </w:tc>
      </w:tr>
    </w:tbl>
    <w:p>
      <w:r>
        <w:br w:type="page"/>
      </w:r>
    </w:p>
    <w:p>
      <w:pPr>
        <w:pStyle w:val="Heading1"/>
        <w:keepNext/>
        <w:pBdr>
          <w:bottom w:val="single" w:color="1F3864" w:sz="6"/>
        </w:pBdr>
        <w:spacing w:after="200" w:before="480"/>
      </w:pPr>
      <w:r>
        <w:rPr>
          <w:rFonts w:ascii="Calibri" w:cs="Calibri" w:eastAsia="Calibri" w:hAnsi="Calibri"/>
          <w:b/>
          <w:bCs/>
          <w:color w:val="1F3864"/>
          <w:sz w:val="30"/>
          <w:szCs w:val="30"/>
        </w:rPr>
        <w:t xml:space="preserve">4. Enquadramento Regulatório</w:t>
      </w:r>
    </w:p>
    <w:p>
      <w:pPr>
        <w:pStyle w:val="Heading2"/>
        <w:keepNext/>
        <w:spacing w:after="140" w:before="320"/>
      </w:pPr>
      <w:r>
        <w:rPr>
          <w:rFonts w:ascii="Calibri" w:cs="Calibri" w:eastAsia="Calibri" w:hAnsi="Calibri"/>
          <w:b/>
          <w:bCs/>
          <w:color w:val="2E5B9A"/>
          <w:sz w:val="24"/>
          <w:szCs w:val="24"/>
        </w:rPr>
        <w:t xml:space="preserve">4.1 Estados Unidos (FDA) — usado como referência internacional</w:t>
      </w:r>
    </w:p>
    <w:p>
      <w:pPr>
        <w:spacing w:after="160" w:line="288"/>
        <w:jc w:val="both"/>
      </w:pPr>
      <w:r>
        <w:rPr>
          <w:rFonts w:ascii="Calibri" w:cs="Calibri" w:eastAsia="Calibri" w:hAnsi="Calibri"/>
          <w:sz w:val="21"/>
          <w:szCs w:val="21"/>
        </w:rPr>
        <w:t xml:space="preserve">Como visto na seção 3.2, o único precedente regulatório relevante (NEBA System) foi classificado pelo FDA como dispositivo de Classe II, sob o código de produto NCG, e está explicitamente restrito a: (a) uso por clínico habilitado; (b) faixa etária de 6 a 17 anos; (c) função de apoio, nunca autônoma. Planos de saúde nos EUA (ex.: políticas médicas citadas por operadoras) seguem tratando a avaliação de TBR isolada como "investigacional e/ou não comprovada", reforçando que mesmo o dispositivo aprovado pelo FDA não é hoje considerado, pela maior parte do sistema de saúde, uma prática médica padrão-ouro — é um complemento opcional.</w:t>
      </w:r>
    </w:p>
    <w:p>
      <w:pPr>
        <w:pStyle w:val="Heading2"/>
        <w:keepNext/>
        <w:spacing w:after="140" w:before="320"/>
      </w:pPr>
      <w:r>
        <w:rPr>
          <w:rFonts w:ascii="Calibri" w:cs="Calibri" w:eastAsia="Calibri" w:hAnsi="Calibri"/>
          <w:b/>
          <w:bCs/>
          <w:color w:val="2E5B9A"/>
          <w:sz w:val="24"/>
          <w:szCs w:val="24"/>
        </w:rPr>
        <w:t xml:space="preserve">4.2 Brasil (ANVISA) — o que se aplica ao Brainlink</w:t>
      </w:r>
    </w:p>
    <w:p>
      <w:pPr>
        <w:spacing w:after="160" w:line="288"/>
        <w:jc w:val="both"/>
      </w:pPr>
      <w:r>
        <w:rPr>
          <w:rFonts w:ascii="Calibri" w:cs="Calibri" w:eastAsia="Calibri" w:hAnsi="Calibri"/>
          <w:sz w:val="21"/>
          <w:szCs w:val="21"/>
        </w:rPr>
        <w:t xml:space="preserve">A regulamentação brasileira de Software como Dispositivo Médico (SaMD) está consolidada na RDC nº 657/2022, em vigor desde 1º de julho de 2022, complementada pela RDC geral nº 751/2022 (classificação de risco) e pela RDC nº 185/2001 como base histórica. O critério decisivo de enquadramento não é a tecnologia usada (EEG, IA, app), mas a finalidade pretendida pelo software.</w:t>
      </w:r>
    </w:p>
    <w:tbl>
      <w:tblPr>
        <w:tblW w:type="dxa" w:w="9350"/>
        <w:tblBorders>
          <w:top w:val="single" w:color="AAAAAA" w:sz="4"/>
          <w:left w:val="single" w:color="AAAAAA" w:sz="4"/>
          <w:bottom w:val="single" w:color="AAAAAA" w:sz="4"/>
          <w:right w:val="single" w:color="AAAAAA" w:sz="4"/>
          <w:insideH w:val="single" w:color="CCCCCC" w:sz="4"/>
          <w:insideV w:val="single" w:color="CCCCCC" w:sz="4"/>
        </w:tblBorders>
      </w:tblPr>
      <w:tblGrid>
        <w:gridCol w:w="1700"/>
        <w:gridCol w:w="3900"/>
        <w:gridCol w:w="3750"/>
      </w:tblGrid>
      <w:tr>
        <w:trPr>
          <w:cantSplit/>
          <w:tblHeader/>
        </w:trPr>
        <w:tc>
          <w:tcPr>
            <w:tcW w:type="dxa" w:w="17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Classe de risco</w:t>
            </w:r>
          </w:p>
        </w:tc>
        <w:tc>
          <w:tcPr>
            <w:tcW w:type="dxa" w:w="39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Critério (RDC 751/2022, Regra 11 — SaMD)</w:t>
            </w:r>
          </w:p>
        </w:tc>
        <w:tc>
          <w:tcPr>
            <w:tcW w:type="dxa" w:w="375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Aplicação hipotética ao app</w:t>
            </w:r>
          </w:p>
        </w:tc>
      </w:tr>
      <w:tr>
        <w:trPr>
          <w:cantSplit/>
        </w:trPr>
        <w:tc>
          <w:tcPr>
            <w:tcW w:type="dxa" w:w="1700"/>
            <w:tcMar>
              <w:top w:type="dxa" w:w="90"/>
              <w:left w:type="dxa" w:w="120"/>
              <w:bottom w:type="dxa" w:w="90"/>
              <w:right w:type="dxa" w:w="120"/>
            </w:tcMar>
          </w:tcPr>
          <w:p>
            <w:pPr>
              <w:spacing w:line="264"/>
            </w:pPr>
            <w:r>
              <w:rPr>
                <w:rFonts w:ascii="Calibri" w:cs="Calibri" w:eastAsia="Calibri" w:hAnsi="Calibri"/>
                <w:sz w:val="19"/>
                <w:szCs w:val="19"/>
              </w:rPr>
              <w:t xml:space="preserve">Classe I</w:t>
            </w:r>
          </w:p>
        </w:tc>
        <w:tc>
          <w:tcPr>
            <w:tcW w:type="dxa" w:w="3900"/>
            <w:tcMar>
              <w:top w:type="dxa" w:w="90"/>
              <w:left w:type="dxa" w:w="120"/>
              <w:bottom w:type="dxa" w:w="90"/>
              <w:right w:type="dxa" w:w="120"/>
            </w:tcMar>
          </w:tcPr>
          <w:p>
            <w:pPr>
              <w:spacing w:line="264"/>
            </w:pPr>
            <w:r>
              <w:rPr>
                <w:rFonts w:ascii="Calibri" w:cs="Calibri" w:eastAsia="Calibri" w:hAnsi="Calibri"/>
                <w:sz w:val="19"/>
                <w:szCs w:val="19"/>
              </w:rPr>
              <w:t xml:space="preserve">Não se destina a apoiar decisão terapêutica/diagnóstica; ou monitora processo fisiológico sem gerar decisão clínica</w:t>
            </w:r>
          </w:p>
        </w:tc>
        <w:tc>
          <w:tcPr>
            <w:tcW w:type="dxa" w:w="3750"/>
            <w:tcMar>
              <w:top w:type="dxa" w:w="90"/>
              <w:left w:type="dxa" w:w="120"/>
              <w:bottom w:type="dxa" w:w="90"/>
              <w:right w:type="dxa" w:w="120"/>
            </w:tcMar>
          </w:tcPr>
          <w:p>
            <w:pPr>
              <w:spacing w:line="264"/>
            </w:pPr>
            <w:r>
              <w:rPr>
                <w:rFonts w:ascii="Calibri" w:cs="Calibri" w:eastAsia="Calibri" w:hAnsi="Calibri"/>
                <w:sz w:val="19"/>
                <w:szCs w:val="19"/>
              </w:rPr>
              <w:t xml:space="preserve">Visualização de dados brutos de atenção/meditação, sem qualquer alegação sobre TDAH</w:t>
            </w:r>
          </w:p>
        </w:tc>
      </w:tr>
      <w:tr>
        <w:trPr>
          <w:cantSplit/>
        </w:trPr>
        <w:tc>
          <w:tcPr>
            <w:tcW w:type="dxa" w:w="1700"/>
            <w:tcMar>
              <w:top w:type="dxa" w:w="90"/>
              <w:left w:type="dxa" w:w="120"/>
              <w:bottom w:type="dxa" w:w="90"/>
              <w:right w:type="dxa" w:w="120"/>
            </w:tcMar>
          </w:tcPr>
          <w:p>
            <w:pPr>
              <w:spacing w:line="264"/>
            </w:pPr>
            <w:r>
              <w:rPr>
                <w:rFonts w:ascii="Calibri" w:cs="Calibri" w:eastAsia="Calibri" w:hAnsi="Calibri"/>
                <w:sz w:val="19"/>
                <w:szCs w:val="19"/>
              </w:rPr>
              <w:t xml:space="preserve">Classe II</w:t>
            </w:r>
          </w:p>
        </w:tc>
        <w:tc>
          <w:tcPr>
            <w:tcW w:type="dxa" w:w="3900"/>
            <w:tcMar>
              <w:top w:type="dxa" w:w="90"/>
              <w:left w:type="dxa" w:w="120"/>
              <w:bottom w:type="dxa" w:w="90"/>
              <w:right w:type="dxa" w:w="120"/>
            </w:tcMar>
          </w:tcPr>
          <w:p>
            <w:pPr>
              <w:spacing w:line="264"/>
            </w:pPr>
            <w:r>
              <w:rPr>
                <w:rFonts w:ascii="Calibri" w:cs="Calibri" w:eastAsia="Calibri" w:hAnsi="Calibri"/>
                <w:sz w:val="19"/>
                <w:szCs w:val="19"/>
              </w:rPr>
              <w:t xml:space="preserve">Fornece informação usada para apoiar decisão diagnóstica ou terapêutica</w:t>
            </w:r>
          </w:p>
        </w:tc>
        <w:tc>
          <w:tcPr>
            <w:tcW w:type="dxa" w:w="3750"/>
            <w:tcMar>
              <w:top w:type="dxa" w:w="90"/>
              <w:left w:type="dxa" w:w="120"/>
              <w:bottom w:type="dxa" w:w="90"/>
              <w:right w:type="dxa" w:w="120"/>
            </w:tcMar>
          </w:tcPr>
          <w:p>
            <w:pPr>
              <w:spacing w:line="264"/>
            </w:pPr>
            <w:r>
              <w:rPr>
                <w:rFonts w:ascii="Calibri" w:cs="Calibri" w:eastAsia="Calibri" w:hAnsi="Calibri"/>
                <w:sz w:val="19"/>
                <w:szCs w:val="19"/>
              </w:rPr>
              <w:t xml:space="preserve">Se o app passar a apresentar "score de risco de TDAH" ou relatório orientado a triagem clínica</w:t>
            </w:r>
          </w:p>
        </w:tc>
      </w:tr>
      <w:tr>
        <w:trPr>
          <w:cantSplit/>
        </w:trPr>
        <w:tc>
          <w:tcPr>
            <w:tcW w:type="dxa" w:w="1700"/>
            <w:tcMar>
              <w:top w:type="dxa" w:w="90"/>
              <w:left w:type="dxa" w:w="120"/>
              <w:bottom w:type="dxa" w:w="90"/>
              <w:right w:type="dxa" w:w="120"/>
            </w:tcMar>
          </w:tcPr>
          <w:p>
            <w:pPr>
              <w:spacing w:line="264"/>
            </w:pPr>
            <w:r>
              <w:rPr>
                <w:rFonts w:ascii="Calibri" w:cs="Calibri" w:eastAsia="Calibri" w:hAnsi="Calibri"/>
                <w:sz w:val="19"/>
                <w:szCs w:val="19"/>
              </w:rPr>
              <w:t xml:space="preserve">Classe III / IV</w:t>
            </w:r>
          </w:p>
        </w:tc>
        <w:tc>
          <w:tcPr>
            <w:tcW w:type="dxa" w:w="3900"/>
            <w:tcMar>
              <w:top w:type="dxa" w:w="90"/>
              <w:left w:type="dxa" w:w="120"/>
              <w:bottom w:type="dxa" w:w="90"/>
              <w:right w:type="dxa" w:w="120"/>
            </w:tcMar>
          </w:tcPr>
          <w:p>
            <w:pPr>
              <w:spacing w:line="264"/>
            </w:pPr>
            <w:r>
              <w:rPr>
                <w:rFonts w:ascii="Calibri" w:cs="Calibri" w:eastAsia="Calibri" w:hAnsi="Calibri"/>
                <w:sz w:val="19"/>
                <w:szCs w:val="19"/>
              </w:rPr>
              <w:t xml:space="preserve">Decisão pode causar morte ou deterioração irreversível; ou diagnóstico automatizado sem mediação humana</w:t>
            </w:r>
          </w:p>
        </w:tc>
        <w:tc>
          <w:tcPr>
            <w:tcW w:type="dxa" w:w="3750"/>
            <w:tcMar>
              <w:top w:type="dxa" w:w="90"/>
              <w:left w:type="dxa" w:w="120"/>
              <w:bottom w:type="dxa" w:w="90"/>
              <w:right w:type="dxa" w:w="120"/>
            </w:tcMar>
          </w:tcPr>
          <w:p>
            <w:pPr>
              <w:spacing w:line="264"/>
            </w:pPr>
            <w:r>
              <w:rPr>
                <w:rFonts w:ascii="Calibri" w:cs="Calibri" w:eastAsia="Calibri" w:hAnsi="Calibri"/>
                <w:sz w:val="19"/>
                <w:szCs w:val="19"/>
              </w:rPr>
              <w:t xml:space="preserve">Não se aplica a este caso de uso, mas seria o patamar de qualquer sistema que emitisse diagnóstico automatizado e acionável sem revisão profissional</w:t>
            </w:r>
          </w:p>
        </w:tc>
      </w:tr>
    </w:tbl>
    <w:p>
      <w:pPr>
        <w:spacing w:after="120"/>
      </w:pPr>
    </w:p>
    <w:tbl>
      <w:tblPr>
        <w:tblW w:type="dxa" w:w="9350"/>
        <w:tblBorders>
          <w:top w:val="single" w:color="9C2B2B" w:sz="4"/>
          <w:left w:val="single" w:color="9C2B2B" w:sz="24"/>
          <w:bottom w:val="single" w:color="9C2B2B" w:sz="4"/>
          <w:right w:val="single" w:color="9C2B2B" w:sz="4"/>
          <w:insideH w:val="none"/>
          <w:insideV w:val="none"/>
        </w:tblBorders>
      </w:tblPr>
      <w:tblGrid>
        <w:gridCol w:w="100"/>
      </w:tblGrid>
      <w:tr>
        <w:trPr>
          <w:cantSplit/>
        </w:trPr>
        <w:tc>
          <w:tcPr>
            <w:tcW w:type="dxa" w:w="9350"/>
            <w:shd w:fill="EDEFF4" w:val="clear"/>
            <w:tcMar>
              <w:top w:type="dxa" w:w="160"/>
              <w:left w:type="dxa" w:w="220"/>
              <w:bottom w:type="dxa" w:w="160"/>
              <w:right w:type="dxa" w:w="220"/>
            </w:tcMar>
          </w:tcPr>
          <w:p>
            <w:pPr>
              <w:keepNext/>
              <w:keepLines/>
              <w:spacing w:after="60"/>
            </w:pPr>
            <w:r>
              <w:rPr>
                <w:rFonts w:ascii="Calibri" w:cs="Calibri" w:eastAsia="Calibri" w:hAnsi="Calibri"/>
                <w:b/>
                <w:bCs/>
                <w:color w:val="9C2B2B"/>
                <w:sz w:val="21"/>
                <w:szCs w:val="21"/>
              </w:rPr>
              <w:t xml:space="preserve">Ponto de virada regulatório para o projeto</w:t>
            </w:r>
          </w:p>
          <w:p>
            <w:pPr>
              <w:keepLines/>
              <w:spacing w:after="0" w:line="276"/>
              <w:jc w:val="both"/>
            </w:pPr>
            <w:r>
              <w:rPr>
                <w:rFonts w:ascii="Calibri" w:cs="Calibri" w:eastAsia="Calibri" w:hAnsi="Calibri"/>
                <w:sz w:val="20"/>
                <w:szCs w:val="20"/>
              </w:rPr>
              <w:t xml:space="preserve">Enquanto o Brainlink for um app de visualização, bem-estar e autoconhecimento — sem alegar diagnóstico, sem pontuar "risco de TDAH" e sem substituir avaliação clínica — ele tende a se enquadrar como Classe I, com via de regularização simplificada (notificação). No momento em que o app passar a gerar uma saída interpretada como apoio a diagnóstico ou tratamento (por exemplo, um "índice de atenção sugestivo de TDAH"), ele migra para Classe II, exigindo evidência clínica, documentação técnica robusta e processo de registro junto à ANVISA — ainda que use exatamente o mesmo hardware e os mesmos dados brutos.</w:t>
            </w:r>
          </w:p>
        </w:tc>
      </w:tr>
    </w:tbl>
    <w:p>
      <w:pPr>
        <w:pStyle w:val="Heading2"/>
        <w:keepNext/>
        <w:spacing w:after="140" w:before="320"/>
      </w:pPr>
      <w:r>
        <w:rPr>
          <w:rFonts w:ascii="Calibri" w:cs="Calibri" w:eastAsia="Calibri" w:hAnsi="Calibri"/>
          <w:b/>
          <w:bCs/>
          <w:color w:val="2E5B9A"/>
          <w:sz w:val="24"/>
          <w:szCs w:val="24"/>
        </w:rPr>
        <w:t xml:space="preserve">4.3 Implicações práticas de produto</w:t>
      </w:r>
    </w:p>
    <w:p>
      <w:pPr>
        <w:pStyle w:val="ListParagraph"/>
        <w:numPr>
          <w:ilvl w:val="0"/>
          <w:numId w:val="2"/>
        </w:numPr>
        <w:spacing w:after="90" w:line="276"/>
      </w:pPr>
      <w:r>
        <w:rPr>
          <w:rFonts w:ascii="Calibri" w:cs="Calibri" w:eastAsia="Calibri" w:hAnsi="Calibri"/>
          <w:sz w:val="21"/>
          <w:szCs w:val="21"/>
        </w:rPr>
        <w:t xml:space="preserve">Qualquer termo como "diagnóstico", "detecção de TDAH" ou "identifica TDAH" no nome, na descrição de loja de apps ou na interface do produto já é, por si, um sinal de finalidade diagnóstica perante o regulador — independentemente da precisão técnica por trás.</w:t>
      </w:r>
    </w:p>
    <w:p>
      <w:pPr>
        <w:pStyle w:val="ListParagraph"/>
        <w:numPr>
          <w:ilvl w:val="0"/>
          <w:numId w:val="2"/>
        </w:numPr>
        <w:spacing w:after="90" w:line="276"/>
      </w:pPr>
      <w:r>
        <w:rPr>
          <w:rFonts w:ascii="Calibri" w:cs="Calibri" w:eastAsia="Calibri" w:hAnsi="Calibri"/>
          <w:sz w:val="21"/>
          <w:szCs w:val="21"/>
        </w:rPr>
        <w:t xml:space="preserve">Um app de Classe I pode, com segurança jurídica maior, se posicionar como "diário de atenção", "monitor de foco" ou "apoio ao autoconhecimento", sempre recomendando avaliação profissional para qualquer suspeita de TDAH.</w:t>
      </w:r>
    </w:p>
    <w:p>
      <w:pPr>
        <w:pStyle w:val="ListParagraph"/>
        <w:numPr>
          <w:ilvl w:val="0"/>
          <w:numId w:val="2"/>
        </w:numPr>
        <w:spacing w:after="90" w:line="276"/>
      </w:pPr>
      <w:r>
        <w:rPr>
          <w:rFonts w:ascii="Calibri" w:cs="Calibri" w:eastAsia="Calibri" w:hAnsi="Calibri"/>
          <w:sz w:val="21"/>
          <w:szCs w:val="21"/>
        </w:rPr>
        <w:t xml:space="preserve">Se a ambição do projeto é, no médio prazo, oferecer algo clinicamente relevante (ex.: relatório para levar ao psiquiatra/neuropediatra), a estratégia mais segura é desenhar o produto desde já como "ferramenta de apoio à consulta", nunca como substituto dela — e documentar isso de forma explícita em termos de uso, telas do app e materiais de marketing.</w:t>
      </w:r>
    </w:p>
    <w:p>
      <w:pPr>
        <w:pStyle w:val="Heading1"/>
        <w:keepNext/>
        <w:pBdr>
          <w:bottom w:val="single" w:color="1F3864" w:sz="6"/>
        </w:pBdr>
        <w:spacing w:after="200" w:before="480"/>
      </w:pPr>
      <w:r>
        <w:rPr>
          <w:rFonts w:ascii="Calibri" w:cs="Calibri" w:eastAsia="Calibri" w:hAnsi="Calibri"/>
          <w:b/>
          <w:bCs/>
          <w:color w:val="1F3864"/>
          <w:sz w:val="30"/>
          <w:szCs w:val="30"/>
        </w:rPr>
        <w:t xml:space="preserve">5. Síntese: Como isso se conecta ao projeto</w:t>
      </w:r>
    </w:p>
    <w:p>
      <w:pPr>
        <w:pStyle w:val="Heading2"/>
        <w:keepNext/>
        <w:spacing w:after="140" w:before="320"/>
      </w:pPr>
      <w:r>
        <w:rPr>
          <w:rFonts w:ascii="Calibri" w:cs="Calibri" w:eastAsia="Calibri" w:hAnsi="Calibri"/>
          <w:b/>
          <w:bCs/>
          <w:color w:val="2E5B9A"/>
          <w:sz w:val="24"/>
          <w:szCs w:val="24"/>
        </w:rPr>
        <w:t xml:space="preserve">5.1 O que já está pronto e é aproveitável</w:t>
      </w:r>
    </w:p>
    <w:p>
      <w:pPr>
        <w:pStyle w:val="ListParagraph"/>
        <w:numPr>
          <w:ilvl w:val="0"/>
          <w:numId w:val="2"/>
        </w:numPr>
        <w:spacing w:after="90" w:line="276"/>
      </w:pPr>
      <w:r>
        <w:rPr>
          <w:rFonts w:ascii="Calibri" w:cs="Calibri" w:eastAsia="Calibri" w:hAnsi="Calibri"/>
          <w:sz w:val="21"/>
          <w:szCs w:val="21"/>
        </w:rPr>
        <w:t xml:space="preserve">Pipeline de aquisição de dados EEG funcional (Bluetooth → SDK NeuroSky → MethodChannel → Flutter), incluindo tratamento de erros e estados de conexão.</w:t>
      </w:r>
    </w:p>
    <w:p>
      <w:pPr>
        <w:pStyle w:val="ListParagraph"/>
        <w:numPr>
          <w:ilvl w:val="0"/>
          <w:numId w:val="2"/>
        </w:numPr>
        <w:spacing w:after="90" w:line="276"/>
      </w:pPr>
      <w:r>
        <w:rPr>
          <w:rFonts w:ascii="Calibri" w:cs="Calibri" w:eastAsia="Calibri" w:hAnsi="Calibri"/>
          <w:sz w:val="21"/>
          <w:szCs w:val="21"/>
        </w:rPr>
        <w:t xml:space="preserve">Modelo de dados tipado e extensível (EEGData), fácil de estender com novos campos derivados (ex.: TBR calculado, médias móveis, z-scores).</w:t>
      </w:r>
    </w:p>
    <w:p>
      <w:pPr>
        <w:pStyle w:val="ListParagraph"/>
        <w:numPr>
          <w:ilvl w:val="0"/>
          <w:numId w:val="2"/>
        </w:numPr>
        <w:spacing w:after="90" w:line="276"/>
      </w:pPr>
      <w:r>
        <w:rPr>
          <w:rFonts w:ascii="Calibri" w:cs="Calibri" w:eastAsia="Calibri" w:hAnsi="Calibri"/>
          <w:sz w:val="21"/>
          <w:szCs w:val="21"/>
        </w:rPr>
        <w:t xml:space="preserve">Arquitetura em streams reativas (Dart Streams), que se presta bem a agregações em tempo real e a plugar um motor de análise sem reescrever a base.</w:t>
      </w:r>
    </w:p>
    <w:p>
      <w:pPr>
        <w:pStyle w:val="ListParagraph"/>
        <w:numPr>
          <w:ilvl w:val="0"/>
          <w:numId w:val="2"/>
        </w:numPr>
        <w:spacing w:after="90" w:line="276"/>
      </w:pPr>
      <w:r>
        <w:rPr>
          <w:rFonts w:ascii="Calibri" w:cs="Calibri" w:eastAsia="Calibri" w:hAnsi="Calibri"/>
          <w:sz w:val="21"/>
          <w:szCs w:val="21"/>
        </w:rPr>
        <w:t xml:space="preserve">Ambiente de simulação (MockDataService) já pronto para desenvolver e testar toda a lógica de análise sem depender do hardware físico — inclusive para simular perfis "como se fossem" de atenção alta/baixa.</w:t>
      </w:r>
    </w:p>
    <w:p>
      <w:pPr>
        <w:pStyle w:val="ListParagraph"/>
        <w:numPr>
          <w:ilvl w:val="0"/>
          <w:numId w:val="2"/>
        </w:numPr>
        <w:spacing w:after="90" w:line="276"/>
      </w:pPr>
      <w:r>
        <w:rPr>
          <w:rFonts w:ascii="Calibri" w:cs="Calibri" w:eastAsia="Calibri" w:hAnsi="Calibri"/>
          <w:sz w:val="21"/>
          <w:szCs w:val="21"/>
        </w:rPr>
        <w:t xml:space="preserve">Cultura de documentação e avisos de responsabilidade já presente no projeto (README explicitando que não é ferramenta clínica), o que facilita — em vez de dificultar — a conformidade regulatória futura.</w:t>
      </w:r>
    </w:p>
    <w:p>
      <w:pPr>
        <w:pStyle w:val="Heading2"/>
        <w:keepNext/>
        <w:spacing w:after="140" w:before="320"/>
      </w:pPr>
      <w:r>
        <w:rPr>
          <w:rFonts w:ascii="Calibri" w:cs="Calibri" w:eastAsia="Calibri" w:hAnsi="Calibri"/>
          <w:b/>
          <w:bCs/>
          <w:color w:val="2E5B9A"/>
          <w:sz w:val="24"/>
          <w:szCs w:val="24"/>
        </w:rPr>
        <w:t xml:space="preserve">5.2 O que precisa ser construído (lacunas técnicas a fechar)</w:t>
      </w:r>
    </w:p>
    <w:p>
      <w:pPr>
        <w:pStyle w:val="ListParagraph"/>
        <w:numPr>
          <w:ilvl w:val="0"/>
          <w:numId w:val="4"/>
        </w:numPr>
        <w:spacing w:after="90" w:line="276"/>
      </w:pPr>
      <w:r>
        <w:rPr>
          <w:rFonts w:ascii="Calibri" w:cs="Calibri" w:eastAsia="Calibri" w:hAnsi="Calibri"/>
          <w:sz w:val="21"/>
          <w:szCs w:val="21"/>
        </w:rPr>
        <w:t xml:space="preserve">Descoberta e pareamento Bluetooth na interface (hoje ausente), incluindo tratamento das permissões de runtime já declaradas no manifesto.</w:t>
      </w:r>
    </w:p>
    <w:p>
      <w:pPr>
        <w:pStyle w:val="ListParagraph"/>
        <w:numPr>
          <w:ilvl w:val="0"/>
          <w:numId w:val="4"/>
        </w:numPr>
        <w:spacing w:after="90" w:line="276"/>
      </w:pPr>
      <w:r>
        <w:rPr>
          <w:rFonts w:ascii="Calibri" w:cs="Calibri" w:eastAsia="Calibri" w:hAnsi="Calibri"/>
          <w:sz w:val="21"/>
          <w:szCs w:val="21"/>
        </w:rPr>
        <w:t xml:space="preserve">Camada de processamento de sinal: normalização das bandas brutas (hoje em ordens de grandeza arbitrárias, sem calibração), cálculo de razões espectrais (TBR e, futuramente, IAF/1f), e filtragem básica de artefatos de piscada/movimento.</w:t>
      </w:r>
    </w:p>
    <w:p>
      <w:pPr>
        <w:pStyle w:val="ListParagraph"/>
        <w:numPr>
          <w:ilvl w:val="0"/>
          <w:numId w:val="4"/>
        </w:numPr>
        <w:spacing w:after="90" w:line="276"/>
      </w:pPr>
      <w:r>
        <w:rPr>
          <w:rFonts w:ascii="Calibri" w:cs="Calibri" w:eastAsia="Calibri" w:hAnsi="Calibri"/>
          <w:sz w:val="21"/>
          <w:szCs w:val="21"/>
        </w:rPr>
        <w:t xml:space="preserve">Persistência de sessões (local e/ou nuvem) com timestamps, permitindo visão longitudinal — essencial porque um único snapshot de atenção diz muito pouco; o valor está no padrão ao longo de dias/semanas.</w:t>
      </w:r>
    </w:p>
    <w:p>
      <w:pPr>
        <w:pStyle w:val="ListParagraph"/>
        <w:numPr>
          <w:ilvl w:val="0"/>
          <w:numId w:val="4"/>
        </w:numPr>
        <w:spacing w:after="90" w:line="276"/>
      </w:pPr>
      <w:r>
        <w:rPr>
          <w:rFonts w:ascii="Calibri" w:cs="Calibri" w:eastAsia="Calibri" w:hAnsi="Calibri"/>
          <w:sz w:val="21"/>
          <w:szCs w:val="21"/>
        </w:rPr>
        <w:t xml:space="preserve">Modelo de consentimento informado e política de privacidade específica para dados de saúde, com atenção redobrada por o público-alvo típico de TDAH incluir crianças e adolescentes.</w:t>
      </w:r>
    </w:p>
    <w:p>
      <w:pPr>
        <w:pStyle w:val="ListParagraph"/>
        <w:numPr>
          <w:ilvl w:val="0"/>
          <w:numId w:val="4"/>
        </w:numPr>
        <w:spacing w:after="90" w:line="276"/>
      </w:pPr>
      <w:r>
        <w:rPr>
          <w:rFonts w:ascii="Calibri" w:cs="Calibri" w:eastAsia="Calibri" w:hAnsi="Calibri"/>
          <w:sz w:val="21"/>
          <w:szCs w:val="21"/>
        </w:rPr>
        <w:t xml:space="preserve">Camada de apresentação de resultado que evite qualquer linguagem diagnóstica — usar termos como "padrão observado", "tendência", "sugestão para discutir com um profissional", nunca "você tem" ou "detectamos TDAH".</w:t>
      </w:r>
    </w:p>
    <w:p>
      <w:pPr>
        <w:pStyle w:val="ListParagraph"/>
        <w:numPr>
          <w:ilvl w:val="0"/>
          <w:numId w:val="4"/>
        </w:numPr>
        <w:spacing w:after="90" w:line="276"/>
      </w:pPr>
      <w:r>
        <w:rPr>
          <w:rFonts w:ascii="Calibri" w:cs="Calibri" w:eastAsia="Calibri" w:hAnsi="Calibri"/>
          <w:sz w:val="21"/>
          <w:szCs w:val="21"/>
        </w:rPr>
        <w:t xml:space="preserve">Testes automatizados (ausentes hoje), especialmente para a camada de cálculo de índices, dado que erros nessa camada teriam impacto direto na credibilidade e segurança do produto.</w:t>
      </w:r>
    </w:p>
    <w:p>
      <w:pPr>
        <w:pStyle w:val="Heading2"/>
        <w:keepNext/>
        <w:spacing w:after="140" w:before="320"/>
      </w:pPr>
      <w:r>
        <w:rPr>
          <w:rFonts w:ascii="Calibri" w:cs="Calibri" w:eastAsia="Calibri" w:hAnsi="Calibri"/>
          <w:b/>
          <w:bCs/>
          <w:color w:val="2E5B9A"/>
          <w:sz w:val="24"/>
          <w:szCs w:val="24"/>
        </w:rPr>
        <w:t xml:space="preserve">5.3 Direção de produto recomendada</w:t>
      </w:r>
    </w:p>
    <w:p>
      <w:pPr>
        <w:spacing w:after="160" w:line="288"/>
        <w:jc w:val="both"/>
      </w:pPr>
      <w:r>
        <w:rPr>
          <w:rFonts w:ascii="Calibri" w:cs="Calibri" w:eastAsia="Calibri" w:hAnsi="Calibri"/>
          <w:sz w:val="21"/>
          <w:szCs w:val="21"/>
        </w:rPr>
        <w:t xml:space="preserve">Com base em tudo levantado, a direção cientificamente e regulatoriamente mais defensável para o Brainlink não é construir um "detector de TDAH", e sim um assistente de observação e triagem de padrões de atenção — que:</w:t>
      </w:r>
    </w:p>
    <w:p>
      <w:pPr>
        <w:pStyle w:val="ListParagraph"/>
        <w:numPr>
          <w:ilvl w:val="0"/>
          <w:numId w:val="2"/>
        </w:numPr>
        <w:spacing w:after="90" w:line="276"/>
      </w:pPr>
      <w:r>
        <w:rPr>
          <w:rFonts w:ascii="Calibri" w:cs="Calibri" w:eastAsia="Calibri" w:hAnsi="Calibri"/>
          <w:sz w:val="21"/>
          <w:szCs w:val="21"/>
        </w:rPr>
        <w:t xml:space="preserve">Usa o TBR e outros índices espectrais como sinais de apoio, sempre contextualizados com a ressalva de que são achados populacionais, não individuais.</w:t>
      </w:r>
    </w:p>
    <w:p>
      <w:pPr>
        <w:pStyle w:val="ListParagraph"/>
        <w:numPr>
          <w:ilvl w:val="0"/>
          <w:numId w:val="2"/>
        </w:numPr>
        <w:spacing w:after="90" w:line="276"/>
      </w:pPr>
      <w:r>
        <w:rPr>
          <w:rFonts w:ascii="Calibri" w:cs="Calibri" w:eastAsia="Calibri" w:hAnsi="Calibri"/>
          <w:sz w:val="21"/>
          <w:szCs w:val="21"/>
        </w:rPr>
        <w:t xml:space="preserve">Convida o usuário (ou responsável, no caso de crianças) a registrar contexto comportamental junto aos dados de EEG, criando uma trilha de evidências mais rica do que o sinal cerebral isolado.</w:t>
      </w:r>
    </w:p>
    <w:p>
      <w:pPr>
        <w:pStyle w:val="ListParagraph"/>
        <w:numPr>
          <w:ilvl w:val="0"/>
          <w:numId w:val="2"/>
        </w:numPr>
        <w:spacing w:after="90" w:line="276"/>
      </w:pPr>
      <w:r>
        <w:rPr>
          <w:rFonts w:ascii="Calibri" w:cs="Calibri" w:eastAsia="Calibri" w:hAnsi="Calibri"/>
          <w:sz w:val="21"/>
          <w:szCs w:val="21"/>
        </w:rPr>
        <w:t xml:space="preserve">Gera, ao final de um período de uso, um relatório exportável pensado para ser entregue a um psiquiatra, neurologista ou neuropsicólogo — nunca para ser lido como resultado final.</w:t>
      </w:r>
    </w:p>
    <w:p>
      <w:pPr>
        <w:pStyle w:val="ListParagraph"/>
        <w:numPr>
          <w:ilvl w:val="0"/>
          <w:numId w:val="2"/>
        </w:numPr>
        <w:spacing w:after="90" w:line="276"/>
      </w:pPr>
      <w:r>
        <w:rPr>
          <w:rFonts w:ascii="Calibri" w:cs="Calibri" w:eastAsia="Calibri" w:hAnsi="Calibri"/>
          <w:sz w:val="21"/>
          <w:szCs w:val="21"/>
        </w:rPr>
        <w:t xml:space="preserve">Mantém, em toda a jornada, a mesma cautela que o próprio README do repositório já demonstra ter internalizado desde a concepção do projeto.</w:t>
      </w:r>
    </w:p>
    <w:p>
      <w:pPr>
        <w:spacing w:after="200"/>
      </w:pPr>
    </w:p>
    <w:tbl>
      <w:tblPr>
        <w:tblW w:type="dxa" w:w="9350"/>
        <w:tblBorders>
          <w:top w:val="single" w:color="1F3864" w:sz="4"/>
          <w:left w:val="single" w:color="1F3864" w:sz="24"/>
          <w:bottom w:val="single" w:color="1F3864" w:sz="4"/>
          <w:right w:val="single" w:color="1F3864" w:sz="4"/>
          <w:insideH w:val="none"/>
          <w:insideV w:val="none"/>
        </w:tblBorders>
      </w:tblPr>
      <w:tblGrid>
        <w:gridCol w:w="100"/>
      </w:tblGrid>
      <w:tr>
        <w:trPr>
          <w:cantSplit/>
        </w:trPr>
        <w:tc>
          <w:tcPr>
            <w:tcW w:type="dxa" w:w="9350"/>
            <w:shd w:fill="EDEFF4" w:val="clear"/>
            <w:tcMar>
              <w:top w:type="dxa" w:w="160"/>
              <w:left w:type="dxa" w:w="220"/>
              <w:bottom w:type="dxa" w:w="160"/>
              <w:right w:type="dxa" w:w="220"/>
            </w:tcMar>
          </w:tcPr>
          <w:p>
            <w:pPr>
              <w:keepNext/>
              <w:keepLines/>
              <w:spacing w:after="60"/>
            </w:pPr>
            <w:r>
              <w:rPr>
                <w:rFonts w:ascii="Calibri" w:cs="Calibri" w:eastAsia="Calibri" w:hAnsi="Calibri"/>
                <w:b/>
                <w:bCs/>
                <w:color w:val="1F3864"/>
                <w:sz w:val="21"/>
                <w:szCs w:val="21"/>
              </w:rPr>
              <w:t xml:space="preserve">Próximo passo natural</w:t>
            </w:r>
          </w:p>
          <w:p>
            <w:pPr>
              <w:keepLines/>
              <w:spacing w:after="0" w:line="276"/>
              <w:jc w:val="both"/>
            </w:pPr>
            <w:r>
              <w:rPr>
                <w:rFonts w:ascii="Calibri" w:cs="Calibri" w:eastAsia="Calibri" w:hAnsi="Calibri"/>
                <w:sz w:val="20"/>
                <w:szCs w:val="20"/>
              </w:rPr>
              <w:t xml:space="preserve">Se você quiser, o próximo movimento lógico é eu desenhar a arquitetura técnica dessa camada de análise (cálculo de TBR, normalização de bandas, persistência de sessões) em cima da estrutura Dart/Flutter que já existe — mantendo compatibilidade total com o que já está no repositório — e/ou redigir os textos de consentimento informado e disclaimers que o app vai precisar exibir ao usuário.</w:t>
            </w:r>
          </w:p>
        </w:tc>
      </w:tr>
    </w:tbl>
    <w:p>
      <w:r>
        <w:br w:type="page"/>
      </w:r>
    </w:p>
    <w:p>
      <w:pPr>
        <w:pStyle w:val="Heading1"/>
        <w:keepNext/>
        <w:pBdr>
          <w:bottom w:val="single" w:color="1F3864" w:sz="6"/>
        </w:pBdr>
        <w:spacing w:after="200" w:before="480"/>
      </w:pPr>
      <w:r>
        <w:rPr>
          <w:rFonts w:ascii="Calibri" w:cs="Calibri" w:eastAsia="Calibri" w:hAnsi="Calibri"/>
          <w:b/>
          <w:bCs/>
          <w:color w:val="1F3864"/>
          <w:sz w:val="30"/>
          <w:szCs w:val="30"/>
        </w:rPr>
        <w:t xml:space="preserve">6. Fontes Consultadas</w:t>
      </w:r>
    </w:p>
    <w:p>
      <w:pPr>
        <w:spacing w:after="160" w:line="288"/>
        <w:jc w:val="both"/>
      </w:pPr>
      <w:r>
        <w:rPr>
          <w:rFonts w:ascii="Calibri" w:cs="Calibri" w:eastAsia="Calibri" w:hAnsi="Calibri"/>
          <w:i/>
          <w:iCs/>
          <w:color w:val="595959"/>
          <w:sz w:val="21"/>
          <w:szCs w:val="21"/>
        </w:rPr>
        <w:t xml:space="preserve">As referências abaixo fundamentam as afirmações científicas e regulatórias deste relatório. Recomenda-se a leitura direta das fontes primárias antes de qualquer decisão de produto ou comunicação pública sobre o assunto.</w:t>
      </w:r>
    </w:p>
    <w:p>
      <w:pPr>
        <w:pStyle w:val="Heading3"/>
        <w:keepNext/>
        <w:spacing w:after="100" w:before="220"/>
      </w:pPr>
      <w:r>
        <w:rPr>
          <w:rFonts w:ascii="Calibri" w:cs="Calibri" w:eastAsia="Calibri" w:hAnsi="Calibri"/>
          <w:b/>
          <w:bCs/>
          <w:color w:val="1F3864"/>
          <w:sz w:val="21"/>
          <w:szCs w:val="21"/>
        </w:rPr>
        <w:t xml:space="preserve">Repositório analisado</w:t>
      </w:r>
    </w:p>
    <w:p>
      <w:pPr>
        <w:pStyle w:val="ListParagraph"/>
        <w:numPr>
          <w:ilvl w:val="0"/>
          <w:numId w:val="2"/>
        </w:numPr>
        <w:spacing w:after="90" w:line="276"/>
      </w:pPr>
      <w:r>
        <w:rPr>
          <w:rFonts w:ascii="Calibri" w:cs="Calibri" w:eastAsia="Calibri" w:hAnsi="Calibri"/>
          <w:sz w:val="21"/>
          <w:szCs w:val="21"/>
        </w:rPr>
        <w:t xml:space="preserve">github.com/gustavoobezerra/App_Brainlink — código-fonte, README.md e FRONTEND_INTEGRATION.md (analisados via clone direto em 13/08/2026).</w:t>
      </w:r>
    </w:p>
    <w:p>
      <w:pPr>
        <w:pStyle w:val="Heading3"/>
        <w:keepNext/>
        <w:spacing w:after="100" w:before="220"/>
      </w:pPr>
      <w:r>
        <w:rPr>
          <w:rFonts w:ascii="Calibri" w:cs="Calibri" w:eastAsia="Calibri" w:hAnsi="Calibri"/>
          <w:b/>
          <w:bCs/>
          <w:color w:val="1F3864"/>
          <w:sz w:val="21"/>
          <w:szCs w:val="21"/>
        </w:rPr>
        <w:t xml:space="preserve">Literatura científica — EEG e TDAH</w:t>
      </w:r>
    </w:p>
    <w:p>
      <w:pPr>
        <w:pStyle w:val="ListParagraph"/>
        <w:numPr>
          <w:ilvl w:val="0"/>
          <w:numId w:val="2"/>
        </w:numPr>
        <w:spacing w:after="90" w:line="276"/>
      </w:pPr>
      <w:r>
        <w:rPr>
          <w:rFonts w:ascii="Calibri" w:cs="Calibri" w:eastAsia="Calibri" w:hAnsi="Calibri"/>
          <w:sz w:val="21"/>
          <w:szCs w:val="21"/>
        </w:rPr>
        <w:t xml:space="preserve">Theta-Beta Ratio in Attention Deficit Hyperactivity Disorder: A Multiverse Analysis — medRxiv/eLife, 2026.</w:t>
      </w:r>
    </w:p>
    <w:p>
      <w:pPr>
        <w:pStyle w:val="ListParagraph"/>
        <w:numPr>
          <w:ilvl w:val="0"/>
          <w:numId w:val="2"/>
        </w:numPr>
        <w:spacing w:after="90" w:line="276"/>
      </w:pPr>
      <w:r>
        <w:rPr>
          <w:rFonts w:ascii="Calibri" w:cs="Calibri" w:eastAsia="Calibri" w:hAnsi="Calibri"/>
          <w:sz w:val="21"/>
          <w:szCs w:val="21"/>
        </w:rPr>
        <w:t xml:space="preserve">Comparing Theta Beta Ratio in Children With ADHD and Specific Learning Disorder During Active EEG — PMC, 2026.</w:t>
      </w:r>
    </w:p>
    <w:p>
      <w:pPr>
        <w:pStyle w:val="ListParagraph"/>
        <w:numPr>
          <w:ilvl w:val="0"/>
          <w:numId w:val="2"/>
        </w:numPr>
        <w:spacing w:after="90" w:line="276"/>
      </w:pPr>
      <w:r>
        <w:rPr>
          <w:rFonts w:ascii="Calibri" w:cs="Calibri" w:eastAsia="Calibri" w:hAnsi="Calibri"/>
          <w:sz w:val="21"/>
          <w:szCs w:val="21"/>
        </w:rPr>
        <w:t xml:space="preserve">The quantitative EEG theta/beta ratio in ADHD and normal controls: Sensitivity, specificity, and behavioral correlates — ScienceDirect, 2012.</w:t>
      </w:r>
    </w:p>
    <w:p>
      <w:pPr>
        <w:pStyle w:val="ListParagraph"/>
        <w:numPr>
          <w:ilvl w:val="0"/>
          <w:numId w:val="2"/>
        </w:numPr>
        <w:spacing w:after="90" w:line="276"/>
      </w:pPr>
      <w:r>
        <w:rPr>
          <w:rFonts w:ascii="Calibri" w:cs="Calibri" w:eastAsia="Calibri" w:hAnsi="Calibri"/>
          <w:sz w:val="21"/>
          <w:szCs w:val="21"/>
        </w:rPr>
        <w:t xml:space="preserve">Theta/beta ratio in EEG correlated with attentional capacity assessed by Conners CPT-3 in children with ADHD — PMC, 2024.</w:t>
      </w:r>
    </w:p>
    <w:p>
      <w:pPr>
        <w:pStyle w:val="ListParagraph"/>
        <w:numPr>
          <w:ilvl w:val="0"/>
          <w:numId w:val="2"/>
        </w:numPr>
        <w:spacing w:after="90" w:line="276"/>
      </w:pPr>
      <w:r>
        <w:rPr>
          <w:rFonts w:ascii="Calibri" w:cs="Calibri" w:eastAsia="Calibri" w:hAnsi="Calibri"/>
          <w:sz w:val="21"/>
          <w:szCs w:val="21"/>
        </w:rPr>
        <w:t xml:space="preserve">EEG spectral power, but not theta/beta ratio, is a neuromarker for adult ADHD — bioRxiv.</w:t>
      </w:r>
    </w:p>
    <w:p>
      <w:pPr>
        <w:pStyle w:val="Heading3"/>
        <w:keepNext/>
        <w:spacing w:after="100" w:before="220"/>
      </w:pPr>
      <w:r>
        <w:rPr>
          <w:rFonts w:ascii="Calibri" w:cs="Calibri" w:eastAsia="Calibri" w:hAnsi="Calibri"/>
          <w:b/>
          <w:bCs/>
          <w:color w:val="1F3864"/>
          <w:sz w:val="21"/>
          <w:szCs w:val="21"/>
        </w:rPr>
        <w:t xml:space="preserve">Literatura científica — dispositivos EEG de consumo</w:t>
      </w:r>
    </w:p>
    <w:p>
      <w:pPr>
        <w:pStyle w:val="ListParagraph"/>
        <w:numPr>
          <w:ilvl w:val="0"/>
          <w:numId w:val="2"/>
        </w:numPr>
        <w:spacing w:after="90" w:line="276"/>
      </w:pPr>
      <w:r>
        <w:rPr>
          <w:rFonts w:ascii="Calibri" w:cs="Calibri" w:eastAsia="Calibri" w:hAnsi="Calibri"/>
          <w:sz w:val="21"/>
          <w:szCs w:val="21"/>
        </w:rPr>
        <w:t xml:space="preserve">A comprehensive evaluation framework for consumer-grade EEG devices: signal quality, robustness, and usability (inclui BrainLink Pro) — Scientific Reports (Nature), fevereiro de 2026.</w:t>
      </w:r>
    </w:p>
    <w:p>
      <w:pPr>
        <w:pStyle w:val="ListParagraph"/>
        <w:numPr>
          <w:ilvl w:val="0"/>
          <w:numId w:val="2"/>
        </w:numPr>
        <w:spacing w:after="90" w:line="276"/>
      </w:pPr>
      <w:r>
        <w:rPr>
          <w:rFonts w:ascii="Calibri" w:cs="Calibri" w:eastAsia="Calibri" w:hAnsi="Calibri"/>
          <w:sz w:val="21"/>
          <w:szCs w:val="21"/>
        </w:rPr>
        <w:t xml:space="preserve">Validation of Electroencephalographic Recordings Obtained with a Consumer-Grade, Single Dry Electrode, Low-Cost Device — PubMed/Sensors, 2019.</w:t>
      </w:r>
    </w:p>
    <w:p>
      <w:pPr>
        <w:pStyle w:val="ListParagraph"/>
        <w:numPr>
          <w:ilvl w:val="0"/>
          <w:numId w:val="2"/>
        </w:numPr>
        <w:spacing w:after="90" w:line="276"/>
      </w:pPr>
      <w:r>
        <w:rPr>
          <w:rFonts w:ascii="Calibri" w:cs="Calibri" w:eastAsia="Calibri" w:hAnsi="Calibri"/>
          <w:sz w:val="21"/>
          <w:szCs w:val="21"/>
        </w:rPr>
        <w:t xml:space="preserve">A scoping review on the use of consumer-grade EEG devices for research — PLOS ONE, 2024.</w:t>
      </w:r>
    </w:p>
    <w:p>
      <w:pPr>
        <w:pStyle w:val="Heading3"/>
        <w:keepNext/>
        <w:spacing w:after="100" w:before="220"/>
      </w:pPr>
      <w:r>
        <w:rPr>
          <w:rFonts w:ascii="Calibri" w:cs="Calibri" w:eastAsia="Calibri" w:hAnsi="Calibri"/>
          <w:b/>
          <w:bCs/>
          <w:color w:val="1F3864"/>
          <w:sz w:val="21"/>
          <w:szCs w:val="21"/>
        </w:rPr>
        <w:t xml:space="preserve">Regulatório — Estados Unidos (FDA)</w:t>
      </w:r>
    </w:p>
    <w:p>
      <w:pPr>
        <w:pStyle w:val="ListParagraph"/>
        <w:numPr>
          <w:ilvl w:val="0"/>
          <w:numId w:val="2"/>
        </w:numPr>
        <w:spacing w:after="90" w:line="276"/>
      </w:pPr>
      <w:r>
        <w:rPr>
          <w:rFonts w:ascii="Calibri" w:cs="Calibri" w:eastAsia="Calibri" w:hAnsi="Calibri"/>
          <w:sz w:val="21"/>
          <w:szCs w:val="21"/>
        </w:rPr>
        <w:t xml:space="preserve">FDA — Ordem de classificação de novo do NEBA System (K112711), 15 de julho de 2013 (accessdata.fda.gov).</w:t>
      </w:r>
    </w:p>
    <w:p>
      <w:pPr>
        <w:pStyle w:val="ListParagraph"/>
        <w:numPr>
          <w:ilvl w:val="0"/>
          <w:numId w:val="2"/>
        </w:numPr>
        <w:spacing w:after="90" w:line="276"/>
      </w:pPr>
      <w:r>
        <w:rPr>
          <w:rFonts w:ascii="Calibri" w:cs="Calibri" w:eastAsia="Calibri" w:hAnsi="Calibri"/>
          <w:sz w:val="21"/>
          <w:szCs w:val="21"/>
        </w:rPr>
        <w:t xml:space="preserve">Neuropsychiatric EEG-Based Assessment Aid System — U.S. Pharmacist, revisão clínica do NEBA.</w:t>
      </w:r>
    </w:p>
    <w:p>
      <w:pPr>
        <w:pStyle w:val="ListParagraph"/>
        <w:numPr>
          <w:ilvl w:val="0"/>
          <w:numId w:val="2"/>
        </w:numPr>
        <w:spacing w:after="90" w:line="276"/>
      </w:pPr>
      <w:r>
        <w:rPr>
          <w:rFonts w:ascii="Calibri" w:cs="Calibri" w:eastAsia="Calibri" w:hAnsi="Calibri"/>
          <w:sz w:val="21"/>
          <w:szCs w:val="21"/>
        </w:rPr>
        <w:t xml:space="preserve">Quantitative Electroencephalography as a Diagnostic Aid for ADHD — política médica de operadora de saúde dos EUA (South Carolina Blues).</w:t>
      </w:r>
    </w:p>
    <w:p>
      <w:pPr>
        <w:pStyle w:val="Heading3"/>
        <w:keepNext/>
        <w:spacing w:after="100" w:before="220"/>
      </w:pPr>
      <w:r>
        <w:rPr>
          <w:rFonts w:ascii="Calibri" w:cs="Calibri" w:eastAsia="Calibri" w:hAnsi="Calibri"/>
          <w:b/>
          <w:bCs/>
          <w:color w:val="1F3864"/>
          <w:sz w:val="21"/>
          <w:szCs w:val="21"/>
        </w:rPr>
        <w:t xml:space="preserve">Regulatório — Brasil (ANVISA)</w:t>
      </w:r>
    </w:p>
    <w:p>
      <w:pPr>
        <w:pStyle w:val="ListParagraph"/>
        <w:numPr>
          <w:ilvl w:val="0"/>
          <w:numId w:val="2"/>
        </w:numPr>
        <w:spacing w:after="90" w:line="276"/>
      </w:pPr>
      <w:r>
        <w:rPr>
          <w:rFonts w:ascii="Calibri" w:cs="Calibri" w:eastAsia="Calibri" w:hAnsi="Calibri"/>
          <w:sz w:val="21"/>
          <w:szCs w:val="21"/>
        </w:rPr>
        <w:t xml:space="preserve">RDC nº 657/2022 — marco regulatório de Software como Dispositivo Médico (SaMD) no Brasil.</w:t>
      </w:r>
    </w:p>
    <w:p>
      <w:pPr>
        <w:pStyle w:val="ListParagraph"/>
        <w:numPr>
          <w:ilvl w:val="0"/>
          <w:numId w:val="2"/>
        </w:numPr>
        <w:spacing w:after="90" w:line="276"/>
      </w:pPr>
      <w:r>
        <w:rPr>
          <w:rFonts w:ascii="Calibri" w:cs="Calibri" w:eastAsia="Calibri" w:hAnsi="Calibri"/>
          <w:sz w:val="21"/>
          <w:szCs w:val="21"/>
        </w:rPr>
        <w:t xml:space="preserve">RDC nº 751/2022 — classificação de risco de dispositivos médicos (22 regras, 4 classes).</w:t>
      </w:r>
    </w:p>
    <w:p>
      <w:pPr>
        <w:pStyle w:val="ListParagraph"/>
        <w:numPr>
          <w:ilvl w:val="0"/>
          <w:numId w:val="2"/>
        </w:numPr>
        <w:spacing w:after="90" w:line="276"/>
      </w:pPr>
      <w:r>
        <w:rPr>
          <w:rFonts w:ascii="Calibri" w:cs="Calibri" w:eastAsia="Calibri" w:hAnsi="Calibri"/>
          <w:sz w:val="21"/>
          <w:szCs w:val="21"/>
        </w:rPr>
        <w:t xml:space="preserve">Perguntas &amp; Respostas RDC nº 657/2022 — documento oficial ANVISA (gov.br).</w:t>
      </w:r>
    </w:p>
    <w:p>
      <w:pPr>
        <w:spacing w:after="300"/>
      </w:pPr>
    </w:p>
    <w:p>
      <w:pPr>
        <w:pBdr>
          <w:top w:val="single" w:color="CCCCCC" w:sz="4"/>
        </w:pBdr>
        <w:spacing w:before="200"/>
      </w:pPr>
      <w:r>
        <w:rPr>
          <w:i/>
          <w:iCs/>
          <w:color w:val="595959"/>
          <w:sz w:val="17"/>
          <w:szCs w:val="17"/>
        </w:rPr>
        <w:t xml:space="preserve">Aviso: este relatório é material de apoio técnico e educacional para orientar decisões de arquitetura e produto. Não constitui parecer jurídico nem substitui avaliação de um profissional de regulação sanitária ou de um advogado especializado em direito da saúde para decisões formais de registro do produto.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t xml:space="preserve">Página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de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rFonts w:ascii="Calibri" w:cs="Calibri" w:eastAsia="Calibri" w:hAnsi="Calibri"/>
        <w:i/>
        <w:iCs/>
        <w:color w:val="595959"/>
        <w:sz w:val="15"/>
        <w:szCs w:val="15"/>
      </w:rPr>
      <w:t xml:space="preserve">Brainlink × Detecção de Indicadores de TDAH — Relatório 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abstractNum w:abstractNumId="4"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2026-08-13T12:30:09.225Z</dcterms:created>
  <dcterms:modified xsi:type="dcterms:W3CDTF">2026-08-13T12:30:09.248Z</dcterms:modified>
</cp:coreProperties>
</file>

<file path=docProps/custom.xml><?xml version="1.0" encoding="utf-8"?>
<Properties xmlns="http://schemas.openxmlformats.org/officeDocument/2006/custom-properties" xmlns:vt="http://schemas.openxmlformats.org/officeDocument/2006/docPropsVTypes"/>
</file>