
<file path=[Content_Types].xml><?xml version="1.0" encoding="utf-8"?>
<Types xmlns="http://schemas.openxmlformats.org/package/2006/content-types">
  <Default Extension="rels" ContentType="application/vnd.openxmlformats-package.relationships+xml"/>
  <Default Extension="jpeg" ContentType="image/jpeg"/>
  <Default Extension="png" ContentType="image/png"/>
  <Default Extension="svg" ContentType="image/svg+xml"/>
  <Default Extension="xml" ContentType="application/xml"/>
  <Override PartName="/_rels/.rels" ContentType="application/vnd.openxmlformats-package.relationship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settings.xml" ContentType="application/vnd.openxmlformats-officedocument.wordprocessingml.settings+xml"/>
  <Override PartName="/word/webSettings.xml" ContentType="application/vnd.openxmlformats-officedocument.wordprocessingml.webSettings+xml"/>
  <Override PartName="/word/footer1.xml" ContentType="application/vnd.openxmlformats-officedocument.wordprocessingml.footer+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s>
</file>

<file path=word/document.xml><?xml version="1.0" encoding="utf-8"?>
<w:document xmlns:a="http://schemas.openxmlformats.org/drawingml/2006/main" xmlns:cdr="http://schemas.openxmlformats.org/drawingml/2006/chartDrawing" xmlns:o="urn:schemas-microsoft-com:office:office" xmlns:pic="http://schemas.openxmlformats.org/drawingml/2006/picture" xmlns:r="http://schemas.openxmlformats.org/officeDocument/2006/relationships" xmlns:v="urn:schemas-microsoft-com:vml" xmlns:ve="http://schemas.openxmlformats.org/markup-compatibility/2006" xmlns:vt="http://schemas.openxmlformats.org/officeDocument/2006/docPropsVTypes" xmlns:w="http://schemas.openxmlformats.org/wordprocessingml/2006/main" xmlns:w10="urn:schemas-microsoft-com:office:word" xmlns:wp="http://schemas.openxmlformats.org/drawingml/2006/wordprocessingDrawing" xmlns:wne="http://schemas.microsoft.com/office/word/2006/wordml">
  <w:body>
    <w:sectPr>
      <w:pgSz w:w="11906" w:h="16838" w:orient="portrait"/>
      <w:pgMar w:top="964" w:right="964" w:bottom="964" w:left="964" w:header="720" w:footer="720" w:gutter="0"/>
      <w:footerReference r:id="rId99" w:type="default"/>
    </w:sectPr>
    <w:p>
      <w:pPr>
        <w:pStyle w:val="Heading1"/>
        <w:spacing w:lineRule="auto"/>
      </w:pPr>
      <w:r>
        <w:rPr/>
        <w:t xml:space="preserve">Causal mechanisms in social science</w:t>
      </w:r>
    </w:p>
    <w:p>
      <w:pPr>
        <w:spacing w:lineRule="auto"/>
      </w:pPr>
      <w:r>
        <w:rPr/>
      </w:r>
    </w:p>
    <w:p>
      <w:pPr>
        <w:spacing w:lineRule="auto"/>
      </w:pPr>
      <w:r>
        <w:rPr/>
        <w:t xml:space="preserve">"causal mechanisms charles tilly" </w:t>
      </w:r>
    </w:p>
    <w:p>
      <w:pPr>
        <w:spacing w:lineRule="auto"/>
      </w:pPr>
      <w:r>
        <w:rPr>
          <w:i/>
        </w:rPr>
        <w:t xml:space="preserve">Generated by LeapSpace, Fri Aug 14 2026</w:t>
      </w:r>
    </w:p>
    <w:p>
      <w:pPr>
        <w:spacing w:lineRule="auto"/>
      </w:pPr>
      <w:r>
        <w:rPr/>
      </w:r>
    </w:p>
    <w:p>
      <w:pPr>
        <w:pStyle w:val="Heading2"/>
        <w:spacing w:lineRule="auto"/>
      </w:pPr>
      <w:r>
        <w:rPr/>
        <w:t xml:space="preserve">Charles Tilly and Causal Mechanisms at a Glance</w:t>
      </w:r>
    </w:p>
    <w:p>
      <w:pPr>
        <w:pStyle w:val="Heading3"/>
        <w:spacing w:lineRule="auto"/>
      </w:pPr>
      <w:r>
        <w:rPr/>
        <w:t xml:space="preserve">Key Findings Table</w:t>
      </w:r>
    </w:p>
    <w:tbl>
      <w:tblPr>
        <w:tblBorders>
          <w:top w:val="single" w:sz="4" w:space="0" w:color="000000"/>
          <w:bottom w:val="single" w:sz="4" w:space="0" w:color="000000"/>
          <w:left w:val="single" w:sz="4" w:space="0" w:color="000000"/>
          <w:right w:val="single" w:sz="4" w:space="0" w:color="000000"/>
        </w:tblBorders>
        <w:tblCellMar>
          <w:top w:type="dxa" w:w="80"/>
          <w:bottom w:type="dxa" w:w="80"/>
          <w:left w:type="dxa" w:w="160"/>
          <w:right w:type="dxa" w:w="160"/>
        </w:tblCellMar>
        <w:jc w:val="center"/>
      </w:tblPr>
      <w:tblGrid>
        <w:gridCol w:w="3326"/>
        <w:gridCol w:w="3326"/>
        <w:gridCol w:w="3326"/>
      </w:tblGrid>
      <w:tr>
        <w:trPr>
          <w:cantSplit/>
        </w:trPr>
        <w:tc>
          <w:tcPr>
            <w:tcBorders>
              <w:top w:val="single" w:sz="4" w:space="0" w:color="000000"/>
              <w:bottom w:val="single" w:sz="4" w:space="0" w:color="000000"/>
              <w:left w:val="single" w:sz="4" w:space="0" w:color="000000"/>
              <w:right w:val="single" w:sz="4" w:space="0" w:color="000000"/>
            </w:tcBorders>
          </w:tcPr>
          <w:p>
            <w:pPr>
              <w:spacing w:lineRule="auto"/>
            </w:pPr>
            <w:r>
              <w:rPr/>
              <w:t xml:space="preserve">Key finding</w:t>
            </w:r>
          </w:p>
        </w:tc>
        <w:tc>
          <w:tcPr>
            <w:tcBorders>
              <w:top w:val="single" w:sz="4" w:space="0" w:color="000000"/>
              <w:bottom w:val="single" w:sz="4" w:space="0" w:color="000000"/>
              <w:left w:val="single" w:sz="4" w:space="0" w:color="000000"/>
              <w:right w:val="single" w:sz="4" w:space="0" w:color="000000"/>
            </w:tcBorders>
          </w:tcPr>
          <w:p>
            <w:pPr>
              <w:spacing w:lineRule="auto"/>
            </w:pPr>
            <w:r>
              <w:rPr/>
              <w:t xml:space="preserve">Domain / population of studies</w:t>
            </w:r>
          </w:p>
        </w:tc>
        <w:tc>
          <w:tcPr>
            <w:tcBorders>
              <w:top w:val="single" w:sz="4" w:space="0" w:color="000000"/>
              <w:bottom w:val="single" w:sz="4" w:space="0" w:color="000000"/>
              <w:left w:val="single" w:sz="4" w:space="0" w:color="000000"/>
              <w:right w:val="single" w:sz="4" w:space="0" w:color="000000"/>
            </w:tcBorders>
          </w:tcPr>
          <w:p>
            <w:pPr>
              <w:spacing w:lineRule="auto"/>
            </w:pPr>
            <w:r>
              <w:rPr/>
              <w:t xml:space="preserve">Evidence</w:t>
            </w:r>
          </w:p>
        </w:tc>
      </w:tr>
      <w:tblGrid>
        <w:gridCol w:w="3326"/>
        <w:gridCol w:w="3326"/>
        <w:gridCol w:w="3326"/>
      </w:tblGrid>
      <w:tr>
        <w:trPr>
          <w:cantSplit/>
        </w:trPr>
        <w:tc>
          <w:tcPr>
            <w:tcBorders>
              <w:top w:val="single" w:sz="4" w:space="0" w:color="000000"/>
              <w:bottom w:val="single" w:sz="4" w:space="0" w:color="000000"/>
              <w:left w:val="single" w:sz="4" w:space="0" w:color="000000"/>
              <w:right w:val="single" w:sz="4" w:space="0" w:color="000000"/>
            </w:tcBorders>
          </w:tcPr>
          <w:p>
            <w:pPr>
              <w:spacing w:lineRule="auto"/>
            </w:pPr>
            <w:r>
              <w:rPr/>
              <w:t xml:space="preserve">The supplied evidence portrays “Tilly’s” approach as a mechanism-based alternative to variable-centered explanation, emphasizing causal sequences, relational links, and event chains rather than net effects alone.</w:t>
            </w:r>
          </w:p>
        </w:tc>
        <w:tc>
          <w:tcPr>
            <w:tcBorders>
              <w:top w:val="single" w:sz="4" w:space="0" w:color="000000"/>
              <w:bottom w:val="single" w:sz="4" w:space="0" w:color="000000"/>
              <w:left w:val="single" w:sz="4" w:space="0" w:color="000000"/>
              <w:right w:val="single" w:sz="4" w:space="0" w:color="000000"/>
            </w:tcBorders>
          </w:tcPr>
          <w:p>
            <w:pPr>
              <w:spacing w:lineRule="auto"/>
            </w:pPr>
            <w:r>
              <w:rPr/>
              <w:t xml:space="preserve">Comparative-historical sociology; methodology; historical explanation</w:t>
            </w:r>
          </w:p>
        </w:tc>
        <w:tc>
          <w:tcPr>
            <w:tcBorders>
              <w:top w:val="single" w:sz="4" w:space="0" w:color="000000"/>
              <w:bottom w:val="single" w:sz="4" w:space="0" w:color="000000"/>
              <w:left w:val="single" w:sz="4" w:space="0" w:color="000000"/>
              <w:right w:val="single" w:sz="4" w:space="0" w:color="000000"/>
            </w:tcBorders>
          </w:tcPr>
          <w:p>
            <w:pPr>
              <w:spacing w:lineRule="auto"/>
            </w:pPr>
            <w:r>
              <w:rPr/>
              <w:t xml:space="preserve">[1] [2] [3] [4] [5]</w:t>
            </w:r>
          </w:p>
        </w:tc>
      </w:tr>
      <w:tr>
        <w:trPr>
          <w:cantSplit/>
        </w:trPr>
        <w:tc>
          <w:tcPr>
            <w:tcBorders>
              <w:top w:val="single" w:sz="4" w:space="0" w:color="000000"/>
              <w:bottom w:val="single" w:sz="4" w:space="0" w:color="000000"/>
              <w:left w:val="single" w:sz="4" w:space="0" w:color="000000"/>
              <w:right w:val="single" w:sz="4" w:space="0" w:color="000000"/>
            </w:tcBorders>
          </w:tcPr>
          <w:p>
            <w:pPr>
              <w:spacing w:lineRule="auto"/>
            </w:pPr>
            <w:r>
              <w:rPr/>
              <w:t xml:space="preserve">Across domains, the recurring pattern is relational and episode-centered causality: outcomes emerge through interaction among activists, opponents, police, elites, media, trust networks, and coercive actors.</w:t>
            </w:r>
          </w:p>
        </w:tc>
        <w:tc>
          <w:tcPr>
            <w:tcBorders>
              <w:top w:val="single" w:sz="4" w:space="0" w:color="000000"/>
              <w:bottom w:val="single" w:sz="4" w:space="0" w:color="000000"/>
              <w:left w:val="single" w:sz="4" w:space="0" w:color="000000"/>
              <w:right w:val="single" w:sz="4" w:space="0" w:color="000000"/>
            </w:tcBorders>
          </w:tcPr>
          <w:p>
            <w:pPr>
              <w:spacing w:lineRule="auto"/>
            </w:pPr>
            <w:r>
              <w:rPr/>
              <w:t xml:space="preserve">Contentious politics, repertoires, democratization, inequality</w:t>
            </w:r>
          </w:p>
        </w:tc>
        <w:tc>
          <w:tcPr>
            <w:tcBorders>
              <w:top w:val="single" w:sz="4" w:space="0" w:color="000000"/>
              <w:bottom w:val="single" w:sz="4" w:space="0" w:color="000000"/>
              <w:left w:val="single" w:sz="4" w:space="0" w:color="000000"/>
              <w:right w:val="single" w:sz="4" w:space="0" w:color="000000"/>
            </w:tcBorders>
          </w:tcPr>
          <w:p>
            <w:pPr>
              <w:spacing w:lineRule="auto"/>
            </w:pPr>
            <w:r>
              <w:rPr/>
              <w:t xml:space="preserve">[6] [7] [8] [9] [10] [11] [12] [13]</w:t>
            </w:r>
          </w:p>
        </w:tc>
      </w:tr>
      <w:tr>
        <w:trPr>
          <w:cantSplit/>
        </w:trPr>
        <w:tc>
          <w:tcPr>
            <w:tcBorders>
              <w:top w:val="single" w:sz="4" w:space="0" w:color="000000"/>
              <w:bottom w:val="single" w:sz="4" w:space="0" w:color="000000"/>
              <w:left w:val="single" w:sz="4" w:space="0" w:color="000000"/>
              <w:right w:val="single" w:sz="4" w:space="0" w:color="000000"/>
            </w:tcBorders>
          </w:tcPr>
          <w:p>
            <w:pPr>
              <w:spacing w:lineRule="auto"/>
            </w:pPr>
            <w:r>
              <w:rPr/>
              <w:t xml:space="preserve">In contentious politics, mechanism-oriented studies focus on episodes, event catalogs, diffusion, learning, and strategic interaction rather than isolated variables.</w:t>
            </w:r>
          </w:p>
        </w:tc>
        <w:tc>
          <w:tcPr>
            <w:tcBorders>
              <w:top w:val="single" w:sz="4" w:space="0" w:color="000000"/>
              <w:bottom w:val="single" w:sz="4" w:space="0" w:color="000000"/>
              <w:left w:val="single" w:sz="4" w:space="0" w:color="000000"/>
              <w:right w:val="single" w:sz="4" w:space="0" w:color="000000"/>
            </w:tcBorders>
          </w:tcPr>
          <w:p>
            <w:pPr>
              <w:spacing w:lineRule="auto"/>
            </w:pPr>
            <w:r>
              <w:rPr/>
              <w:t xml:space="preserve">Protest, strikes, radicalization, event-catalog research</w:t>
            </w:r>
          </w:p>
        </w:tc>
        <w:tc>
          <w:tcPr>
            <w:tcBorders>
              <w:top w:val="single" w:sz="4" w:space="0" w:color="000000"/>
              <w:bottom w:val="single" w:sz="4" w:space="0" w:color="000000"/>
              <w:left w:val="single" w:sz="4" w:space="0" w:color="000000"/>
              <w:right w:val="single" w:sz="4" w:space="0" w:color="000000"/>
            </w:tcBorders>
          </w:tcPr>
          <w:p>
            <w:pPr>
              <w:spacing w:lineRule="auto"/>
            </w:pPr>
            <w:r>
              <w:rPr/>
              <w:t xml:space="preserve">[12] [14] [15] [16] [17] [18] [19]</w:t>
            </w:r>
          </w:p>
        </w:tc>
      </w:tr>
      <w:tr>
        <w:trPr>
          <w:cantSplit/>
        </w:trPr>
        <w:tc>
          <w:tcPr>
            <w:tcBorders>
              <w:top w:val="single" w:sz="4" w:space="0" w:color="000000"/>
              <w:bottom w:val="single" w:sz="4" w:space="0" w:color="000000"/>
              <w:left w:val="single" w:sz="4" w:space="0" w:color="000000"/>
              <w:right w:val="single" w:sz="4" w:space="0" w:color="000000"/>
            </w:tcBorders>
          </w:tcPr>
          <w:p>
            <w:pPr>
              <w:spacing w:lineRule="auto"/>
            </w:pPr>
            <w:r>
              <w:rPr/>
              <w:t xml:space="preserve">War-making/state-making is one of the strongest empirical applications: war pressures can stimulate extraction, bureaucracy, coercion, and territorial consolidation.</w:t>
            </w:r>
          </w:p>
        </w:tc>
        <w:tc>
          <w:tcPr>
            <w:tcBorders>
              <w:top w:val="single" w:sz="4" w:space="0" w:color="000000"/>
              <w:bottom w:val="single" w:sz="4" w:space="0" w:color="000000"/>
              <w:left w:val="single" w:sz="4" w:space="0" w:color="000000"/>
              <w:right w:val="single" w:sz="4" w:space="0" w:color="000000"/>
            </w:tcBorders>
          </w:tcPr>
          <w:p>
            <w:pPr>
              <w:spacing w:lineRule="auto"/>
            </w:pPr>
            <w:r>
              <w:rPr/>
              <w:t xml:space="preserve">Historical and cross-national state-formation studies</w:t>
            </w:r>
          </w:p>
        </w:tc>
        <w:tc>
          <w:tcPr>
            <w:tcBorders>
              <w:top w:val="single" w:sz="4" w:space="0" w:color="000000"/>
              <w:bottom w:val="single" w:sz="4" w:space="0" w:color="000000"/>
              <w:left w:val="single" w:sz="4" w:space="0" w:color="000000"/>
              <w:right w:val="single" w:sz="4" w:space="0" w:color="000000"/>
            </w:tcBorders>
          </w:tcPr>
          <w:p>
            <w:pPr>
              <w:spacing w:lineRule="auto"/>
            </w:pPr>
            <w:r>
              <w:rPr/>
              <w:t xml:space="preserve">[20] [21] [22] [23] [24] [25] [26]</w:t>
            </w:r>
          </w:p>
        </w:tc>
      </w:tr>
      <w:tr>
        <w:trPr>
          <w:cantSplit/>
        </w:trPr>
        <w:tc>
          <w:tcPr>
            <w:tcBorders>
              <w:top w:val="single" w:sz="4" w:space="0" w:color="000000"/>
              <w:bottom w:val="single" w:sz="4" w:space="0" w:color="000000"/>
              <w:left w:val="single" w:sz="4" w:space="0" w:color="000000"/>
              <w:right w:val="single" w:sz="4" w:space="0" w:color="000000"/>
            </w:tcBorders>
          </w:tcPr>
          <w:p>
            <w:pPr>
              <w:spacing w:lineRule="auto"/>
            </w:pPr>
            <w:r>
              <w:rPr/>
              <w:t xml:space="preserve">That bellicist model is not universal; later work argues it is heavily conditioned by political community, extraction mode, international setting, and subnational variation, especially outside Europe.</w:t>
            </w:r>
          </w:p>
        </w:tc>
        <w:tc>
          <w:tcPr>
            <w:tcBorders>
              <w:top w:val="single" w:sz="4" w:space="0" w:color="000000"/>
              <w:bottom w:val="single" w:sz="4" w:space="0" w:color="000000"/>
              <w:left w:val="single" w:sz="4" w:space="0" w:color="000000"/>
              <w:right w:val="single" w:sz="4" w:space="0" w:color="000000"/>
            </w:tcBorders>
          </w:tcPr>
          <w:p>
            <w:pPr>
              <w:spacing w:lineRule="auto"/>
            </w:pPr>
            <w:r>
              <w:rPr/>
              <w:t xml:space="preserve">Global South, Africa, Latin America, developing-world comparisons</w:t>
            </w:r>
          </w:p>
        </w:tc>
        <w:tc>
          <w:tcPr>
            <w:tcBorders>
              <w:top w:val="single" w:sz="4" w:space="0" w:color="000000"/>
              <w:bottom w:val="single" w:sz="4" w:space="0" w:color="000000"/>
              <w:left w:val="single" w:sz="4" w:space="0" w:color="000000"/>
              <w:right w:val="single" w:sz="4" w:space="0" w:color="000000"/>
            </w:tcBorders>
          </w:tcPr>
          <w:p>
            <w:pPr>
              <w:spacing w:lineRule="auto"/>
            </w:pPr>
            <w:r>
              <w:rPr/>
              <w:t xml:space="preserve">[27] [28] [29] [30] [31]</w:t>
            </w:r>
          </w:p>
        </w:tc>
      </w:tr>
      <w:tr>
        <w:trPr>
          <w:cantSplit/>
        </w:trPr>
        <w:tc>
          <w:tcPr>
            <w:tcBorders>
              <w:top w:val="single" w:sz="4" w:space="0" w:color="000000"/>
              <w:bottom w:val="single" w:sz="4" w:space="0" w:color="000000"/>
              <w:left w:val="single" w:sz="4" w:space="0" w:color="000000"/>
              <w:right w:val="single" w:sz="4" w:space="0" w:color="000000"/>
            </w:tcBorders>
          </w:tcPr>
          <w:p>
            <w:pPr>
              <w:spacing w:lineRule="auto"/>
            </w:pPr>
            <w:r>
              <w:rPr/>
              <w:t xml:space="preserve">Repertoires are historically bounded sets of available claims and tactics; later work extends this into contentious performances, improvisation, diffusion, and digitally mediated adaptation.</w:t>
            </w:r>
          </w:p>
        </w:tc>
        <w:tc>
          <w:tcPr>
            <w:tcBorders>
              <w:top w:val="single" w:sz="4" w:space="0" w:color="000000"/>
              <w:bottom w:val="single" w:sz="4" w:space="0" w:color="000000"/>
              <w:left w:val="single" w:sz="4" w:space="0" w:color="000000"/>
              <w:right w:val="single" w:sz="4" w:space="0" w:color="000000"/>
            </w:tcBorders>
          </w:tcPr>
          <w:p>
            <w:pPr>
              <w:spacing w:lineRule="auto"/>
            </w:pPr>
            <w:r>
              <w:rPr/>
              <w:t xml:space="preserve">Protest repertoires, campaign tactics, online contention</w:t>
            </w:r>
          </w:p>
        </w:tc>
        <w:tc>
          <w:tcPr>
            <w:tcBorders>
              <w:top w:val="single" w:sz="4" w:space="0" w:color="000000"/>
              <w:bottom w:val="single" w:sz="4" w:space="0" w:color="000000"/>
              <w:left w:val="single" w:sz="4" w:space="0" w:color="000000"/>
              <w:right w:val="single" w:sz="4" w:space="0" w:color="000000"/>
            </w:tcBorders>
          </w:tcPr>
          <w:p>
            <w:pPr>
              <w:spacing w:lineRule="auto"/>
            </w:pPr>
            <w:r>
              <w:rPr/>
              <w:t xml:space="preserve">[15] [32] [33] [34] [35]</w:t>
            </w:r>
          </w:p>
        </w:tc>
      </w:tr>
      <w:tr>
        <w:trPr>
          <w:cantSplit/>
        </w:trPr>
        <w:tc>
          <w:tcPr>
            <w:tcBorders>
              <w:top w:val="single" w:sz="4" w:space="0" w:color="000000"/>
              <w:bottom w:val="single" w:sz="4" w:space="0" w:color="000000"/>
              <w:left w:val="single" w:sz="4" w:space="0" w:color="000000"/>
              <w:right w:val="single" w:sz="4" w:space="0" w:color="000000"/>
            </w:tcBorders>
          </w:tcPr>
          <w:p>
            <w:pPr>
              <w:spacing w:lineRule="auto"/>
            </w:pPr>
            <w:r>
              <w:rPr/>
              <w:t xml:space="preserve">Later relational work ties durable inequality and democratization to trust-network incorporation, insulation from categorical inequality, and suppression of autonomous coercive centers.</w:t>
            </w:r>
          </w:p>
        </w:tc>
        <w:tc>
          <w:tcPr>
            <w:tcBorders>
              <w:top w:val="single" w:sz="4" w:space="0" w:color="000000"/>
              <w:bottom w:val="single" w:sz="4" w:space="0" w:color="000000"/>
              <w:left w:val="single" w:sz="4" w:space="0" w:color="000000"/>
              <w:right w:val="single" w:sz="4" w:space="0" w:color="000000"/>
            </w:tcBorders>
          </w:tcPr>
          <w:p>
            <w:pPr>
              <w:spacing w:lineRule="auto"/>
            </w:pPr>
            <w:r>
              <w:rPr/>
              <w:t xml:space="preserve">Democratization, migration, citizenship, inequality</w:t>
            </w:r>
          </w:p>
        </w:tc>
        <w:tc>
          <w:tcPr>
            <w:tcBorders>
              <w:top w:val="single" w:sz="4" w:space="0" w:color="000000"/>
              <w:bottom w:val="single" w:sz="4" w:space="0" w:color="000000"/>
              <w:left w:val="single" w:sz="4" w:space="0" w:color="000000"/>
              <w:right w:val="single" w:sz="4" w:space="0" w:color="000000"/>
            </w:tcBorders>
          </w:tcPr>
          <w:p>
            <w:pPr>
              <w:spacing w:lineRule="auto"/>
            </w:pPr>
            <w:r>
              <w:rPr/>
              <w:t xml:space="preserve">[11] [12] [13] [36]</w:t>
            </w:r>
          </w:p>
        </w:tc>
      </w:tr>
      <w:tr>
        <w:trPr>
          <w:cantSplit/>
        </w:trPr>
        <w:tc>
          <w:tcPr>
            <w:tcBorders>
              <w:top w:val="single" w:sz="4" w:space="0" w:color="000000"/>
              <w:bottom w:val="single" w:sz="4" w:space="0" w:color="000000"/>
              <w:left w:val="single" w:sz="4" w:space="0" w:color="000000"/>
              <w:right w:val="single" w:sz="4" w:space="0" w:color="000000"/>
            </w:tcBorders>
          </w:tcPr>
          <w:p>
            <w:pPr>
              <w:spacing w:lineRule="auto"/>
            </w:pPr>
            <w:r>
              <w:rPr/>
              <w:t xml:space="preserve">A central debate is that mechanism language is seen as realistic and causally rich but often underspecified; scholars call for clearer typologies, stronger comparison, and better operationalization.</w:t>
            </w:r>
          </w:p>
        </w:tc>
        <w:tc>
          <w:tcPr>
            <w:tcBorders>
              <w:top w:val="single" w:sz="4" w:space="0" w:color="000000"/>
              <w:bottom w:val="single" w:sz="4" w:space="0" w:color="000000"/>
              <w:left w:val="single" w:sz="4" w:space="0" w:color="000000"/>
              <w:right w:val="single" w:sz="4" w:space="0" w:color="000000"/>
            </w:tcBorders>
          </w:tcPr>
          <w:p>
            <w:pPr>
              <w:spacing w:lineRule="auto"/>
            </w:pPr>
            <w:r>
              <w:rPr/>
              <w:t xml:space="preserve">Methodology, comparative-historical sociology, inequality studies</w:t>
            </w:r>
          </w:p>
        </w:tc>
        <w:tc>
          <w:tcPr>
            <w:tcBorders>
              <w:top w:val="single" w:sz="4" w:space="0" w:color="000000"/>
              <w:bottom w:val="single" w:sz="4" w:space="0" w:color="000000"/>
              <w:left w:val="single" w:sz="4" w:space="0" w:color="000000"/>
              <w:right w:val="single" w:sz="4" w:space="0" w:color="000000"/>
            </w:tcBorders>
          </w:tcPr>
          <w:p>
            <w:pPr>
              <w:spacing w:lineRule="auto"/>
            </w:pPr>
            <w:r>
              <w:rPr/>
              <w:t xml:space="preserve">[2] [37] [38] [39] [40]</w:t>
            </w:r>
          </w:p>
        </w:tc>
      </w:tr>
    </w:tbl>
    <w:p>
      <w:pPr>
        <w:spacing w:lineRule="auto"/>
      </w:pPr>
      <w:r>
        <w:rPr/>
      </w:r>
    </w:p>
    <w:p>
      <w:pPr>
        <w:pStyle w:val="Heading3"/>
        <w:spacing w:lineRule="auto"/>
      </w:pPr>
      <w:r>
        <w:rPr/>
        <w:t xml:space="preserve">Direct Answer</w:t>
      </w:r>
    </w:p>
    <w:p>
      <w:pPr>
        <w:spacing w:lineRule="auto"/>
      </w:pPr>
      <w:r>
        <w:rPr/>
        <w:t xml:space="preserve">The most supportable answer is this: the supplied evidence does </w:t>
      </w:r>
      <w:r>
        <w:rPr>
          <w:b/>
        </w:rPr>
        <w:t xml:space="preserve">not</w:t>
      </w:r>
      <w:r>
        <w:rPr/>
        <w:t xml:space="preserve"> include publications verified as authored by Charles Tilly in the retrieved metadata, so I cannot present the materials as “Tilly’s own writings.” What the evidence </w:t>
      </w:r>
      <w:r>
        <w:rPr>
          <w:b/>
        </w:rPr>
        <w:t xml:space="preserve">does</w:t>
      </w:r>
      <w:r>
        <w:rPr/>
        <w:t xml:space="preserve"> show is that the literature consistently associates </w:t>
      </w:r>
      <w:r>
        <w:rPr>
          <w:b/>
        </w:rPr>
        <w:t xml:space="preserve">Tilly’s framework</w:t>
      </w:r>
      <w:r>
        <w:rPr/>
        <w:t xml:space="preserve"> with a style of causal explanation that is </w:t>
      </w:r>
      <w:r>
        <w:rPr>
          <w:b/>
        </w:rPr>
        <w:t xml:space="preserve">relational, sequential, and historically bounded</w:t>
      </w:r>
      <w:r>
        <w:rPr/>
        <w:t xml:space="preserve">: instead of asking which variables correlate with an outcome, it asks </w:t>
      </w:r>
      <w:r>
        <w:rPr>
          <w:b/>
        </w:rPr>
        <w:t xml:space="preserve">what recurring mechanisms and processes connect actors, events, and outcomes over time</w:t>
      </w:r>
      <w:r>
        <w:rPr/>
        <w:t xml:space="preserve"> [1] [4] [5] [41].</w:t>
      </w:r>
    </w:p>
    <w:p>
      <w:pPr>
        <w:spacing w:lineRule="auto"/>
      </w:pPr>
      <w:r>
        <w:rPr/>
        <w:t xml:space="preserve">Applied substantively, this mechanism style appears in three main areas. First, in </w:t>
      </w:r>
      <w:r>
        <w:rPr>
          <w:b/>
        </w:rPr>
        <w:t xml:space="preserve">contentious politics</w:t>
      </w:r>
      <w:r>
        <w:rPr/>
        <w:t xml:space="preserve">, outcomes such as protest diffusion, repression, escalation, and radicalization are explained through interactions among challengers, authorities, countermovements, and media across episodes [6] [7] [8]. Second, in </w:t>
      </w:r>
      <w:r>
        <w:rPr>
          <w:b/>
        </w:rPr>
        <w:t xml:space="preserve">state formation</w:t>
      </w:r>
      <w:r>
        <w:rPr/>
        <w:t xml:space="preserve">, war and war preparation are treated as pressures that can generate extraction, administration, coercion, and territorial consolidation, though only under specific historical conditions [20] [24] [29]. Third, in </w:t>
      </w:r>
      <w:r>
        <w:rPr>
          <w:b/>
        </w:rPr>
        <w:t xml:space="preserve">democratization and durable inequality</w:t>
      </w:r>
      <w:r>
        <w:rPr/>
        <w:t xml:space="preserve">, later relational work emphasizes trust networks, boundary-making, and control over coercive power as mechanisms shaping durable political change [11] [13] [36].</w:t>
      </w:r>
    </w:p>
    <w:p>
      <w:pPr>
        <w:spacing w:lineRule="auto"/>
      </w:pPr>
      <w:r>
        <w:rPr/>
        <w:t xml:space="preserve">Taken together, these findings suggest that the most useful way to understand “causal mechanisms Charles Tilly” is not as a fixed checklist of mechanisms, but as a </w:t>
      </w:r>
      <w:r>
        <w:rPr>
          <w:b/>
        </w:rPr>
        <w:t xml:space="preserve">general explanatory grammar</w:t>
      </w:r>
      <w:r>
        <w:rPr/>
        <w:t xml:space="preserve">: explain outcomes by reconstructing </w:t>
      </w:r>
      <w:r>
        <w:rPr>
          <w:b/>
        </w:rPr>
        <w:t xml:space="preserve">relational processes, sequences, and historically specific episodes</w:t>
      </w:r>
      <w:r>
        <w:rPr/>
        <w:t xml:space="preserve"> [1] [12] [13].</w:t>
      </w:r>
      <w:r>
        <w:rPr/>
        <w:br w:type="textWrapping"/>
      </w:r>
      <w:r>
        <w:rPr>
          <w:b/>
        </w:rPr>
        <w:t xml:space="preserve">Confidence level: High</w:t>
      </w:r>
      <w:r>
        <w:rPr/>
        <w:t xml:space="preserve"> - this synthesis is repeatedly supported across the supplied evidence, even though authorship verification for Tilly himself is absent [1] [4] [11] [14] [20].</w:t>
      </w:r>
    </w:p>
    <w:p>
      <w:pPr>
        <w:pStyle w:val="Heading3"/>
        <w:spacing w:lineRule="auto"/>
      </w:pPr>
      <w:r>
        <w:rPr/>
        <w:t xml:space="preserve">Study Scope</w:t>
      </w:r>
    </w:p>
    <w:p>
      <w:pPr>
        <w:numPr>
          <w:ilvl w:val="0"/>
          <w:numId w:val="1"/>
        </w:numPr>
        <w:spacing w:lineRule="auto"/>
      </w:pPr>
      <w:r>
        <w:rPr>
          <w:b/>
        </w:rPr>
        <w:t xml:space="preserve">Time span covered by the evidence:</w:t>
      </w:r>
      <w:r>
        <w:rPr/>
        <w:t xml:space="preserve"> roughly 1970-2024, with particular attention to work from 1975-2005 on methodological shifts and later applications/criticisms [29] [42] [43] [44].</w:t>
      </w:r>
    </w:p>
    <w:p>
      <w:pPr>
        <w:numPr>
          <w:ilvl w:val="0"/>
          <w:numId w:val="1"/>
        </w:numPr>
        <w:spacing w:lineRule="auto"/>
      </w:pPr>
      <w:r>
        <w:rPr>
          <w:b/>
        </w:rPr>
        <w:t xml:space="preserve">Disciplines represented:</w:t>
      </w:r>
      <w:r>
        <w:rPr/>
        <w:t xml:space="preserve"> historical sociology, comparative-historical analysis, social-movement studies, contentious politics, state-formation research, democratization, migration, and inequality studies [1] [12] [14] [20] [45].</w:t>
      </w:r>
    </w:p>
    <w:p>
      <w:pPr>
        <w:numPr>
          <w:ilvl w:val="0"/>
          <w:numId w:val="1"/>
        </w:numPr>
        <w:spacing w:lineRule="auto"/>
      </w:pPr>
      <w:r>
        <w:rPr>
          <w:b/>
        </w:rPr>
        <w:t xml:space="preserve">Methods represented:</w:t>
      </w:r>
      <w:r>
        <w:rPr/>
        <w:t xml:space="preserve"> process tracing, case studies, strategic narrative, event catalogs, episode comparison, relational analysis, and some quantitative-historical diffusion studies [5] [15] [16] [17] [46].</w:t>
      </w:r>
      <w:r>
        <w:rPr/>
        <w:br w:type="textWrapping"/>
      </w:r>
      <w:r>
        <w:rPr>
          <w:b/>
        </w:rPr>
        <w:t xml:space="preserve">Confidence level: High</w:t>
      </w:r>
      <w:r>
        <w:rPr/>
        <w:t xml:space="preserve"> - these scope features are directly described in the source summaries [5] [15] [16].</w:t>
      </w:r>
    </w:p>
    <w:p>
      <w:pPr>
        <w:pStyle w:val="Heading3"/>
        <w:spacing w:lineRule="auto"/>
      </w:pPr>
      <w:r>
        <w:rPr/>
        <w:t xml:space="preserve">Assumptions &amp; Limitations</w:t>
      </w:r>
    </w:p>
    <w:p>
      <w:pPr>
        <w:numPr>
          <w:ilvl w:val="0"/>
          <w:numId w:val="2"/>
        </w:numPr>
        <w:spacing w:lineRule="auto"/>
      </w:pPr>
      <w:r>
        <w:rPr/>
        <w:t xml:space="preserve">The main limitation is evidentiary: the corpus repeatedly states that </w:t>
      </w:r>
      <w:r>
        <w:rPr>
          <w:b/>
        </w:rPr>
        <w:t xml:space="preserve">Charles Tilly is not verified in the structured metadata</w:t>
      </w:r>
      <w:r>
        <w:rPr/>
        <w:t xml:space="preserve"> of the retrieved records, so this report synthesizes literature </w:t>
      </w:r>
      <w:r>
        <w:rPr>
          <w:b/>
        </w:rPr>
        <w:t xml:space="preserve">about</w:t>
      </w:r>
      <w:r>
        <w:rPr/>
        <w:t xml:space="preserve"> a Tilly-associated framework rather than verified primary texts by Tilly [1] [20] [33] [47] [48] [49].</w:t>
      </w:r>
    </w:p>
    <w:p>
      <w:pPr>
        <w:numPr>
          <w:ilvl w:val="0"/>
          <w:numId w:val="2"/>
        </w:numPr>
        <w:spacing w:lineRule="auto"/>
      </w:pPr>
      <w:r>
        <w:rPr/>
        <w:t xml:space="preserve">Some methodological descriptions are indirect and do not fully map Tilly’s own definitions of </w:t>
      </w:r>
      <w:r>
        <w:rPr>
          <w:b/>
        </w:rPr>
        <w:t xml:space="preserve">mechanisms, processes, and events</w:t>
      </w:r>
      <w:r>
        <w:rPr/>
        <w:t xml:space="preserve"> from primary texts [5] [41] [47].</w:t>
      </w:r>
    </w:p>
    <w:p>
      <w:pPr>
        <w:numPr>
          <w:ilvl w:val="0"/>
          <w:numId w:val="2"/>
        </w:numPr>
        <w:spacing w:lineRule="auto"/>
      </w:pPr>
      <w:r>
        <w:rPr/>
        <w:t xml:space="preserve">The literature also highlights a genuine conceptual problem: mechanism language can be too ambiguous unless paired with sharper typologies and stronger comparative design [37] [40].</w:t>
      </w:r>
      <w:r>
        <w:rPr/>
        <w:br w:type="textWrapping"/>
      </w:r>
      <w:r>
        <w:rPr>
          <w:b/>
        </w:rPr>
        <w:t xml:space="preserve">Confidence level: High</w:t>
      </w:r>
      <w:r>
        <w:rPr/>
        <w:t xml:space="preserve"> - these caveats are explicitly stated in the provided evidence [1] [5] [37].</w:t>
      </w:r>
    </w:p>
    <w:p>
      <w:pPr>
        <w:pStyle w:val="Heading3"/>
        <w:spacing w:lineRule="auto"/>
      </w:pPr>
      <w:r>
        <w:rPr/>
        <w:t xml:space="preserve">Suggested Further Research</w:t>
      </w:r>
    </w:p>
    <w:p>
      <w:pPr>
        <w:numPr>
          <w:ilvl w:val="0"/>
          <w:numId w:val="3"/>
        </w:numPr>
        <w:spacing w:lineRule="auto"/>
      </w:pPr>
      <w:r>
        <w:rPr/>
        <w:t xml:space="preserve">Verify a primary-text map of Tilly’s own works explicitly defining mechanisms, processes, and events [5] [41] [47].</w:t>
      </w:r>
    </w:p>
    <w:p>
      <w:pPr>
        <w:numPr>
          <w:ilvl w:val="0"/>
          <w:numId w:val="3"/>
        </w:numPr>
        <w:spacing w:lineRule="auto"/>
      </w:pPr>
      <w:r>
        <w:rPr/>
        <w:t xml:space="preserve">Build clearer typologies of mechanisms to reduce ambiguity and improve cumulation across cases [37] [38] [40].</w:t>
      </w:r>
    </w:p>
    <w:p>
      <w:pPr>
        <w:numPr>
          <w:ilvl w:val="0"/>
          <w:numId w:val="3"/>
        </w:numPr>
        <w:spacing w:lineRule="auto"/>
      </w:pPr>
      <w:r>
        <w:rPr/>
        <w:t xml:space="preserve">Expand explicit mechanism-based studies of protest outcomes such as repression, escalation, and diffusion [50] [51].</w:t>
      </w:r>
    </w:p>
    <w:p>
      <w:pPr>
        <w:numPr>
          <w:ilvl w:val="0"/>
          <w:numId w:val="3"/>
        </w:numPr>
        <w:spacing w:lineRule="auto"/>
      </w:pPr>
      <w:r>
        <w:rPr/>
        <w:t xml:space="preserve">Test war-making/state-making under broader non-European scope conditions, including cases where war weakens rather than strengthens states [28] [29] [31].</w:t>
      </w:r>
    </w:p>
    <w:p>
      <w:pPr>
        <w:numPr>
          <w:ilvl w:val="0"/>
          <w:numId w:val="3"/>
        </w:numPr>
        <w:spacing w:lineRule="auto"/>
      </w:pPr>
      <w:r>
        <w:rPr/>
        <w:t xml:space="preserve">Develop cumulative indicators for trust networks, categorical boundaries, and coercive autonomy in democracy, migration, and inequality research [52] [53] [54].</w:t>
      </w:r>
    </w:p>
    <w:p>
      <w:pPr>
        <w:pStyle w:val="Heading2"/>
        <w:spacing w:lineRule="auto"/>
      </w:pPr>
      <w:r>
        <w:rPr/>
        <w:t xml:space="preserve">Full Report</w:t>
      </w:r>
    </w:p>
    <w:p>
      <w:pPr>
        <w:pStyle w:val="Heading2"/>
        <w:spacing w:lineRule="auto"/>
      </w:pPr>
      <w:r>
        <w:rPr/>
        <w:t xml:space="preserve">Foundational Context: What “Mechanism” Means in This Literature</w:t>
      </w:r>
    </w:p>
    <w:p>
      <w:pPr>
        <w:spacing w:lineRule="auto"/>
      </w:pPr>
      <w:r>
        <w:rPr/>
        <w:t xml:space="preserve">The supplied literature consistently presents a Tilly-associated causal style as an alternative to explanation by abstract laws or variable correlations alone [1] [2] [3] [4]. In this view, explanation should identify the </w:t>
      </w:r>
      <w:r>
        <w:rPr>
          <w:b/>
        </w:rPr>
        <w:t xml:space="preserve">causal links</w:t>
      </w:r>
      <w:r>
        <w:rPr/>
        <w:t xml:space="preserve"> that generate an outcome: the “cogs and wheels” connecting one event or set of relations to another [1] [4] [55]. Rather than asking only whether X increases Y, the mechanism question asks </w:t>
      </w:r>
      <w:r>
        <w:rPr>
          <w:b/>
        </w:rPr>
        <w:t xml:space="preserve">how</w:t>
      </w:r>
      <w:r>
        <w:rPr/>
        <w:t xml:space="preserve">, </w:t>
      </w:r>
      <w:r>
        <w:rPr>
          <w:b/>
        </w:rPr>
        <w:t xml:space="preserve">through what sequence</w:t>
      </w:r>
      <w:r>
        <w:rPr/>
        <w:t xml:space="preserve">, and </w:t>
      </w:r>
      <w:r>
        <w:rPr>
          <w:b/>
        </w:rPr>
        <w:t xml:space="preserve">via which interactions</w:t>
      </w:r>
      <w:r>
        <w:rPr/>
        <w:t xml:space="preserve"> an outcome is produced [5] [41].</w:t>
      </w:r>
    </w:p>
    <w:p>
      <w:pPr>
        <w:spacing w:lineRule="auto"/>
      </w:pPr>
      <w:r>
        <w:rPr/>
        <w:t xml:space="preserve">A second foundational feature is the shift from static entities to </w:t>
      </w:r>
      <w:r>
        <w:rPr>
          <w:b/>
        </w:rPr>
        <w:t xml:space="preserve">processes unfolding in time</w:t>
      </w:r>
      <w:r>
        <w:rPr/>
        <w:t xml:space="preserve">. The methodological texts summarized here criticize approaches that treat social processes abstractly or detach them from temporal and spatial limits [47]. Instead, they emphasize duration, pace, trajectory, cycle, narrative sequence, and conjuncture as analytic tools for reconstructing causation historically [42] [46].</w:t>
      </w:r>
    </w:p>
    <w:p>
      <w:pPr>
        <w:spacing w:lineRule="auto"/>
      </w:pPr>
      <w:r>
        <w:rPr/>
        <w:t xml:space="preserve">The evidence also distinguishes three closely related units. </w:t>
      </w:r>
      <w:r>
        <w:rPr>
          <w:b/>
        </w:rPr>
        <w:t xml:space="preserve">Mechanisms</w:t>
      </w:r>
      <w:r>
        <w:rPr/>
        <w:t xml:space="preserve"> are the recurrent causal links producing outcomes; </w:t>
      </w:r>
      <w:r>
        <w:rPr>
          <w:b/>
        </w:rPr>
        <w:t xml:space="preserve">processes</w:t>
      </w:r>
      <w:r>
        <w:rPr/>
        <w:t xml:space="preserve"> are linked chains of such mechanisms or interlocking events; and </w:t>
      </w:r>
      <w:r>
        <w:rPr>
          <w:b/>
        </w:rPr>
        <w:t xml:space="preserve">events</w:t>
      </w:r>
      <w:r>
        <w:rPr/>
        <w:t xml:space="preserve"> are the concrete happenings that compose those chains in historical analysis [5] [41]. This is why case studies, process tracing, and episode comparison are treated as especially suitable for mechanism identification, while statistical models are described as more useful for estimating effects than uncovering causal sequences [5].</w:t>
      </w:r>
    </w:p>
    <w:p>
      <w:pPr>
        <w:spacing w:lineRule="auto"/>
      </w:pPr>
      <w:r>
        <w:rPr/>
        <w:t xml:space="preserve">Taken together, the literature suggests that “Tilly’s mechanisms” are best understood less as isolated factors than as a </w:t>
      </w:r>
      <w:r>
        <w:rPr>
          <w:b/>
        </w:rPr>
        <w:t xml:space="preserve">processual explanatory architecture</w:t>
      </w:r>
      <w:r>
        <w:rPr/>
        <w:t xml:space="preserve"> joining macro-change to micro-interaction through historically bounded sequences [1] [13] [56] [57].</w:t>
      </w:r>
      <w:r>
        <w:rPr/>
        <w:br w:type="textWrapping"/>
      </w:r>
      <w:r>
        <w:rPr>
          <w:b/>
        </w:rPr>
        <w:t xml:space="preserve">Confidence level: High</w:t>
      </w:r>
      <w:r>
        <w:rPr/>
        <w:t xml:space="preserve"> - the core methodological picture is stable across multiple evidence clusters [1] [4] [5].</w:t>
      </w:r>
    </w:p>
    <w:p>
      <w:pPr>
        <w:pStyle w:val="Heading2"/>
        <w:spacing w:lineRule="auto"/>
      </w:pPr>
      <w:r>
        <w:rPr/>
        <w:t xml:space="preserve">Mechanism-Based Explanation in Historical Sociology</w:t>
      </w:r>
    </w:p>
    <w:p>
      <w:pPr>
        <w:pStyle w:val="Heading3"/>
        <w:spacing w:lineRule="auto"/>
      </w:pPr>
      <w:r>
        <w:rPr/>
        <w:t xml:space="preserve">Mechanisms vs. variables</w:t>
      </w:r>
    </w:p>
    <w:p>
      <w:pPr>
        <w:spacing w:lineRule="auto"/>
      </w:pPr>
      <w:r>
        <w:rPr/>
        <w:t xml:space="preserve">The clearest recurring claim is that Tilly-associated explanation is framed against covering-law or variable-centered models [1] [2] [3] [4]. The criticism of variable-centered work is not that variables are useless, but that correlation alone cannot show how social change actually happens [1] [4]. Mechanism-based explanation instead reconstructs the links and sequences through which outcomes are generated [5].</w:t>
      </w:r>
    </w:p>
    <w:p>
      <w:pPr>
        <w:spacing w:lineRule="auto"/>
      </w:pPr>
      <w:r>
        <w:rPr/>
        <w:t xml:space="preserve">This difference has methodological consequences. Variable-centered designs typically estimate average effects across cases, whereas mechanism-oriented work seeks causal depth through narratives, process tracing, and comparison of event sequences [5] [42]. The key object is not the isolated independent variable, but the historically situated chain joining action, interaction, and transformation [41] [46].</w:t>
      </w:r>
    </w:p>
    <w:p>
      <w:pPr>
        <w:pStyle w:val="Heading3"/>
        <w:spacing w:lineRule="auto"/>
      </w:pPr>
      <w:r>
        <w:rPr/>
        <w:t xml:space="preserve">Events, processes, and historically grounded sequence</w:t>
      </w:r>
    </w:p>
    <w:p>
      <w:pPr>
        <w:spacing w:lineRule="auto"/>
      </w:pPr>
      <w:r>
        <w:rPr/>
        <w:t xml:space="preserve">The evidence further associates this framework with event-centered historical analysis [42]. Explanations are built by tracing connected events over time, often with concepts such as trajectory, duration, pace, and cycle [42]. Historical explanation is described as a “strategic narrative” in which theory and history are mutually adjusted through comparison and anomaly-driven inquiry [46].</w:t>
      </w:r>
    </w:p>
    <w:p>
      <w:pPr>
        <w:spacing w:lineRule="auto"/>
      </w:pPr>
      <w:r>
        <w:rPr/>
        <w:t xml:space="preserve">An important implication is that comparison occurs not only across cases but across </w:t>
      </w:r>
      <w:r>
        <w:rPr>
          <w:b/>
        </w:rPr>
        <w:t xml:space="preserve">episodes</w:t>
      </w:r>
      <w:r>
        <w:rPr/>
        <w:t xml:space="preserve"> and </w:t>
      </w:r>
      <w:r>
        <w:rPr>
          <w:b/>
        </w:rPr>
        <w:t xml:space="preserve">paths</w:t>
      </w:r>
      <w:r>
        <w:rPr/>
        <w:t xml:space="preserve"> [42] [46]. That makes causation contingent and temporally embedded rather than universal in law-like form [1] [13] [57].</w:t>
      </w:r>
    </w:p>
    <w:p>
      <w:pPr>
        <w:pStyle w:val="Heading3"/>
        <w:spacing w:lineRule="auto"/>
      </w:pPr>
      <w:r>
        <w:rPr/>
        <w:t xml:space="preserve">The scope-versus-precision problem</w:t>
      </w:r>
    </w:p>
    <w:p>
      <w:pPr>
        <w:spacing w:lineRule="auto"/>
      </w:pPr>
      <w:r>
        <w:rPr/>
        <w:t xml:space="preserve">A major debate in the literature concerns underspecification. Several sources argue that naming mechanisms is not enough; if mechanisms remain vague, they risk becoming labels rather than explanations [2] [37] [40]. This yields a tension between </w:t>
      </w:r>
      <w:r>
        <w:rPr>
          <w:b/>
        </w:rPr>
        <w:t xml:space="preserve">broad applicability</w:t>
      </w:r>
      <w:r>
        <w:rPr/>
        <w:t xml:space="preserve"> and </w:t>
      </w:r>
      <w:r>
        <w:rPr>
          <w:b/>
        </w:rPr>
        <w:t xml:space="preserve">analytic precision</w:t>
      </w:r>
      <w:r>
        <w:rPr/>
        <w:t xml:space="preserve"> [2] [37].</w:t>
      </w:r>
    </w:p>
    <w:p>
      <w:pPr>
        <w:spacing w:lineRule="auto"/>
      </w:pPr>
      <w:r>
        <w:rPr/>
        <w:t xml:space="preserve">Concrete proposals for improving rigor include using general theory to select relevant facts and support cumulative comparison, deploying critical comparison to specify mechanisms and processes, and developing clearer typologies and methodological precautions for mechanism research [38] [39] [40]. The methodological convergence, then, is not anti-theoretical; it is theory-guided but demands better specification of causal chains [38] [39].</w:t>
      </w:r>
    </w:p>
    <w:p>
      <w:pPr>
        <w:spacing w:lineRule="auto"/>
      </w:pPr>
      <w:r>
        <w:rPr>
          <w:b/>
        </w:rPr>
        <w:t xml:space="preserve">Confidence level: High</w:t>
      </w:r>
      <w:r>
        <w:rPr/>
        <w:t xml:space="preserve"> - the explanatory contrast and criticism of underspecification are among the most consistently supported findings [1] [37] [40].</w:t>
      </w:r>
    </w:p>
    <w:p>
      <w:pPr>
        <w:pStyle w:val="Heading2"/>
        <w:spacing w:lineRule="auto"/>
      </w:pPr>
      <w:r>
        <w:rPr/>
        <w:t xml:space="preserve">Contentious Politics, Mobilization, and Repertoires</w:t>
      </w:r>
    </w:p>
    <w:p>
      <w:pPr>
        <w:pStyle w:val="Heading3"/>
        <w:spacing w:lineRule="auto"/>
      </w:pPr>
      <w:r>
        <w:rPr/>
        <w:t xml:space="preserve">Relational causation in contentious politics</w:t>
      </w:r>
    </w:p>
    <w:p>
      <w:pPr>
        <w:spacing w:lineRule="auto"/>
      </w:pPr>
      <w:r>
        <w:rPr/>
        <w:t xml:space="preserve">In the contentious-politics literature, causation is explicitly relational. Outcomes are produced through interactions among activists, opponents, elites, police or security forces, journalists, and sometimes academics [6] [7]. This is a move away from treating protest as the expression of a movement’s internal properties alone [6] [7].</w:t>
      </w:r>
    </w:p>
    <w:p>
      <w:pPr>
        <w:spacing w:lineRule="auto"/>
      </w:pPr>
      <w:r>
        <w:rPr/>
        <w:t xml:space="preserve">One relational-mechanisms framework specifies four arenas of interaction: movement versus political environment, internal movement interaction, movement versus state security forces, and movement versus countermovement [8]. Radicalization is then explained by paired mechanisms such as opportunity/threat spirals, competition for power, outbidding, and object shift [8]. This captures well the general style of explanation associated with Tilly in this literature: contentious outcomes are </w:t>
      </w:r>
      <w:r>
        <w:rPr>
          <w:b/>
        </w:rPr>
        <w:t xml:space="preserve">jointly produced</w:t>
      </w:r>
      <w:r>
        <w:rPr/>
        <w:t xml:space="preserve"> by interacting actors over time [8] [12] [14].</w:t>
      </w:r>
    </w:p>
    <w:p>
      <w:pPr>
        <w:pStyle w:val="Heading3"/>
        <w:spacing w:lineRule="auto"/>
      </w:pPr>
      <w:r>
        <w:rPr/>
        <w:t xml:space="preserve">Episode comparison and event catalogs</w:t>
      </w:r>
    </w:p>
    <w:p>
      <w:pPr>
        <w:spacing w:lineRule="auto"/>
      </w:pPr>
      <w:r>
        <w:rPr/>
        <w:t xml:space="preserve">Methodologically, contentious-politics studies compare </w:t>
      </w:r>
      <w:r>
        <w:rPr>
          <w:b/>
        </w:rPr>
        <w:t xml:space="preserve">episodes rather than variables</w:t>
      </w:r>
      <w:r>
        <w:rPr/>
        <w:t xml:space="preserve"> [18] [19]. Event-catalog work defines contentious events as public claim-making episodes and uses that logic both to analyze single events and aggregate historical dynamics [15]. Comparison becomes partly a measurement problem, because what counts as an event depends on the underlying theory of contention and the traces used to reconstruct it [16].</w:t>
      </w:r>
    </w:p>
    <w:p>
      <w:pPr>
        <w:spacing w:lineRule="auto"/>
      </w:pPr>
      <w:r>
        <w:rPr/>
        <w:t xml:space="preserve">This is important because it links epistemology to method: if contention is conceived as public claim-making or relational interaction, then event catalogs, sequence reconstruction, and pairwise action analysis become more appropriate than variable lists alone [15] [16]. The emphasis on richly documented episodes over time is especially clear in studies of British contention from 1758 to 1834 [15].</w:t>
      </w:r>
    </w:p>
    <w:p>
      <w:pPr>
        <w:pStyle w:val="Heading3"/>
        <w:spacing w:lineRule="auto"/>
      </w:pPr>
      <w:r>
        <w:rPr/>
        <w:t xml:space="preserve">Empirical mechanisms: diffusion, learning, escalation</w:t>
      </w:r>
    </w:p>
    <w:p>
      <w:pPr>
        <w:spacing w:lineRule="auto"/>
      </w:pPr>
      <w:r>
        <w:rPr/>
        <w:t xml:space="preserve">The evidence on explicit Tilly-framed mechanism studies is mixed. The corpus states that it does </w:t>
      </w:r>
      <w:r>
        <w:rPr>
          <w:b/>
        </w:rPr>
        <w:t xml:space="preserve">not clearly contain</w:t>
      </w:r>
      <w:r>
        <w:rPr/>
        <w:t xml:space="preserve"> many studies that explicitly use Tilly’s causal-mechanism framework to explain protest-outcome differences [50] [51]. Still, some concrete mechanisms appear.</w:t>
      </w:r>
    </w:p>
    <w:p>
      <w:pPr>
        <w:spacing w:lineRule="auto"/>
      </w:pPr>
      <w:r>
        <w:rPr/>
        <w:t xml:space="preserve">The clearest example is a quantitative-historical worker-militancy study explaining strike diffusion through </w:t>
      </w:r>
      <w:r>
        <w:rPr>
          <w:b/>
        </w:rPr>
        <w:t xml:space="preserve">geographical learning</w:t>
      </w:r>
      <w:r>
        <w:rPr/>
        <w:t xml:space="preserve">: consciousness raising, date setting, tactical guidance, and centralized union structure help strikes spread across localities and sometimes nationally [17]. This is a good example of a mechanism that is more than correlation: it specifies how one strike affects another through communication and organizational channels [17].</w:t>
      </w:r>
    </w:p>
    <w:p>
      <w:pPr>
        <w:spacing w:lineRule="auto"/>
      </w:pPr>
      <w:r>
        <w:rPr/>
        <w:t xml:space="preserve">Other studies address state repression, student protest, and violence, but the supplied excerpts do not always clearly tie those outcome differences to an explicit Tilly-style mechanism framework [58] [59] [60] [61]. The stronger conclusion is therefore methodological: the literature around contentious politics is strongly compatible with mechanism-based explanation, but explicit operationalization remains uneven [12] [14] [50].</w:t>
      </w:r>
    </w:p>
    <w:p>
      <w:pPr>
        <w:pStyle w:val="Heading3"/>
        <w:spacing w:lineRule="auto"/>
      </w:pPr>
      <w:r>
        <w:rPr/>
        <w:t xml:space="preserve">Media, meaning, and gatekeeping</w:t>
      </w:r>
    </w:p>
    <w:p>
      <w:pPr>
        <w:spacing w:lineRule="auto"/>
      </w:pPr>
      <w:r>
        <w:rPr/>
        <w:t xml:space="preserve">The relational account extends to media and communication. Newspapers can amplify or quiet contentious events depending on whether they frame them as opportunities or threats [62]. Twitter-based studies similarly use network analysis to identify influential intermediaries and gatekeepers in contention [63] [64]. This shows how media are treated not as background context but as part of the causal relay shaping meaning and influence [62] [64].</w:t>
      </w:r>
    </w:p>
    <w:p>
      <w:pPr>
        <w:spacing w:lineRule="auto"/>
      </w:pPr>
      <w:r>
        <w:rPr>
          <w:b/>
        </w:rPr>
        <w:t xml:space="preserve">Confidence level: Medium-High</w:t>
      </w:r>
      <w:r>
        <w:rPr/>
        <w:t xml:space="preserve"> - the relational and episode-centered model is strongly supported, but the evidence for many explicit protest-outcome mechanisms is thinner than for the general framework [8] [14] [17].</w:t>
      </w:r>
    </w:p>
    <w:p>
      <w:pPr>
        <w:pStyle w:val="Heading2"/>
        <w:spacing w:lineRule="auto"/>
      </w:pPr>
      <w:r>
        <w:rPr/>
        <w:t xml:space="preserve">Repertoires of Contention and Contentious Performances</w:t>
      </w:r>
    </w:p>
    <w:p>
      <w:pPr>
        <w:spacing w:lineRule="auto"/>
      </w:pPr>
      <w:r>
        <w:rPr/>
        <w:t xml:space="preserve">The repertoire concept is described as the set of means available for making claims, historically situated, learned, and culturally available rather than unlimited in principle [32] [34] [50] [65]. This means actors do not choose from every conceivable tactic; they innovate within a bounded menu of known and legitimate forms [65] [66] [67].</w:t>
      </w:r>
    </w:p>
    <w:p>
      <w:pPr>
        <w:spacing w:lineRule="auto"/>
      </w:pPr>
      <w:r>
        <w:rPr/>
        <w:t xml:space="preserve">Later work broadens this concept from </w:t>
      </w:r>
      <w:r>
        <w:rPr>
          <w:b/>
        </w:rPr>
        <w:t xml:space="preserve">repertoires</w:t>
      </w:r>
      <w:r>
        <w:rPr/>
        <w:t xml:space="preserve"> to </w:t>
      </w:r>
      <w:r>
        <w:rPr>
          <w:b/>
        </w:rPr>
        <w:t xml:space="preserve">contentious performances</w:t>
      </w:r>
      <w:r>
        <w:rPr/>
        <w:t xml:space="preserve"> [32] [33]. The shift matters because performances foreground enactment, communicated meaning, identities, storytelling, and improvisation on familiar scripts [15] [32] [68]. Repertoires identify available forms; performances analyze how those forms are staged, interpreted, and transformed in interaction [9] [15] [69].</w:t>
      </w:r>
    </w:p>
    <w:p>
      <w:pPr>
        <w:spacing w:lineRule="auto"/>
      </w:pPr>
      <w:r>
        <w:rPr/>
        <w:t xml:space="preserve">Evidence for this evolution comes from several directions. Some studies show stable or clustered repertoires, such as protest, strikes, and rebellion in Latin American campaigns, or recurring mixes of demonstrations, art performances, lobbying, and occasional squatting in Barcelona [70] [71]. Others show tactical innovation and diffusion through online activism, including e-petitions, virtual sit-ins, social media campaigns, protest websites, hacktivism, and online petitions [35] [72] [73]. The Sunflower Movement example suggests digital platforms can facilitate ad hoc gatherings, sit-ins, protest, and civil disobedience, though not all forms of sustained collective action equally [74].</w:t>
      </w:r>
    </w:p>
    <w:p>
      <w:pPr>
        <w:spacing w:lineRule="auto"/>
      </w:pPr>
      <w:r>
        <w:rPr/>
        <w:t xml:space="preserve">Taken together, these findings imply continuity rather than rupture: digital contention expands and recombines inherited repertoires rather than abolishing their historical boundedness [35] [43] [75]. That fits the broader mechanism style: actors improvise, diffuse, and adapt within relational and historical constraints [15] [42].</w:t>
      </w:r>
      <w:r>
        <w:rPr/>
        <w:br w:type="textWrapping"/>
      </w:r>
      <w:r>
        <w:rPr>
          <w:b/>
        </w:rPr>
        <w:t xml:space="preserve">Confidence level: High</w:t>
      </w:r>
      <w:r>
        <w:rPr/>
        <w:t xml:space="preserve"> - the distinction between repertoires and performances, and the claim of bounded innovation, are well supported [15] [32] [33].</w:t>
      </w:r>
    </w:p>
    <w:p>
      <w:pPr>
        <w:pStyle w:val="Heading2"/>
        <w:spacing w:lineRule="auto"/>
      </w:pPr>
      <w:r>
        <w:rPr/>
        <w:t xml:space="preserve">War-Making, State Formation, and Durable Political Change</w:t>
      </w:r>
    </w:p>
    <w:p>
      <w:pPr>
        <w:pStyle w:val="Heading3"/>
        <w:spacing w:lineRule="auto"/>
      </w:pPr>
      <w:r>
        <w:rPr/>
        <w:t xml:space="preserve">War as a mechanism of state building</w:t>
      </w:r>
    </w:p>
    <w:p>
      <w:pPr>
        <w:spacing w:lineRule="auto"/>
      </w:pPr>
      <w:r>
        <w:rPr/>
        <w:t xml:space="preserve">One of the strongest empirical applications of Tilly-style causal logic in the supplied evidence is war-making/state-making [20] [21] [22] [23]. Multiple studies restate or test the claim that war and war preparation can strengthen state capacity, institutional development, and territorial state-building [20] [21] [23].</w:t>
      </w:r>
    </w:p>
    <w:p>
      <w:pPr>
        <w:spacing w:lineRule="auto"/>
      </w:pPr>
      <w:r>
        <w:rPr/>
        <w:t xml:space="preserve">The proposed mechanisms are concrete: war pressures require extraction of resources, which leads to new tax systems, censuses, cadasters, land registration, and officials [24] [25] [76]. War also pushes the concentration and accumulation of coercive means, including military force, conscription, and stable control over populations and territory [24] [77] [78]. Administrative capacity grows through information collection, storage, and routine penetration of civil society [25] [26]. In some studies, warfare is also associated with broader territorial centralization [79] [80] [81].</w:t>
      </w:r>
    </w:p>
    <w:p>
      <w:pPr>
        <w:pStyle w:val="Heading3"/>
        <w:spacing w:lineRule="auto"/>
      </w:pPr>
      <w:r>
        <w:rPr/>
        <w:t xml:space="preserve">Scope conditions and non-European qualifications</w:t>
      </w:r>
    </w:p>
    <w:p>
      <w:pPr>
        <w:spacing w:lineRule="auto"/>
      </w:pPr>
      <w:r>
        <w:rPr/>
        <w:t xml:space="preserve">The same literature strongly qualifies the model outside Europe [27] [28] [29] [30]. One recurring argument is that Europe’s historical environment was distinctive: competing territorial entities emerged after the failure of empire and theocracy, making war-state dynamics part of a very specific system rather than a universal template [31]. In the Global South, war is sometimes formative only when armed organizations sustain coercion through direct extraction and institutionalize into state-like organizations; these conditions are described as rare [27].</w:t>
      </w:r>
    </w:p>
    <w:p>
      <w:pPr>
        <w:spacing w:lineRule="auto"/>
      </w:pPr>
      <w:r>
        <w:rPr/>
        <w:t xml:space="preserve">Comparative work sharpens the point. One study contrasts Vietnam and Afghanistan to argue that war becomes state-building when combined with a core ethnic group, a long-standing political community, and revolution; absent those conditions, war may be state-destroying [29]. Other analyses treat war as only one mechanism among several, combining it with insecurity policies, self-defense groups, patronage, foreign aid, Cold War conditions, or trade and commodity circulation [21] [82] [83].</w:t>
      </w:r>
    </w:p>
    <w:p>
      <w:pPr>
        <w:pStyle w:val="Heading3"/>
        <w:spacing w:lineRule="auto"/>
      </w:pPr>
      <w:r>
        <w:rPr/>
        <w:t xml:space="preserve">Critiques of the bellicist model</w:t>
      </w:r>
    </w:p>
    <w:p>
      <w:pPr>
        <w:spacing w:lineRule="auto"/>
      </w:pPr>
      <w:r>
        <w:rPr/>
        <w:t xml:space="preserve">Several papers critique the framework as too coarse or Eurocentric [84] [85] [86]. The model may fail when it ignores subnational variation, para-sovereign zones, or contemporary international constraints [28]. The better alternative, according to this line of criticism, is not to abandon mechanism analysis but to specify the socio-political conditions under which war builds states, destroys them, or does neither [28] [29].</w:t>
      </w:r>
    </w:p>
    <w:p>
      <w:pPr>
        <w:spacing w:lineRule="auto"/>
      </w:pPr>
      <w:r>
        <w:rPr/>
        <w:t xml:space="preserve">This is significant for the broader question of mechanisms: war-making/state-making remains persuasive not as a universal law but as a conditional process model whose operation depends on extraction mode, political community, international environment, and territorial organization [27] [29] [31].</w:t>
      </w:r>
      <w:r>
        <w:rPr/>
        <w:br w:type="textWrapping"/>
      </w:r>
      <w:r>
        <w:rPr>
          <w:b/>
        </w:rPr>
        <w:t xml:space="preserve">Confidence level: High</w:t>
      </w:r>
      <w:r>
        <w:rPr/>
        <w:t xml:space="preserve"> - both the model and its conditionality are strongly supported across the evidence [20] [24] [29].</w:t>
      </w:r>
    </w:p>
    <w:p>
      <w:pPr>
        <w:pStyle w:val="Heading2"/>
        <w:spacing w:lineRule="auto"/>
      </w:pPr>
      <w:r>
        <w:rPr/>
        <w:t xml:space="preserve">Networks, Inequality, and Boundary-Making</w:t>
      </w:r>
    </w:p>
    <w:p>
      <w:pPr>
        <w:spacing w:lineRule="auto"/>
      </w:pPr>
      <w:r>
        <w:rPr/>
        <w:t xml:space="preserve">The later relational literature extends the mechanism framework beyond protest and state formation into democratization and durable inequality [11] [12] [13]. One summary identifies three key democratization/de-democratization processes: </w:t>
      </w:r>
      <w:r>
        <w:rPr>
          <w:b/>
        </w:rPr>
        <w:t xml:space="preserve">integration of trust networks into public politics</w:t>
      </w:r>
      <w:r>
        <w:rPr/>
        <w:t xml:space="preserve">, </w:t>
      </w:r>
      <w:r>
        <w:rPr>
          <w:b/>
        </w:rPr>
        <w:t xml:space="preserve">insulation of politics from categorical inequality</w:t>
      </w:r>
      <w:r>
        <w:rPr/>
        <w:t xml:space="preserve">, and </w:t>
      </w:r>
      <w:r>
        <w:rPr>
          <w:b/>
        </w:rPr>
        <w:t xml:space="preserve">suppression of autonomous coercive power centers</w:t>
      </w:r>
      <w:r>
        <w:rPr/>
        <w:t xml:space="preserve"> [11]. This is one of the most precise mechanism triplets in the corpus [11].</w:t>
      </w:r>
    </w:p>
    <w:p>
      <w:pPr>
        <w:spacing w:lineRule="auto"/>
      </w:pPr>
      <w:r>
        <w:rPr/>
        <w:t xml:space="preserve">On inequality, the central idea is that social boundaries and categories help reproduce durable inequality [36] [87] [88]. Mechanisms such as opportunity hoarding, segregation, and the categorization of newcomers as racial or ethnic others are treated as relational processes, not merely attitudinal biases [36] [87] [88]. Empirical applications include Bengaluru slums, where “we/they” segregation and networked gatekeeping sustain spatial inequality, and mining cooperatives in eastern DRC, where exploitation persists through elite capture and exclusion from value created [89] [90].</w:t>
      </w:r>
    </w:p>
    <w:p>
      <w:pPr>
        <w:spacing w:lineRule="auto"/>
      </w:pPr>
      <w:r>
        <w:rPr/>
        <w:t xml:space="preserve">Trust networks and coercive control are also operationalized in contemporary settings. A study of Ontario security intelligence argues that withdrawal of trust from public politics can produce informational shortfalls and de-democratization, while “trust correction” can mitigate those tendencies [91]. A 2024 study of inquisitorial repression finds that authorities may infiltrate social networks to control citizens, but endogenous social forces limit coercive effectiveness without reinforcement [44].</w:t>
      </w:r>
    </w:p>
    <w:p>
      <w:pPr>
        <w:spacing w:lineRule="auto"/>
      </w:pPr>
      <w:r>
        <w:rPr/>
        <w:t xml:space="preserve">Later scholars operationalize these mechanisms relationally rather than as individual attributes. Boundary activation is measured through elite-mass interaction, ethnic enclaves, and local mixed settings [92]. Trust-network incorporation is indicated by strong-tie networks, shared risk, and collective enterprise [52]. Categorical incorporation appears in visa-category regimes that shape rights, mobility, and citizenship through institutionalized racial, gendered, and class meanings [53]. Urban citizenship studies examine citizen-city and city-state relationships through patterns of inequality and contestation [11] [54].</w:t>
      </w:r>
    </w:p>
    <w:p>
      <w:pPr>
        <w:spacing w:lineRule="auto"/>
      </w:pPr>
      <w:r>
        <w:rPr/>
        <w:t xml:space="preserve">Taken together, these findings suggest a broader unifying grammar across domains: boundary-making, trust, coercion, and relational incorporation are used to explain durable political change and durable inequality alike [11] [13] [36].</w:t>
      </w:r>
      <w:r>
        <w:rPr/>
        <w:br w:type="textWrapping"/>
      </w:r>
      <w:r>
        <w:rPr>
          <w:b/>
        </w:rPr>
        <w:t xml:space="preserve">Confidence level: Medium-High</w:t>
      </w:r>
      <w:r>
        <w:rPr/>
        <w:t xml:space="preserve"> - the framework is clear, though cross-case cumulative measurement remains comparatively thin [52] [53] [54].</w:t>
      </w:r>
    </w:p>
    <w:p>
      <w:pPr>
        <w:pStyle w:val="Heading2"/>
        <w:spacing w:lineRule="auto"/>
      </w:pPr>
      <w:r>
        <w:rPr/>
        <w:t xml:space="preserve">Cross-Domain Synthesis: What the Mechanism Framework Actually Does</w:t>
      </w:r>
    </w:p>
    <w:p>
      <w:pPr>
        <w:spacing w:lineRule="auto"/>
      </w:pPr>
      <w:r>
        <w:rPr/>
        <w:t xml:space="preserve">Across the supplied evidence, the strongest synthesis is that the Tilly-associated framework is less a fixed inventory of discrete mechanisms than a </w:t>
      </w:r>
      <w:r>
        <w:rPr>
          <w:b/>
        </w:rPr>
        <w:t xml:space="preserve">style of explanation</w:t>
      </w:r>
      <w:r>
        <w:rPr/>
        <w:t xml:space="preserve"> [1] [4] [12]. That style has four recurring features:</w:t>
      </w:r>
    </w:p>
    <w:p>
      <w:pPr>
        <w:numPr>
          <w:ilvl w:val="0"/>
          <w:numId w:val="4"/>
        </w:numPr>
        <w:spacing w:lineRule="auto"/>
      </w:pPr>
      <w:r>
        <w:rPr>
          <w:b/>
        </w:rPr>
        <w:t xml:space="preserve">Relationality:</w:t>
      </w:r>
      <w:r>
        <w:rPr/>
        <w:t xml:space="preserve"> causes run through ties among actors, not isolated attributes [6] [7] [12].</w:t>
      </w:r>
    </w:p>
    <w:p>
      <w:pPr>
        <w:numPr>
          <w:ilvl w:val="0"/>
          <w:numId w:val="4"/>
        </w:numPr>
        <w:spacing w:lineRule="auto"/>
      </w:pPr>
      <w:r>
        <w:rPr>
          <w:b/>
        </w:rPr>
        <w:t xml:space="preserve">Sequentiality:</w:t>
      </w:r>
      <w:r>
        <w:rPr/>
        <w:t xml:space="preserve"> explanation reconstructs event chains and processes over time [41] [42].</w:t>
      </w:r>
    </w:p>
    <w:p>
      <w:pPr>
        <w:numPr>
          <w:ilvl w:val="0"/>
          <w:numId w:val="4"/>
        </w:numPr>
        <w:spacing w:lineRule="auto"/>
      </w:pPr>
      <w:r>
        <w:rPr>
          <w:b/>
        </w:rPr>
        <w:t xml:space="preserve">Historical boundedness:</w:t>
      </w:r>
      <w:r>
        <w:rPr/>
        <w:t xml:space="preserve"> mechanisms operate within specific repertoires, institutional settings, and trajectories [15] [31] [34].</w:t>
      </w:r>
    </w:p>
    <w:p>
      <w:pPr>
        <w:numPr>
          <w:ilvl w:val="0"/>
          <w:numId w:val="4"/>
        </w:numPr>
        <w:spacing w:lineRule="auto"/>
      </w:pPr>
      <w:r>
        <w:rPr>
          <w:b/>
        </w:rPr>
        <w:t xml:space="preserve">Episode comparison:</w:t>
      </w:r>
      <w:r>
        <w:rPr/>
        <w:t xml:space="preserve"> researchers compare contentious episodes, paths, and historical sequences rather than relying only on variable matrices [15] [16] [46].</w:t>
      </w:r>
    </w:p>
    <w:p>
      <w:pPr>
        <w:spacing w:lineRule="auto"/>
      </w:pPr>
      <w:r>
        <w:rPr/>
        <w:t xml:space="preserve">From this perspective, the same explanatory grammar appears in protest diffusion, tactical adaptation, war-driven extraction, trust-network incorporation, and boundary-based inequality [11] [17] [24] [36] [43]. This pattern implies a unifying ambition: to connect macro-structural change with meso-level organizations and micro-level interactions without reducing explanation to any one level [1] [56] [57].</w:t>
      </w:r>
    </w:p>
    <w:p>
      <w:pPr>
        <w:spacing w:lineRule="auto"/>
      </w:pPr>
      <w:r>
        <w:rPr/>
        <w:t xml:space="preserve">The main unresolved tension is equally clear. Mechanism language gains realism by tracing how outcomes are produced, but it risks vagueness when mechanisms are not sharply specified, systematically compared, or cumulatively measured [2] [37] [40]. The future of this framework therefore depends on better operationalization rather than on abandoning the mechanism idea [39] [53].</w:t>
      </w:r>
    </w:p>
    <w:p>
      <w:pPr>
        <w:spacing w:lineRule="auto"/>
      </w:pPr>
      <w:r>
        <w:rPr>
          <w:b/>
        </w:rPr>
        <w:t xml:space="preserve">Confidence level: High</w:t>
      </w:r>
      <w:r>
        <w:rPr/>
        <w:t xml:space="preserve"> - this synthesis closely matches the supplied meta-analysis and is supported across all major domains [1] [12] [93].</w:t>
      </w:r>
    </w:p>
    <w:p>
      <w:pPr>
        <w:pStyle w:val="Heading2"/>
        <w:spacing w:lineRule="auto"/>
      </w:pPr>
      <w:r>
        <w:rPr/>
        <w:t xml:space="preserve">Conclusion</w:t>
      </w:r>
    </w:p>
    <w:p>
      <w:pPr>
        <w:spacing w:lineRule="auto"/>
      </w:pPr>
      <w:r>
        <w:rPr/>
        <w:t xml:space="preserve">Based on the supplied evidence, the best answer to “causal mechanisms Charles Tilly” is that the literature associates Tilly with a </w:t>
      </w:r>
      <w:r>
        <w:rPr>
          <w:b/>
        </w:rPr>
        <w:t xml:space="preserve">mechanism-centered, relational, and processual approach</w:t>
      </w:r>
      <w:r>
        <w:rPr/>
        <w:t xml:space="preserve"> to explaining social change [1] [4] [12]. Its core move is to replace or supplement variable-centered explanation with accounts of the sequences and interactions that generate outcomes [2] [5].</w:t>
      </w:r>
    </w:p>
    <w:p>
      <w:pPr>
        <w:spacing w:lineRule="auto"/>
      </w:pPr>
      <w:r>
        <w:rPr/>
        <w:t xml:space="preserve">Its strongest empirical applications in this corpus are:</w:t>
      </w:r>
    </w:p>
    <w:p>
      <w:pPr>
        <w:numPr>
          <w:ilvl w:val="0"/>
          <w:numId w:val="5"/>
        </w:numPr>
        <w:spacing w:lineRule="auto"/>
      </w:pPr>
      <w:r>
        <w:rPr>
          <w:b/>
        </w:rPr>
        <w:t xml:space="preserve">contentious politics</w:t>
      </w:r>
      <w:r>
        <w:rPr/>
        <w:t xml:space="preserve">, where outcomes emerge from strategic interaction across episodes [6] [8];</w:t>
      </w:r>
    </w:p>
    <w:p>
      <w:pPr>
        <w:numPr>
          <w:ilvl w:val="0"/>
          <w:numId w:val="5"/>
        </w:numPr>
        <w:spacing w:lineRule="auto"/>
      </w:pPr>
      <w:r>
        <w:rPr>
          <w:b/>
        </w:rPr>
        <w:t xml:space="preserve">state formation</w:t>
      </w:r>
      <w:r>
        <w:rPr/>
        <w:t xml:space="preserve">, where war can drive extraction, coercion, and administration under limited conditions [24] [29];</w:t>
      </w:r>
    </w:p>
    <w:p>
      <w:pPr>
        <w:numPr>
          <w:ilvl w:val="0"/>
          <w:numId w:val="5"/>
        </w:numPr>
        <w:spacing w:lineRule="auto"/>
      </w:pPr>
      <w:r>
        <w:rPr>
          <w:b/>
        </w:rPr>
        <w:t xml:space="preserve">democratization and durable inequality</w:t>
      </w:r>
      <w:r>
        <w:rPr/>
        <w:t xml:space="preserve">, where trust networks, categorical boundaries, and coercive autonomy shape long-run political change [11] [13] [36].</w:t>
      </w:r>
    </w:p>
    <w:p>
      <w:pPr>
        <w:spacing w:lineRule="auto"/>
      </w:pPr>
      <w:r>
        <w:rPr/>
        <w:t xml:space="preserve">The enduring value of the framework lies in showing </w:t>
      </w:r>
      <w:r>
        <w:rPr>
          <w:b/>
        </w:rPr>
        <w:t xml:space="preserve">how</w:t>
      </w:r>
      <w:r>
        <w:rPr/>
        <w:t xml:space="preserve"> outcomes happen historically, not just </w:t>
      </w:r>
      <w:r>
        <w:rPr>
          <w:b/>
        </w:rPr>
        <w:t xml:space="preserve">whether</w:t>
      </w:r>
      <w:r>
        <w:rPr/>
        <w:t xml:space="preserve"> some variable is associated with them [1] [4] [12]. The major open problem is specification: scholars continue to press for clearer mechanism typologies, stronger scope conditions, and more cumulative operational measures [37] [40].</w:t>
      </w:r>
      <w:r>
        <w:rPr/>
        <w:br w:type="textWrapping"/>
      </w:r>
      <w:r>
        <w:rPr>
          <w:b/>
        </w:rPr>
        <w:t xml:space="preserve">Overall confidence level: High</w:t>
      </w:r>
      <w:r>
        <w:rPr/>
        <w:t xml:space="preserve"> - the general characterization is strongly grounded in the supplied evidence, though confidence is reduced for claims about Tilly’s own primary texts because the provided metadata do not verify his authorship [1] [20] [47] [48] [49].</w:t>
      </w:r>
    </w:p>
    <w:p>
      <w:pPr>
        <w:pStyle w:val="Heading2"/>
        <w:spacing w:lineRule="auto"/>
      </w:pPr>
      <w:r>
        <w:rPr/>
        <w:t xml:space="preserve">References</w:t>
      </w:r>
    </w:p>
    <w:p>
      <w:pPr>
        <w:numPr>
          <w:ilvl w:val="0"/>
          <w:numId w:val="6"/>
        </w:numPr>
        <w:spacing w:lineRule="auto"/>
      </w:pPr>
      <w:r>
        <w:rPr/>
        <w:t xml:space="preserve">(2016) Migration Mechanisms of the Middle Range: On the Concept of Reverse Cumulative Causation. </w:t>
      </w:r>
      <w:r>
        <w:rPr>
          <w:i/>
        </w:rPr>
        <w:t xml:space="preserve">Migration, Diasporas and Citizenship</w:t>
      </w:r>
      <w:r>
        <w:rPr/>
        <w:t xml:space="preserve">. </w:t>
      </w:r>
      <w:hyperlink r:id="rId6">
        <w:r>
          <w:rPr>
            <w:rStyle w:val="Hyperlink"/>
          </w:rPr>
          <w:t xml:space="preserve">https://doi.org/10.1057/9781137539212_10</w:t>
        </w:r>
      </w:hyperlink>
    </w:p>
    <w:p>
      <w:pPr>
        <w:numPr>
          <w:ilvl w:val="0"/>
          <w:numId w:val="6"/>
        </w:numPr>
        <w:spacing w:lineRule="auto"/>
      </w:pPr>
      <w:r>
        <w:rPr/>
        <w:t xml:space="preserve">Norkus, Z. (2007) Troubles with mechanisms: Problems of the 'mechanistic turn' in historical sociology and social history. </w:t>
      </w:r>
      <w:r>
        <w:rPr>
          <w:i/>
        </w:rPr>
        <w:t xml:space="preserve">Journal of the Philosophy of History</w:t>
      </w:r>
      <w:r>
        <w:rPr/>
        <w:t xml:space="preserve">. </w:t>
      </w:r>
      <w:hyperlink r:id="rId7">
        <w:r>
          <w:rPr>
            <w:rStyle w:val="Hyperlink"/>
          </w:rPr>
          <w:t xml:space="preserve">https://doi.org/10.1163/187226307X208923</w:t>
        </w:r>
      </w:hyperlink>
    </w:p>
    <w:p>
      <w:pPr>
        <w:numPr>
          <w:ilvl w:val="0"/>
          <w:numId w:val="6"/>
        </w:numPr>
        <w:spacing w:lineRule="auto"/>
      </w:pPr>
      <w:r>
        <w:rPr/>
        <w:t xml:space="preserve">Tarrow, S. (2013) Mechanisms. </w:t>
      </w:r>
      <w:r>
        <w:rPr>
          <w:i/>
        </w:rPr>
        <w:t xml:space="preserve">The Wiley-Blackwell Encyclopedia of Social and Political Movements</w:t>
      </w:r>
      <w:r>
        <w:rPr/>
        <w:t xml:space="preserve">. </w:t>
      </w:r>
      <w:hyperlink r:id="rId8">
        <w:r>
          <w:rPr>
            <w:rStyle w:val="Hyperlink"/>
          </w:rPr>
          <w:t xml:space="preserve">https://doi.org/10.1002/9780470674871.wbespm127.pub2</w:t>
        </w:r>
      </w:hyperlink>
    </w:p>
    <w:p>
      <w:pPr>
        <w:numPr>
          <w:ilvl w:val="0"/>
          <w:numId w:val="6"/>
        </w:numPr>
        <w:spacing w:lineRule="auto"/>
      </w:pPr>
      <w:r>
        <w:rPr/>
        <w:t xml:space="preserve">Tarrow, S. (2013) Mechanisms. </w:t>
      </w:r>
      <w:r>
        <w:rPr>
          <w:i/>
        </w:rPr>
        <w:t xml:space="preserve">The Wiley-Blackwell Encyclopedia of Social and Political Movements</w:t>
      </w:r>
      <w:r>
        <w:rPr/>
        <w:t xml:space="preserve">. </w:t>
      </w:r>
      <w:hyperlink r:id="rId9">
        <w:r>
          <w:rPr>
            <w:rStyle w:val="Hyperlink"/>
          </w:rPr>
          <w:t xml:space="preserve">https://doi.org/10.1002/9780470674871.wbespm127</w:t>
        </w:r>
      </w:hyperlink>
    </w:p>
    <w:p>
      <w:pPr>
        <w:numPr>
          <w:ilvl w:val="0"/>
          <w:numId w:val="6"/>
        </w:numPr>
        <w:spacing w:lineRule="auto"/>
      </w:pPr>
      <w:r>
        <w:rPr/>
        <w:t xml:space="preserve">Bennett, A. (2001) Case Study: Methods and Analysis. </w:t>
      </w:r>
      <w:r>
        <w:rPr>
          <w:i/>
        </w:rPr>
        <w:t xml:space="preserve">International Encyclopedia of the Social &amp; Behavioral Sciences</w:t>
      </w:r>
      <w:r>
        <w:rPr/>
        <w:t xml:space="preserve">. </w:t>
      </w:r>
      <w:hyperlink r:id="rId10">
        <w:r>
          <w:rPr>
            <w:rStyle w:val="Hyperlink"/>
          </w:rPr>
          <w:t xml:space="preserve">https://doi.org/10.1016/B0-08-043076-7/00751-8</w:t>
        </w:r>
      </w:hyperlink>
    </w:p>
    <w:p>
      <w:pPr>
        <w:numPr>
          <w:ilvl w:val="0"/>
          <w:numId w:val="6"/>
        </w:numPr>
        <w:spacing w:lineRule="auto"/>
      </w:pPr>
      <w:r>
        <w:rPr/>
        <w:t xml:space="preserve">Crossley, N. (2013) Fields of Contention. </w:t>
      </w:r>
      <w:r>
        <w:rPr>
          <w:i/>
        </w:rPr>
        <w:t xml:space="preserve">The Wiley-Blackwell Encyclopedia of Social and Political Movements</w:t>
      </w:r>
      <w:r>
        <w:rPr/>
        <w:t xml:space="preserve">. </w:t>
      </w:r>
      <w:hyperlink r:id="rId11">
        <w:r>
          <w:rPr>
            <w:rStyle w:val="Hyperlink"/>
          </w:rPr>
          <w:t xml:space="preserve">https://doi.org/10.1002/9780470674871.wbespm091.pub2</w:t>
        </w:r>
      </w:hyperlink>
    </w:p>
    <w:p>
      <w:pPr>
        <w:numPr>
          <w:ilvl w:val="0"/>
          <w:numId w:val="6"/>
        </w:numPr>
        <w:spacing w:lineRule="auto"/>
      </w:pPr>
      <w:r>
        <w:rPr/>
        <w:t xml:space="preserve">Crossley, N. (2013) Fields of Contention. </w:t>
      </w:r>
      <w:r>
        <w:rPr>
          <w:i/>
        </w:rPr>
        <w:t xml:space="preserve">The Wiley-Blackwell Encyclopedia of Social and Political Movements</w:t>
      </w:r>
      <w:r>
        <w:rPr/>
        <w:t xml:space="preserve">. </w:t>
      </w:r>
      <w:hyperlink r:id="rId12">
        <w:r>
          <w:rPr>
            <w:rStyle w:val="Hyperlink"/>
          </w:rPr>
          <w:t xml:space="preserve">https://doi.org/10.1002/9780470674871.wbespm091</w:t>
        </w:r>
      </w:hyperlink>
    </w:p>
    <w:p>
      <w:pPr>
        <w:numPr>
          <w:ilvl w:val="0"/>
          <w:numId w:val="6"/>
        </w:numPr>
        <w:spacing w:lineRule="auto"/>
      </w:pPr>
      <w:r>
        <w:rPr/>
        <w:t xml:space="preserve">Alimi, E.Y., Bosi, L., Demetriou, C. (2012) Relational dynamics and processes of radicalization: A comparative framework. </w:t>
      </w:r>
      <w:r>
        <w:rPr>
          <w:i/>
        </w:rPr>
        <w:t xml:space="preserve">Mobilization</w:t>
      </w:r>
      <w:r>
        <w:rPr/>
        <w:t xml:space="preserve">. </w:t>
      </w:r>
      <w:hyperlink r:id="rId13">
        <w:r>
          <w:rPr>
            <w:rStyle w:val="Hyperlink"/>
          </w:rPr>
          <w:t xml:space="preserve">https://www.scopus.com/pages/publications/84862139981</w:t>
        </w:r>
      </w:hyperlink>
    </w:p>
    <w:p>
      <w:pPr>
        <w:numPr>
          <w:ilvl w:val="0"/>
          <w:numId w:val="6"/>
        </w:numPr>
        <w:spacing w:lineRule="auto"/>
      </w:pPr>
      <w:r>
        <w:rPr/>
        <w:t xml:space="preserve">Rossi, F.M. (2013) Repertoires of Strategies. </w:t>
      </w:r>
      <w:r>
        <w:rPr>
          <w:i/>
        </w:rPr>
        <w:t xml:space="preserve">The Wiley-Blackwell Encyclopedia of Social and Political Movements</w:t>
      </w:r>
      <w:r>
        <w:rPr/>
        <w:t xml:space="preserve">. </w:t>
      </w:r>
      <w:hyperlink r:id="rId14">
        <w:r>
          <w:rPr>
            <w:rStyle w:val="Hyperlink"/>
          </w:rPr>
          <w:t xml:space="preserve">https://doi.org/10.1002/9780470674871.wbespm624</w:t>
        </w:r>
      </w:hyperlink>
    </w:p>
    <w:p>
      <w:pPr>
        <w:numPr>
          <w:ilvl w:val="0"/>
          <w:numId w:val="6"/>
        </w:numPr>
        <w:spacing w:lineRule="auto"/>
      </w:pPr>
      <w:r>
        <w:rPr/>
        <w:t xml:space="preserve">Steinberg, M.W., Ewick, P. (2013) The work stories do: Charles Tilly's legacy on the provision of reasons, storytelling, and trust in contentious performances. </w:t>
      </w:r>
      <w:r>
        <w:rPr>
          <w:i/>
        </w:rPr>
        <w:t xml:space="preserve">Research in Social Movements, Conflicts and Change</w:t>
      </w:r>
      <w:r>
        <w:rPr/>
        <w:t xml:space="preserve">. </w:t>
      </w:r>
      <w:hyperlink r:id="rId15">
        <w:r>
          <w:rPr>
            <w:rStyle w:val="Hyperlink"/>
          </w:rPr>
          <w:t xml:space="preserve">https://doi.org/10.1108/S0163-786X(2013)0000035011</w:t>
        </w:r>
      </w:hyperlink>
    </w:p>
    <w:p>
      <w:pPr>
        <w:numPr>
          <w:ilvl w:val="0"/>
          <w:numId w:val="6"/>
        </w:numPr>
        <w:spacing w:lineRule="auto"/>
      </w:pPr>
      <w:r>
        <w:rPr/>
        <w:t xml:space="preserve">Tilly, C. (2007) Democracy. </w:t>
      </w:r>
      <w:r>
        <w:rPr>
          <w:i/>
        </w:rPr>
        <w:t xml:space="preserve">Democracy</w:t>
      </w:r>
      <w:r>
        <w:rPr/>
        <w:t xml:space="preserve">. </w:t>
      </w:r>
      <w:hyperlink r:id="rId16">
        <w:r>
          <w:rPr>
            <w:rStyle w:val="Hyperlink"/>
          </w:rPr>
          <w:t xml:space="preserve">https://doi.org/10.1017/CBO9780511804922</w:t>
        </w:r>
      </w:hyperlink>
    </w:p>
    <w:p>
      <w:pPr>
        <w:numPr>
          <w:ilvl w:val="0"/>
          <w:numId w:val="6"/>
        </w:numPr>
        <w:spacing w:lineRule="auto"/>
      </w:pPr>
      <w:r>
        <w:rPr/>
        <w:t xml:space="preserve">Diani, M. (2007) The relational element in Charles Tilly's recent (and not so recent) work. </w:t>
      </w:r>
      <w:r>
        <w:rPr>
          <w:i/>
        </w:rPr>
        <w:t xml:space="preserve">Social Networks</w:t>
      </w:r>
      <w:r>
        <w:rPr/>
        <w:t xml:space="preserve">. </w:t>
      </w:r>
      <w:hyperlink r:id="rId17">
        <w:r>
          <w:rPr>
            <w:rStyle w:val="Hyperlink"/>
          </w:rPr>
          <w:t xml:space="preserve">https://doi.org/10.1016/j.socnet.2006.12.002</w:t>
        </w:r>
      </w:hyperlink>
    </w:p>
    <w:p>
      <w:pPr>
        <w:numPr>
          <w:ilvl w:val="0"/>
          <w:numId w:val="6"/>
        </w:numPr>
        <w:spacing w:lineRule="auto"/>
      </w:pPr>
      <w:r>
        <w:rPr/>
        <w:t xml:space="preserve">Tilly, C. (2015) Explaining social processes. </w:t>
      </w:r>
      <w:r>
        <w:rPr>
          <w:i/>
        </w:rPr>
        <w:t xml:space="preserve">Explaining Social Processes</w:t>
      </w:r>
      <w:r>
        <w:rPr/>
        <w:t xml:space="preserve">. </w:t>
      </w:r>
      <w:hyperlink r:id="rId18">
        <w:r>
          <w:rPr>
            <w:rStyle w:val="Hyperlink"/>
          </w:rPr>
          <w:t xml:space="preserve">https://doi.org/10.4324/9781315634722</w:t>
        </w:r>
      </w:hyperlink>
    </w:p>
    <w:p>
      <w:pPr>
        <w:numPr>
          <w:ilvl w:val="0"/>
          <w:numId w:val="6"/>
        </w:numPr>
        <w:spacing w:lineRule="auto"/>
      </w:pPr>
      <w:r>
        <w:rPr/>
        <w:t xml:space="preserve">Demetriou, C. (2025) Realism, Mechanism, Effect, and Comparative Contentious Politics. </w:t>
      </w:r>
      <w:r>
        <w:rPr>
          <w:i/>
        </w:rPr>
        <w:t xml:space="preserve">American Behavioral Scientist</w:t>
      </w:r>
      <w:r>
        <w:rPr/>
        <w:t xml:space="preserve">. </w:t>
      </w:r>
      <w:hyperlink r:id="rId19">
        <w:r>
          <w:rPr>
            <w:rStyle w:val="Hyperlink"/>
          </w:rPr>
          <w:t xml:space="preserve">https://doi.org/10.1177/00027642231194888</w:t>
        </w:r>
      </w:hyperlink>
    </w:p>
    <w:p>
      <w:pPr>
        <w:numPr>
          <w:ilvl w:val="0"/>
          <w:numId w:val="6"/>
        </w:numPr>
        <w:spacing w:lineRule="auto"/>
      </w:pPr>
      <w:r>
        <w:rPr/>
        <w:t xml:space="preserve">Tilly, C. (2008) Contentious performances. </w:t>
      </w:r>
      <w:r>
        <w:rPr>
          <w:i/>
        </w:rPr>
        <w:t xml:space="preserve">Contentious Performances</w:t>
      </w:r>
      <w:r>
        <w:rPr/>
        <w:t xml:space="preserve">. </w:t>
      </w:r>
      <w:hyperlink r:id="rId20">
        <w:r>
          <w:rPr>
            <w:rStyle w:val="Hyperlink"/>
          </w:rPr>
          <w:t xml:space="preserve">https://doi.org/10.1017/CBO9780511804366</w:t>
        </w:r>
      </w:hyperlink>
    </w:p>
    <w:p>
      <w:pPr>
        <w:numPr>
          <w:ilvl w:val="0"/>
          <w:numId w:val="6"/>
        </w:numPr>
        <w:spacing w:lineRule="auto"/>
      </w:pPr>
      <w:r>
        <w:rPr/>
        <w:t xml:space="preserve">Tilly, C. (2002) Event catalogs as theories. </w:t>
      </w:r>
      <w:r>
        <w:rPr>
          <w:i/>
        </w:rPr>
        <w:t xml:space="preserve">Sociological Theory</w:t>
      </w:r>
      <w:r>
        <w:rPr/>
        <w:t xml:space="preserve">. </w:t>
      </w:r>
      <w:hyperlink r:id="rId21">
        <w:r>
          <w:rPr>
            <w:rStyle w:val="Hyperlink"/>
          </w:rPr>
          <w:t xml:space="preserve">https://doi.org/10.1111/1467-9558.00161</w:t>
        </w:r>
      </w:hyperlink>
    </w:p>
    <w:p>
      <w:pPr>
        <w:numPr>
          <w:ilvl w:val="0"/>
          <w:numId w:val="6"/>
        </w:numPr>
        <w:spacing w:lineRule="auto"/>
      </w:pPr>
      <w:r>
        <w:rPr/>
        <w:t xml:space="preserve">Lewin, A.C., Elazar, D.S. (2002) Red unions and bourgeois democracy: A quantitative-historical analysis of worker militancy and socialist electoral power. </w:t>
      </w:r>
      <w:r>
        <w:rPr>
          <w:i/>
        </w:rPr>
        <w:t xml:space="preserve">Social Science Research</w:t>
      </w:r>
      <w:r>
        <w:rPr/>
        <w:t xml:space="preserve">. </w:t>
      </w:r>
      <w:hyperlink r:id="rId22">
        <w:r>
          <w:rPr>
            <w:rStyle w:val="Hyperlink"/>
          </w:rPr>
          <w:t xml:space="preserve">https://doi.org/10.1016/S0049-089X(02)00016-9</w:t>
        </w:r>
      </w:hyperlink>
    </w:p>
    <w:p>
      <w:pPr>
        <w:numPr>
          <w:ilvl w:val="0"/>
          <w:numId w:val="6"/>
        </w:numPr>
        <w:spacing w:lineRule="auto"/>
      </w:pPr>
      <w:r>
        <w:rPr/>
        <w:t xml:space="preserve">Kriesi, H., Hutter, S., Bojár, A. (2019) Contentious episode analysis. </w:t>
      </w:r>
      <w:r>
        <w:rPr>
          <w:i/>
        </w:rPr>
        <w:t xml:space="preserve">Mobilization</w:t>
      </w:r>
      <w:r>
        <w:rPr/>
        <w:t xml:space="preserve">. </w:t>
      </w:r>
      <w:hyperlink r:id="rId23">
        <w:r>
          <w:rPr>
            <w:rStyle w:val="Hyperlink"/>
          </w:rPr>
          <w:t xml:space="preserve">https://doi.org/10.17813/1086-671X-24-3-251</w:t>
        </w:r>
      </w:hyperlink>
    </w:p>
    <w:p>
      <w:pPr>
        <w:numPr>
          <w:ilvl w:val="0"/>
          <w:numId w:val="6"/>
        </w:numPr>
        <w:spacing w:lineRule="auto"/>
      </w:pPr>
      <w:r>
        <w:rPr/>
        <w:t xml:space="preserve">Beissinger, M.R. (2011) Mechanisms of Maidan: The structure of contingency in the making of the Orange Revolution. </w:t>
      </w:r>
      <w:r>
        <w:rPr>
          <w:i/>
        </w:rPr>
        <w:t xml:space="preserve">Mobilization</w:t>
      </w:r>
      <w:r>
        <w:rPr/>
        <w:t xml:space="preserve">. </w:t>
      </w:r>
      <w:hyperlink r:id="rId24">
        <w:r>
          <w:rPr>
            <w:rStyle w:val="Hyperlink"/>
          </w:rPr>
          <w:t xml:space="preserve">https://doi.org/10.17813/maiq.16.1.74v41g7nl3722775</w:t>
        </w:r>
      </w:hyperlink>
    </w:p>
    <w:p>
      <w:pPr>
        <w:numPr>
          <w:ilvl w:val="0"/>
          <w:numId w:val="6"/>
        </w:numPr>
        <w:spacing w:lineRule="auto"/>
      </w:pPr>
      <w:r>
        <w:rPr/>
        <w:t xml:space="preserve">Young, L.D. (2022) Testing Tilly: Does War Really Make States?. </w:t>
      </w:r>
      <w:r>
        <w:rPr>
          <w:i/>
        </w:rPr>
        <w:t xml:space="preserve">Social Evolution and History</w:t>
      </w:r>
      <w:r>
        <w:rPr/>
        <w:t xml:space="preserve">. </w:t>
      </w:r>
      <w:hyperlink r:id="rId25">
        <w:r>
          <w:rPr>
            <w:rStyle w:val="Hyperlink"/>
          </w:rPr>
          <w:t xml:space="preserve">https://doi.org/10.30884/seh/2022.01.07</w:t>
        </w:r>
      </w:hyperlink>
    </w:p>
    <w:p>
      <w:pPr>
        <w:numPr>
          <w:ilvl w:val="0"/>
          <w:numId w:val="6"/>
        </w:numPr>
        <w:spacing w:lineRule="auto"/>
      </w:pPr>
      <w:r>
        <w:rPr/>
        <w:t xml:space="preserve">Fan, Y.-W. (2009) Foreign aid, war/military, and state building of cold war Taiwan: In search of a theoretical and comparative framework. </w:t>
      </w:r>
      <w:r>
        <w:rPr>
          <w:i/>
        </w:rPr>
        <w:t xml:space="preserve">Contributions to Conflict Management, Peace Economics and Development</w:t>
      </w:r>
      <w:r>
        <w:rPr/>
        <w:t xml:space="preserve">. </w:t>
      </w:r>
      <w:hyperlink r:id="rId26">
        <w:r>
          <w:rPr>
            <w:rStyle w:val="Hyperlink"/>
          </w:rPr>
          <w:t xml:space="preserve">https://doi.org/10.1108/S1572-8323(2009)000012B020</w:t>
        </w:r>
      </w:hyperlink>
    </w:p>
    <w:p>
      <w:pPr>
        <w:numPr>
          <w:ilvl w:val="0"/>
          <w:numId w:val="6"/>
        </w:numPr>
        <w:spacing w:lineRule="auto"/>
      </w:pPr>
      <w:r>
        <w:rPr/>
        <w:t xml:space="preserve">Tarrow, S. (2016) War, states, and contention: From Tilly to the war on terror. </w:t>
      </w:r>
      <w:r>
        <w:rPr>
          <w:i/>
        </w:rPr>
        <w:t xml:space="preserve">Mobilization</w:t>
      </w:r>
      <w:r>
        <w:rPr/>
        <w:t xml:space="preserve">. </w:t>
      </w:r>
      <w:hyperlink r:id="rId27">
        <w:r>
          <w:rPr>
            <w:rStyle w:val="Hyperlink"/>
          </w:rPr>
          <w:t xml:space="preserve">https://doi.org/10.17813/1086-671X-21-1-1</w:t>
        </w:r>
      </w:hyperlink>
    </w:p>
    <w:p>
      <w:pPr>
        <w:numPr>
          <w:ilvl w:val="0"/>
          <w:numId w:val="6"/>
        </w:numPr>
        <w:spacing w:lineRule="auto"/>
      </w:pPr>
      <w:r>
        <w:rPr/>
        <w:t xml:space="preserve">Ertman, T. (2017) Otto Hintze, Stein Rokkan and Charles Tilly’s theory of European state-building. </w:t>
      </w:r>
      <w:r>
        <w:rPr>
          <w:i/>
        </w:rPr>
        <w:t xml:space="preserve">Does War make States?: Investigations of Charles Tilly's Historical Sociology</w:t>
      </w:r>
      <w:r>
        <w:rPr/>
        <w:t xml:space="preserve">. </w:t>
      </w:r>
      <w:hyperlink r:id="rId28">
        <w:r>
          <w:rPr>
            <w:rStyle w:val="Hyperlink"/>
          </w:rPr>
          <w:t xml:space="preserve">https://doi.org/10.1017/9781316493694.003</w:t>
        </w:r>
      </w:hyperlink>
    </w:p>
    <w:p>
      <w:pPr>
        <w:numPr>
          <w:ilvl w:val="0"/>
          <w:numId w:val="6"/>
        </w:numPr>
        <w:spacing w:lineRule="auto"/>
      </w:pPr>
      <w:r>
        <w:rPr/>
        <w:t xml:space="preserve">Park, J.-H., Han, M.-H. (2018) Modern state formation and land management in South Korea: 1945–1960. </w:t>
      </w:r>
      <w:r>
        <w:rPr>
          <w:i/>
        </w:rPr>
        <w:t xml:space="preserve">Land Use Policy</w:t>
      </w:r>
      <w:r>
        <w:rPr/>
        <w:t xml:space="preserve">. </w:t>
      </w:r>
      <w:hyperlink r:id="rId29">
        <w:r>
          <w:rPr>
            <w:rStyle w:val="Hyperlink"/>
          </w:rPr>
          <w:t xml:space="preserve">https://doi.org/10.1016/j.landusepol.2018.07.013</w:t>
        </w:r>
      </w:hyperlink>
    </w:p>
    <w:p>
      <w:pPr>
        <w:numPr>
          <w:ilvl w:val="0"/>
          <w:numId w:val="6"/>
        </w:numPr>
        <w:spacing w:lineRule="auto"/>
      </w:pPr>
      <w:r>
        <w:rPr/>
        <w:t xml:space="preserve">Jones, R. (2004) Practising state consolidation in early modern England and Wales. </w:t>
      </w:r>
      <w:r>
        <w:rPr>
          <w:i/>
        </w:rPr>
        <w:t xml:space="preserve">Political Geography</w:t>
      </w:r>
      <w:r>
        <w:rPr/>
        <w:t xml:space="preserve">. </w:t>
      </w:r>
      <w:hyperlink r:id="rId30">
        <w:r>
          <w:rPr>
            <w:rStyle w:val="Hyperlink"/>
          </w:rPr>
          <w:t xml:space="preserve">https://doi.org/10.1016/j.polgeo.2004.03.001</w:t>
        </w:r>
      </w:hyperlink>
    </w:p>
    <w:p>
      <w:pPr>
        <w:numPr>
          <w:ilvl w:val="0"/>
          <w:numId w:val="6"/>
        </w:numPr>
        <w:spacing w:lineRule="auto"/>
      </w:pPr>
      <w:r>
        <w:rPr/>
        <w:t xml:space="preserve">Johnson, N.D., Koyama, M. (2017) States and economic growth: Capacity and constraints. </w:t>
      </w:r>
      <w:r>
        <w:rPr>
          <w:i/>
        </w:rPr>
        <w:t xml:space="preserve">Explorations in Economic History</w:t>
      </w:r>
      <w:r>
        <w:rPr/>
        <w:t xml:space="preserve">. </w:t>
      </w:r>
      <w:hyperlink r:id="rId31">
        <w:r>
          <w:rPr>
            <w:rStyle w:val="Hyperlink"/>
          </w:rPr>
          <w:t xml:space="preserve">https://doi.org/10.1016/j.eeh.2016.11.002</w:t>
        </w:r>
      </w:hyperlink>
    </w:p>
    <w:p>
      <w:pPr>
        <w:numPr>
          <w:ilvl w:val="0"/>
          <w:numId w:val="6"/>
        </w:numPr>
        <w:spacing w:lineRule="auto"/>
      </w:pPr>
      <w:r>
        <w:rPr/>
        <w:t xml:space="preserve">Jüde, J. (2022) Making or un-making states: when does war have formative effects?. </w:t>
      </w:r>
      <w:r>
        <w:rPr>
          <w:i/>
        </w:rPr>
        <w:t xml:space="preserve">European Journal of International Relations</w:t>
      </w:r>
      <w:r>
        <w:rPr/>
        <w:t xml:space="preserve">. </w:t>
      </w:r>
      <w:hyperlink r:id="rId32">
        <w:r>
          <w:rPr>
            <w:rStyle w:val="Hyperlink"/>
          </w:rPr>
          <w:t xml:space="preserve">https://doi.org/10.1177/13540661211053628</w:t>
        </w:r>
      </w:hyperlink>
    </w:p>
    <w:p>
      <w:pPr>
        <w:numPr>
          <w:ilvl w:val="0"/>
          <w:numId w:val="6"/>
        </w:numPr>
        <w:spacing w:lineRule="auto"/>
      </w:pPr>
      <w:r>
        <w:rPr/>
        <w:t xml:space="preserve">Adalbert Hampel, K. (2015) The dark(er) side of ‘state failure’: state formation and socio-political variation. </w:t>
      </w:r>
      <w:r>
        <w:rPr>
          <w:i/>
        </w:rPr>
        <w:t xml:space="preserve">Third World Quarterly</w:t>
      </w:r>
      <w:r>
        <w:rPr/>
        <w:t xml:space="preserve">. </w:t>
      </w:r>
      <w:hyperlink r:id="rId33">
        <w:r>
          <w:rPr>
            <w:rStyle w:val="Hyperlink"/>
          </w:rPr>
          <w:t xml:space="preserve">https://doi.org/10.1080/01436597.2015.1045862</w:t>
        </w:r>
      </w:hyperlink>
    </w:p>
    <w:p>
      <w:pPr>
        <w:numPr>
          <w:ilvl w:val="0"/>
          <w:numId w:val="6"/>
        </w:numPr>
        <w:spacing w:lineRule="auto"/>
      </w:pPr>
      <w:r>
        <w:rPr/>
        <w:t xml:space="preserve">Taylor, B.D., Botea, R. (2008) Tilly tally: War-making and state-making in the contemporary third world. </w:t>
      </w:r>
      <w:r>
        <w:rPr>
          <w:i/>
        </w:rPr>
        <w:t xml:space="preserve">International Studies Review</w:t>
      </w:r>
      <w:r>
        <w:rPr/>
        <w:t xml:space="preserve">. </w:t>
      </w:r>
      <w:hyperlink r:id="rId34">
        <w:r>
          <w:rPr>
            <w:rStyle w:val="Hyperlink"/>
          </w:rPr>
          <w:t xml:space="preserve">https://doi.org/10.1111/j.1468-2486.2008.00746.x</w:t>
        </w:r>
      </w:hyperlink>
    </w:p>
    <w:p>
      <w:pPr>
        <w:numPr>
          <w:ilvl w:val="0"/>
          <w:numId w:val="6"/>
        </w:numPr>
        <w:spacing w:lineRule="auto"/>
      </w:pPr>
      <w:r>
        <w:rPr/>
        <w:t xml:space="preserve">Delatolla, A. (2016) War and state formation in Lebanon: can Tilly be applied to the developing world?. </w:t>
      </w:r>
      <w:r>
        <w:rPr>
          <w:i/>
        </w:rPr>
        <w:t xml:space="preserve">Third World Quarterly</w:t>
      </w:r>
      <w:r>
        <w:rPr/>
        <w:t xml:space="preserve">. </w:t>
      </w:r>
      <w:hyperlink r:id="rId35">
        <w:r>
          <w:rPr>
            <w:rStyle w:val="Hyperlink"/>
          </w:rPr>
          <w:t xml:space="preserve">https://doi.org/10.1080/01436597.2015.1098529</w:t>
        </w:r>
      </w:hyperlink>
    </w:p>
    <w:p>
      <w:pPr>
        <w:numPr>
          <w:ilvl w:val="0"/>
          <w:numId w:val="6"/>
        </w:numPr>
        <w:spacing w:lineRule="auto"/>
      </w:pPr>
      <w:r>
        <w:rPr/>
        <w:t xml:space="preserve">Spruyt, H. (2017) War and state formation: Amending the bellicist theory of state making. </w:t>
      </w:r>
      <w:r>
        <w:rPr>
          <w:i/>
        </w:rPr>
        <w:t xml:space="preserve">Does War make States?: Investigations of Charles Tilly's Historical Sociology</w:t>
      </w:r>
      <w:r>
        <w:rPr/>
        <w:t xml:space="preserve">. </w:t>
      </w:r>
      <w:hyperlink r:id="rId36">
        <w:r>
          <w:rPr>
            <w:rStyle w:val="Hyperlink"/>
          </w:rPr>
          <w:t xml:space="preserve">https://doi.org/10.1017/9781316493694.004</w:t>
        </w:r>
      </w:hyperlink>
    </w:p>
    <w:p>
      <w:pPr>
        <w:numPr>
          <w:ilvl w:val="0"/>
          <w:numId w:val="6"/>
        </w:numPr>
        <w:spacing w:lineRule="auto"/>
      </w:pPr>
      <w:r>
        <w:rPr/>
        <w:t xml:space="preserve">Della Porta, D. (2013) Repertoires of Contention. </w:t>
      </w:r>
      <w:r>
        <w:rPr>
          <w:i/>
        </w:rPr>
        <w:t xml:space="preserve">The Wiley-Blackwell Encyclopedia of Social and Political Movements</w:t>
      </w:r>
      <w:r>
        <w:rPr/>
        <w:t xml:space="preserve">. </w:t>
      </w:r>
      <w:hyperlink r:id="rId37">
        <w:r>
          <w:rPr>
            <w:rStyle w:val="Hyperlink"/>
          </w:rPr>
          <w:t xml:space="preserve">https://doi.org/10.1002/9780470674871.wbespm178</w:t>
        </w:r>
      </w:hyperlink>
    </w:p>
    <w:p>
      <w:pPr>
        <w:numPr>
          <w:ilvl w:val="0"/>
          <w:numId w:val="6"/>
        </w:numPr>
        <w:spacing w:lineRule="auto"/>
      </w:pPr>
      <w:r>
        <w:rPr/>
        <w:t xml:space="preserve">Mottiar, S. (2025) South Africa’s protest tactics: evolution and expansion. </w:t>
      </w:r>
      <w:r>
        <w:rPr>
          <w:i/>
        </w:rPr>
        <w:t xml:space="preserve">Politikon</w:t>
      </w:r>
      <w:r>
        <w:rPr/>
        <w:t xml:space="preserve">. </w:t>
      </w:r>
      <w:hyperlink r:id="rId38">
        <w:r>
          <w:rPr>
            <w:rStyle w:val="Hyperlink"/>
          </w:rPr>
          <w:t xml:space="preserve">https://doi.org/10.1080/02589346.2025.2487321</w:t>
        </w:r>
      </w:hyperlink>
    </w:p>
    <w:p>
      <w:pPr>
        <w:numPr>
          <w:ilvl w:val="0"/>
          <w:numId w:val="6"/>
        </w:numPr>
        <w:spacing w:lineRule="auto"/>
      </w:pPr>
      <w:r>
        <w:rPr/>
        <w:t xml:space="preserve">Snow, D.A., Tan, A.E. (2015) Movements, Social. </w:t>
      </w:r>
      <w:r>
        <w:rPr>
          <w:i/>
        </w:rPr>
        <w:t xml:space="preserve">International Encyclopedia of the Social &amp; Behavioral Sciences: Second Edition</w:t>
      </w:r>
      <w:r>
        <w:rPr/>
        <w:t xml:space="preserve">. </w:t>
      </w:r>
      <w:hyperlink r:id="rId39">
        <w:r>
          <w:rPr>
            <w:rStyle w:val="Hyperlink"/>
          </w:rPr>
          <w:t xml:space="preserve">https://doi.org/10.1016/B978-0-08-097086-8.32096-7</w:t>
        </w:r>
      </w:hyperlink>
    </w:p>
    <w:p>
      <w:pPr>
        <w:numPr>
          <w:ilvl w:val="0"/>
          <w:numId w:val="6"/>
        </w:numPr>
        <w:spacing w:lineRule="auto"/>
      </w:pPr>
      <w:r>
        <w:rPr/>
        <w:t xml:space="preserve">Yu, Zizheng, Hou, Jiaxi, Zhou, Oscar Tianyang (2023) </w:t>
      </w:r>
      <w:r>
        <w:rPr>
          <w:i/>
        </w:rPr>
        <w:t xml:space="preserve">Social Media + Society</w:t>
      </w:r>
      <w:r>
        <w:rPr/>
        <w:t xml:space="preserve">. </w:t>
      </w:r>
      <w:hyperlink r:id="rId40">
        <w:r>
          <w:rPr>
            <w:rStyle w:val="Hyperlink"/>
          </w:rPr>
          <w:t xml:space="preserve">https://doi.org/10.1177/20563051231157603</w:t>
        </w:r>
      </w:hyperlink>
    </w:p>
    <w:p>
      <w:pPr>
        <w:numPr>
          <w:ilvl w:val="0"/>
          <w:numId w:val="6"/>
        </w:numPr>
        <w:spacing w:lineRule="auto"/>
      </w:pPr>
      <w:r>
        <w:rPr/>
        <w:t xml:space="preserve">Castañeda, E. (2017) Immigration and categorical inequality: Migration to the city and the birth of race and ethnicity. </w:t>
      </w:r>
      <w:r>
        <w:rPr>
          <w:i/>
        </w:rPr>
        <w:t xml:space="preserve">Immigration and Categorical Inequality: Migration to the City and the Birth of Race and Ethnicity</w:t>
      </w:r>
      <w:r>
        <w:rPr/>
        <w:t xml:space="preserve">. </w:t>
      </w:r>
      <w:hyperlink r:id="rId41">
        <w:r>
          <w:rPr>
            <w:rStyle w:val="Hyperlink"/>
          </w:rPr>
          <w:t xml:space="preserve">https://doi.org/10.4324/9781315100371</w:t>
        </w:r>
      </w:hyperlink>
    </w:p>
    <w:p>
      <w:pPr>
        <w:numPr>
          <w:ilvl w:val="0"/>
          <w:numId w:val="6"/>
        </w:numPr>
        <w:spacing w:lineRule="auto"/>
      </w:pPr>
      <w:r>
        <w:rPr/>
        <w:t xml:space="preserve">Demetriou, C. (2012) Processual comparative sociology: Building on the approach of Charles Tilly. </w:t>
      </w:r>
      <w:r>
        <w:rPr>
          <w:i/>
        </w:rPr>
        <w:t xml:space="preserve">Sociological Theory</w:t>
      </w:r>
      <w:r>
        <w:rPr/>
        <w:t xml:space="preserve">. </w:t>
      </w:r>
      <w:hyperlink r:id="rId42">
        <w:r>
          <w:rPr>
            <w:rStyle w:val="Hyperlink"/>
          </w:rPr>
          <w:t xml:space="preserve">https://doi.org/10.1177/0735275112437172</w:t>
        </w:r>
      </w:hyperlink>
    </w:p>
    <w:p>
      <w:pPr>
        <w:numPr>
          <w:ilvl w:val="0"/>
          <w:numId w:val="6"/>
        </w:numPr>
        <w:spacing w:lineRule="auto"/>
      </w:pPr>
      <w:r>
        <w:rPr/>
        <w:t xml:space="preserve">Kiser, E., Hechter, M. (1998) The debate on historical sociology: Rational choice theory and its critics. </w:t>
      </w:r>
      <w:r>
        <w:rPr>
          <w:i/>
        </w:rPr>
        <w:t xml:space="preserve">American Journal of Sociology</w:t>
      </w:r>
      <w:r>
        <w:rPr/>
        <w:t xml:space="preserve">. </w:t>
      </w:r>
      <w:hyperlink r:id="rId43">
        <w:r>
          <w:rPr>
            <w:rStyle w:val="Hyperlink"/>
          </w:rPr>
          <w:t xml:space="preserve">https://doi.org/10.1086/210086</w:t>
        </w:r>
      </w:hyperlink>
    </w:p>
    <w:p>
      <w:pPr>
        <w:numPr>
          <w:ilvl w:val="0"/>
          <w:numId w:val="6"/>
        </w:numPr>
        <w:spacing w:lineRule="auto"/>
      </w:pPr>
      <w:r>
        <w:rPr/>
        <w:t xml:space="preserve">Tilly, C. (2007) History of and in sociology. </w:t>
      </w:r>
      <w:r>
        <w:rPr>
          <w:i/>
        </w:rPr>
        <w:t xml:space="preserve">American Sociologist</w:t>
      </w:r>
      <w:r>
        <w:rPr/>
        <w:t xml:space="preserve">. </w:t>
      </w:r>
      <w:hyperlink r:id="rId44">
        <w:r>
          <w:rPr>
            <w:rStyle w:val="Hyperlink"/>
          </w:rPr>
          <w:t xml:space="preserve">https://doi.org/10.1007/s12108-007-9020-z</w:t>
        </w:r>
      </w:hyperlink>
    </w:p>
    <w:p>
      <w:pPr>
        <w:numPr>
          <w:ilvl w:val="0"/>
          <w:numId w:val="6"/>
        </w:numPr>
        <w:spacing w:lineRule="auto"/>
      </w:pPr>
      <w:r>
        <w:rPr/>
        <w:t xml:space="preserve">Astbury, B., Leeuw, F.L. (2010) Unpacking Black Boxes: Mechanisms and Theory Building in Evaluation. </w:t>
      </w:r>
      <w:r>
        <w:rPr>
          <w:i/>
        </w:rPr>
        <w:t xml:space="preserve">American Journal of Evaluation</w:t>
      </w:r>
      <w:r>
        <w:rPr/>
        <w:t xml:space="preserve">. </w:t>
      </w:r>
      <w:hyperlink r:id="rId45">
        <w:r>
          <w:rPr>
            <w:rStyle w:val="Hyperlink"/>
          </w:rPr>
          <w:t xml:space="preserve">https://doi.org/10.1177/1098214010371972</w:t>
        </w:r>
      </w:hyperlink>
    </w:p>
    <w:p>
      <w:pPr>
        <w:numPr>
          <w:ilvl w:val="0"/>
          <w:numId w:val="6"/>
        </w:numPr>
        <w:spacing w:lineRule="auto"/>
      </w:pPr>
      <w:r>
        <w:rPr/>
        <w:t xml:space="preserve">Skipper, R.A., Millstein, R.L. (2005) Thinking about evolutionary mechanisms: Natural selection. </w:t>
      </w:r>
      <w:r>
        <w:rPr>
          <w:i/>
        </w:rPr>
        <w:t xml:space="preserve">Studies in History and Philosophy of Science Part C :Studies in History and Philosophy of Biological and Biomedical Sciences</w:t>
      </w:r>
      <w:r>
        <w:rPr/>
        <w:t xml:space="preserve">. </w:t>
      </w:r>
      <w:hyperlink r:id="rId46">
        <w:r>
          <w:rPr>
            <w:rStyle w:val="Hyperlink"/>
          </w:rPr>
          <w:t xml:space="preserve">https://doi.org/10.1016/j.shpsc.2005.03.006</w:t>
        </w:r>
      </w:hyperlink>
    </w:p>
    <w:p>
      <w:pPr>
        <w:numPr>
          <w:ilvl w:val="0"/>
          <w:numId w:val="6"/>
        </w:numPr>
        <w:spacing w:lineRule="auto"/>
      </w:pPr>
      <w:r>
        <w:rPr/>
        <w:t xml:space="preserve">Aminzade, R. (1992) Historical Sociology and Time. </w:t>
      </w:r>
      <w:r>
        <w:rPr>
          <w:i/>
        </w:rPr>
        <w:t xml:space="preserve">Sociological Methods &amp; Research</w:t>
      </w:r>
      <w:r>
        <w:rPr/>
        <w:t xml:space="preserve">. </w:t>
      </w:r>
      <w:hyperlink r:id="rId47">
        <w:r>
          <w:rPr>
            <w:rStyle w:val="Hyperlink"/>
          </w:rPr>
          <w:t xml:space="preserve">https://doi.org/10.1177/0049124192020004003</w:t>
        </w:r>
      </w:hyperlink>
    </w:p>
    <w:p>
      <w:pPr>
        <w:numPr>
          <w:ilvl w:val="0"/>
          <w:numId w:val="6"/>
        </w:numPr>
        <w:spacing w:lineRule="auto"/>
      </w:pPr>
      <w:r>
        <w:rPr/>
        <w:t xml:space="preserve">Egreteau, R. (2023) Profile: Blending old and new repertoires of contention in Myanmar’s anti-coup protests (2021). </w:t>
      </w:r>
      <w:r>
        <w:rPr>
          <w:i/>
        </w:rPr>
        <w:t xml:space="preserve">Social Movement Studies</w:t>
      </w:r>
      <w:r>
        <w:rPr/>
        <w:t xml:space="preserve">. </w:t>
      </w:r>
      <w:hyperlink r:id="rId48">
        <w:r>
          <w:rPr>
            <w:rStyle w:val="Hyperlink"/>
          </w:rPr>
          <w:t xml:space="preserve">https://doi.org/10.1080/14742837.2022.2140650</w:t>
        </w:r>
      </w:hyperlink>
    </w:p>
    <w:p>
      <w:pPr>
        <w:numPr>
          <w:ilvl w:val="0"/>
          <w:numId w:val="6"/>
        </w:numPr>
        <w:spacing w:lineRule="auto"/>
      </w:pPr>
      <w:r>
        <w:rPr/>
        <w:t xml:space="preserve">Estévez, José Luis, Salihović, Davor, Sgourev, Stoyan V (2024) Endogenous dynamics of denunciation: Evidence from an inquisitorial trial. </w:t>
      </w:r>
      <w:r>
        <w:rPr>
          <w:i/>
        </w:rPr>
        <w:t xml:space="preserve">PNAS Nexus</w:t>
      </w:r>
      <w:r>
        <w:rPr/>
        <w:t xml:space="preserve">. </w:t>
      </w:r>
      <w:hyperlink r:id="rId49">
        <w:r>
          <w:rPr>
            <w:rStyle w:val="Hyperlink"/>
          </w:rPr>
          <w:t xml:space="preserve">https://doi.org/10.1093/pnasnexus/pgae340</w:t>
        </w:r>
      </w:hyperlink>
    </w:p>
    <w:p>
      <w:pPr>
        <w:numPr>
          <w:ilvl w:val="0"/>
          <w:numId w:val="6"/>
        </w:numPr>
        <w:spacing w:lineRule="auto"/>
      </w:pPr>
      <w:r>
        <w:rPr/>
        <w:t xml:space="preserve">Toloudis, N. (2025) Back to Heraclitus: What Contentious Politics Looks Like When Everything Is in Flux. </w:t>
      </w:r>
      <w:r>
        <w:rPr>
          <w:i/>
        </w:rPr>
        <w:t xml:space="preserve">American Behavioral Scientist</w:t>
      </w:r>
      <w:r>
        <w:rPr/>
        <w:t xml:space="preserve">. </w:t>
      </w:r>
      <w:hyperlink r:id="rId50">
        <w:r>
          <w:rPr>
            <w:rStyle w:val="Hyperlink"/>
          </w:rPr>
          <w:t xml:space="preserve">https://doi.org/10.1177/00027642231194885</w:t>
        </w:r>
      </w:hyperlink>
    </w:p>
    <w:p>
      <w:pPr>
        <w:numPr>
          <w:ilvl w:val="0"/>
          <w:numId w:val="6"/>
        </w:numPr>
        <w:spacing w:lineRule="auto"/>
      </w:pPr>
      <w:r>
        <w:rPr/>
        <w:t xml:space="preserve">Stryker, R. (1996) Beyond history versus theory: Strategic narrative and sociological explanation. </w:t>
      </w:r>
      <w:r>
        <w:rPr>
          <w:i/>
        </w:rPr>
        <w:t xml:space="preserve">Sociological Methods and Research</w:t>
      </w:r>
      <w:r>
        <w:rPr/>
        <w:t xml:space="preserve">. </w:t>
      </w:r>
      <w:hyperlink r:id="rId51">
        <w:r>
          <w:rPr>
            <w:rStyle w:val="Hyperlink"/>
          </w:rPr>
          <w:t xml:space="preserve">https://doi.org/10.1177/0049124196024003003</w:t>
        </w:r>
      </w:hyperlink>
    </w:p>
    <w:p>
      <w:pPr>
        <w:numPr>
          <w:ilvl w:val="0"/>
          <w:numId w:val="6"/>
        </w:numPr>
        <w:spacing w:lineRule="auto"/>
      </w:pPr>
      <w:r>
        <w:rPr/>
        <w:t xml:space="preserve">Gibson, C.C., Ostrom, E., Ahn, T.K. (2000) The concept of scale and the human dimensions of global change: A survey. </w:t>
      </w:r>
      <w:r>
        <w:rPr>
          <w:i/>
        </w:rPr>
        <w:t xml:space="preserve">Ecological Economics</w:t>
      </w:r>
      <w:r>
        <w:rPr/>
        <w:t xml:space="preserve">. </w:t>
      </w:r>
      <w:hyperlink r:id="rId52">
        <w:r>
          <w:rPr>
            <w:rStyle w:val="Hyperlink"/>
          </w:rPr>
          <w:t xml:space="preserve">https://doi.org/10.1016/S0921-8009(99)00092-0</w:t>
        </w:r>
      </w:hyperlink>
    </w:p>
    <w:p>
      <w:pPr>
        <w:numPr>
          <w:ilvl w:val="0"/>
          <w:numId w:val="6"/>
        </w:numPr>
        <w:spacing w:lineRule="auto"/>
      </w:pPr>
      <w:r>
        <w:rPr/>
        <w:t xml:space="preserve">Gross, N. (2010) Charles Tilly and American Pragmatism. </w:t>
      </w:r>
      <w:r>
        <w:rPr>
          <w:i/>
        </w:rPr>
        <w:t xml:space="preserve">American Sociologist</w:t>
      </w:r>
      <w:r>
        <w:rPr/>
        <w:t xml:space="preserve">. </w:t>
      </w:r>
      <w:hyperlink r:id="rId53">
        <w:r>
          <w:rPr>
            <w:rStyle w:val="Hyperlink"/>
          </w:rPr>
          <w:t xml:space="preserve">https://doi.org/10.1007/s12108-010-9110-1</w:t>
        </w:r>
      </w:hyperlink>
    </w:p>
    <w:p>
      <w:pPr>
        <w:numPr>
          <w:ilvl w:val="0"/>
          <w:numId w:val="6"/>
        </w:numPr>
        <w:spacing w:lineRule="auto"/>
      </w:pPr>
      <w:r>
        <w:rPr/>
        <w:t xml:space="preserve">McPherson, M., Smith-Lovin, L., Cook, J.M. (2001) Birds of a feather: Homophily in social networks. </w:t>
      </w:r>
      <w:r>
        <w:rPr>
          <w:i/>
        </w:rPr>
        <w:t xml:space="preserve">Annual Review of Sociology</w:t>
      </w:r>
      <w:r>
        <w:rPr/>
        <w:t xml:space="preserve">. </w:t>
      </w:r>
      <w:hyperlink r:id="rId54">
        <w:r>
          <w:rPr>
            <w:rStyle w:val="Hyperlink"/>
          </w:rPr>
          <w:t xml:space="preserve">https://doi.org/10.1146/annurev.soc.27.1.415</w:t>
        </w:r>
      </w:hyperlink>
    </w:p>
    <w:p>
      <w:pPr>
        <w:numPr>
          <w:ilvl w:val="0"/>
          <w:numId w:val="6"/>
        </w:numPr>
        <w:spacing w:lineRule="auto"/>
      </w:pPr>
      <w:r>
        <w:rPr/>
        <w:t xml:space="preserve">Peterson, A. (2015) Social Protest. </w:t>
      </w:r>
      <w:r>
        <w:rPr>
          <w:i/>
        </w:rPr>
        <w:t xml:space="preserve">International Encyclopedia of the Social &amp; Behavioral Sciences: Second Edition</w:t>
      </w:r>
      <w:r>
        <w:rPr/>
        <w:t xml:space="preserve">. </w:t>
      </w:r>
      <w:hyperlink r:id="rId55">
        <w:r>
          <w:rPr>
            <w:rStyle w:val="Hyperlink"/>
          </w:rPr>
          <w:t xml:space="preserve">https://doi.org/10.1016/B978-0-08-097086-8.96024-0</w:t>
        </w:r>
      </w:hyperlink>
    </w:p>
    <w:p>
      <w:pPr>
        <w:numPr>
          <w:ilvl w:val="0"/>
          <w:numId w:val="6"/>
        </w:numPr>
        <w:spacing w:lineRule="auto"/>
      </w:pPr>
      <w:r>
        <w:rPr/>
        <w:t xml:space="preserve">González-Bailõn, S. (2015) Social Protest and New Media. </w:t>
      </w:r>
      <w:r>
        <w:rPr>
          <w:i/>
        </w:rPr>
        <w:t xml:space="preserve">International Encyclopedia of the Social &amp; Behavioral Sciences: Second Edition</w:t>
      </w:r>
      <w:r>
        <w:rPr/>
        <w:t xml:space="preserve">. </w:t>
      </w:r>
      <w:hyperlink r:id="rId56">
        <w:r>
          <w:rPr>
            <w:rStyle w:val="Hyperlink"/>
          </w:rPr>
          <w:t xml:space="preserve">https://doi.org/10.1016/B978-0-08-097086-8.95076-1</w:t>
        </w:r>
      </w:hyperlink>
    </w:p>
    <w:p>
      <w:pPr>
        <w:numPr>
          <w:ilvl w:val="0"/>
          <w:numId w:val="6"/>
        </w:numPr>
        <w:spacing w:lineRule="auto"/>
      </w:pPr>
      <w:r>
        <w:rPr/>
        <w:t xml:space="preserve">Shin, H. (2017) Trust networks and durable inequality among korean immigrants in Japan. </w:t>
      </w:r>
      <w:r>
        <w:rPr>
          <w:i/>
        </w:rPr>
        <w:t xml:space="preserve">Immigration and Categorical Inequality: Migration to the City and the Birth of Race and Ethnicity</w:t>
      </w:r>
      <w:r>
        <w:rPr/>
        <w:t xml:space="preserve">. </w:t>
      </w:r>
      <w:hyperlink r:id="rId57">
        <w:r>
          <w:rPr>
            <w:rStyle w:val="Hyperlink"/>
          </w:rPr>
          <w:t xml:space="preserve">https://doi.org/10.4324/9781315100371</w:t>
        </w:r>
      </w:hyperlink>
    </w:p>
    <w:p>
      <w:pPr>
        <w:numPr>
          <w:ilvl w:val="0"/>
          <w:numId w:val="6"/>
        </w:numPr>
        <w:spacing w:lineRule="auto"/>
      </w:pPr>
      <w:r>
        <w:rPr/>
        <w:t xml:space="preserve">Chung, E.A. (2020) Creating hierarchies of noncitizens: race, gender, and visa categories in South Korea. </w:t>
      </w:r>
      <w:r>
        <w:rPr>
          <w:i/>
        </w:rPr>
        <w:t xml:space="preserve">Journal of Ethnic and Migration Studies</w:t>
      </w:r>
      <w:r>
        <w:rPr/>
        <w:t xml:space="preserve">. </w:t>
      </w:r>
      <w:hyperlink r:id="rId58">
        <w:r>
          <w:rPr>
            <w:rStyle w:val="Hyperlink"/>
          </w:rPr>
          <w:t xml:space="preserve">https://doi.org/10.1080/1369183X.2018.1561061</w:t>
        </w:r>
      </w:hyperlink>
    </w:p>
    <w:p>
      <w:pPr>
        <w:numPr>
          <w:ilvl w:val="0"/>
          <w:numId w:val="6"/>
        </w:numPr>
        <w:spacing w:lineRule="auto"/>
      </w:pPr>
      <w:r>
        <w:rPr/>
        <w:t xml:space="preserve">Heller, P., Evans, P. (2010) Taking Tilly south: Durable inequalities, democratic contestation, and citizenship in the Southern Metropolis. </w:t>
      </w:r>
      <w:r>
        <w:rPr>
          <w:i/>
        </w:rPr>
        <w:t xml:space="preserve">Theory and Society</w:t>
      </w:r>
      <w:r>
        <w:rPr/>
        <w:t xml:space="preserve">. </w:t>
      </w:r>
      <w:hyperlink r:id="rId59">
        <w:r>
          <w:rPr>
            <w:rStyle w:val="Hyperlink"/>
          </w:rPr>
          <w:t xml:space="preserve">https://doi.org/10.1007/s11186-010-9115-3</w:t>
        </w:r>
      </w:hyperlink>
    </w:p>
    <w:p>
      <w:pPr>
        <w:numPr>
          <w:ilvl w:val="0"/>
          <w:numId w:val="6"/>
        </w:numPr>
        <w:spacing w:lineRule="auto"/>
      </w:pPr>
      <w:r>
        <w:rPr/>
        <w:t xml:space="preserve">Milačic, F. (2022) Generalizability of the Theoretical Framework. </w:t>
      </w:r>
      <w:r>
        <w:rPr>
          <w:i/>
        </w:rPr>
        <w:t xml:space="preserve">Societies and Political Orders in Transition</w:t>
      </w:r>
      <w:r>
        <w:rPr/>
        <w:t xml:space="preserve">. </w:t>
      </w:r>
      <w:hyperlink r:id="rId60">
        <w:r>
          <w:rPr>
            <w:rStyle w:val="Hyperlink"/>
          </w:rPr>
          <w:t xml:space="preserve">https://doi.org/10.1007/978-3-031-04822-7_8</w:t>
        </w:r>
      </w:hyperlink>
    </w:p>
    <w:p>
      <w:pPr>
        <w:numPr>
          <w:ilvl w:val="0"/>
          <w:numId w:val="6"/>
        </w:numPr>
        <w:spacing w:lineRule="auto"/>
      </w:pPr>
      <w:r>
        <w:rPr/>
        <w:t xml:space="preserve">Steinmetz, G. (2010) Charles Tilly, German Historicism, and the Critical Realist Philosophy of Science. </w:t>
      </w:r>
      <w:r>
        <w:rPr>
          <w:i/>
        </w:rPr>
        <w:t xml:space="preserve">American Sociologist</w:t>
      </w:r>
      <w:r>
        <w:rPr/>
        <w:t xml:space="preserve">. </w:t>
      </w:r>
      <w:hyperlink r:id="rId61">
        <w:r>
          <w:rPr>
            <w:rStyle w:val="Hyperlink"/>
          </w:rPr>
          <w:t xml:space="preserve">https://doi.org/10.1007/s12108-010-9108-8</w:t>
        </w:r>
      </w:hyperlink>
    </w:p>
    <w:p>
      <w:pPr>
        <w:numPr>
          <w:ilvl w:val="0"/>
          <w:numId w:val="6"/>
        </w:numPr>
        <w:spacing w:lineRule="auto"/>
      </w:pPr>
      <w:r>
        <w:rPr/>
        <w:t xml:space="preserve">Lichbach, M. (2010) Charles Tilly's problem situations: From class and revolution to mechanisms and contentious politics. </w:t>
      </w:r>
      <w:r>
        <w:rPr>
          <w:i/>
        </w:rPr>
        <w:t xml:space="preserve">Perspectives on Politics</w:t>
      </w:r>
      <w:r>
        <w:rPr/>
        <w:t xml:space="preserve">. </w:t>
      </w:r>
      <w:hyperlink r:id="rId62">
        <w:r>
          <w:rPr>
            <w:rStyle w:val="Hyperlink"/>
          </w:rPr>
          <w:t xml:space="preserve">https://doi.org/10.1017/S1537592710001246</w:t>
        </w:r>
      </w:hyperlink>
    </w:p>
    <w:p>
      <w:pPr>
        <w:numPr>
          <w:ilvl w:val="0"/>
          <w:numId w:val="6"/>
        </w:numPr>
        <w:spacing w:lineRule="auto"/>
      </w:pPr>
      <w:r>
        <w:rPr/>
        <w:t xml:space="preserve">Rössel, J. (1999) Why social conflicts turn violent. Strikes and violence in American coal mining. </w:t>
      </w:r>
      <w:r>
        <w:rPr>
          <w:i/>
        </w:rPr>
        <w:t xml:space="preserve">Kolner Zeitschrift fur Soziologie und Sozialpsychologie</w:t>
      </w:r>
      <w:r>
        <w:rPr/>
        <w:t xml:space="preserve">. </w:t>
      </w:r>
      <w:hyperlink r:id="rId63">
        <w:r>
          <w:rPr>
            <w:rStyle w:val="Hyperlink"/>
          </w:rPr>
          <w:t xml:space="preserve">https://www.scopus.com/pages/publications/24944532705</w:t>
        </w:r>
      </w:hyperlink>
    </w:p>
    <w:p>
      <w:pPr>
        <w:numPr>
          <w:ilvl w:val="0"/>
          <w:numId w:val="6"/>
        </w:numPr>
        <w:spacing w:lineRule="auto"/>
      </w:pPr>
      <w:r>
        <w:rPr/>
        <w:t xml:space="preserve">González-Calleja, E.G. (2020) The Repression of Student’s Protests during Francoism (1936-1976). </w:t>
      </w:r>
      <w:r>
        <w:rPr>
          <w:i/>
        </w:rPr>
        <w:t xml:space="preserve">CIAN-Revista de Historia de las Universidades</w:t>
      </w:r>
      <w:r>
        <w:rPr/>
        <w:t xml:space="preserve">. </w:t>
      </w:r>
      <w:hyperlink r:id="rId64">
        <w:r>
          <w:rPr>
            <w:rStyle w:val="Hyperlink"/>
          </w:rPr>
          <w:t xml:space="preserve">https://doi.org/10.20318/cian.2020.5427</w:t>
        </w:r>
      </w:hyperlink>
    </w:p>
    <w:p>
      <w:pPr>
        <w:numPr>
          <w:ilvl w:val="0"/>
          <w:numId w:val="6"/>
        </w:numPr>
        <w:spacing w:lineRule="auto"/>
      </w:pPr>
      <w:r>
        <w:rPr/>
        <w:t xml:space="preserve">Biggs, M., Andrews, K.T. (2010) From protest to organization: The impact of the 1960 Sit-Ins on movement organizations in the American South. </w:t>
      </w:r>
      <w:r>
        <w:rPr>
          <w:i/>
        </w:rPr>
        <w:t xml:space="preserve">The Diffusion of Social Movements: Actors, Mechanisms, and Political Effects</w:t>
      </w:r>
      <w:r>
        <w:rPr/>
        <w:t xml:space="preserve">. </w:t>
      </w:r>
      <w:hyperlink r:id="rId65">
        <w:r>
          <w:rPr>
            <w:rStyle w:val="Hyperlink"/>
          </w:rPr>
          <w:t xml:space="preserve">https://doi.org/10.1017/CBO9780511761638.011</w:t>
        </w:r>
      </w:hyperlink>
    </w:p>
    <w:p>
      <w:pPr>
        <w:numPr>
          <w:ilvl w:val="0"/>
          <w:numId w:val="6"/>
        </w:numPr>
        <w:spacing w:lineRule="auto"/>
      </w:pPr>
      <w:r>
        <w:rPr/>
        <w:t xml:space="preserve">Koen, C., Cele, M., Libhaber, A. (2006) Student activism and student exclusions in South Africa. </w:t>
      </w:r>
      <w:r>
        <w:rPr>
          <w:i/>
        </w:rPr>
        <w:t xml:space="preserve">International Journal of Educational Development</w:t>
      </w:r>
      <w:r>
        <w:rPr/>
        <w:t xml:space="preserve">. </w:t>
      </w:r>
      <w:hyperlink r:id="rId66">
        <w:r>
          <w:rPr>
            <w:rStyle w:val="Hyperlink"/>
          </w:rPr>
          <w:t xml:space="preserve">https://doi.org/10.1016/j.ijedudev.2005.09.009</w:t>
        </w:r>
      </w:hyperlink>
    </w:p>
    <w:p>
      <w:pPr>
        <w:numPr>
          <w:ilvl w:val="0"/>
          <w:numId w:val="6"/>
        </w:numPr>
        <w:spacing w:lineRule="auto"/>
      </w:pPr>
      <w:r>
        <w:rPr/>
        <w:t xml:space="preserve">Groshek, J., Tandoc, E. (2016) The affordance effect: Gatekeeping and (non)reciprocal journalism on Twitter. </w:t>
      </w:r>
      <w:r>
        <w:rPr>
          <w:i/>
        </w:rPr>
        <w:t xml:space="preserve">ACM International Conference Proceeding Series</w:t>
      </w:r>
      <w:r>
        <w:rPr/>
        <w:t xml:space="preserve">. </w:t>
      </w:r>
      <w:hyperlink r:id="rId67">
        <w:r>
          <w:rPr>
            <w:rStyle w:val="Hyperlink"/>
          </w:rPr>
          <w:t xml:space="preserve">https://doi.org/10.1145/2930971.2930993</w:t>
        </w:r>
      </w:hyperlink>
    </w:p>
    <w:p>
      <w:pPr>
        <w:numPr>
          <w:ilvl w:val="0"/>
          <w:numId w:val="6"/>
        </w:numPr>
        <w:spacing w:lineRule="auto"/>
      </w:pPr>
      <w:r>
        <w:rPr/>
        <w:t xml:space="preserve">Groshek, J., Tandoc, E. (2017) The affordance effect: Gatekeeping and (non)reciprocal journalism on Twitter. </w:t>
      </w:r>
      <w:r>
        <w:rPr>
          <w:i/>
        </w:rPr>
        <w:t xml:space="preserve">Computers in Human Behavior</w:t>
      </w:r>
      <w:r>
        <w:rPr/>
        <w:t xml:space="preserve">. </w:t>
      </w:r>
      <w:hyperlink r:id="rId68">
        <w:r>
          <w:rPr>
            <w:rStyle w:val="Hyperlink"/>
          </w:rPr>
          <w:t xml:space="preserve">https://doi.org/10.1016/j.chb.2016.09.020</w:t>
        </w:r>
      </w:hyperlink>
    </w:p>
    <w:p>
      <w:pPr>
        <w:numPr>
          <w:ilvl w:val="0"/>
          <w:numId w:val="6"/>
        </w:numPr>
        <w:spacing w:lineRule="auto"/>
      </w:pPr>
      <w:r>
        <w:rPr/>
        <w:t xml:space="preserve">Alimi, E.Y., Maney, G.M. (2018) Focusing on Focusing Events: Event Selection, Media Coverage, and the Dynamics of Contentious Meaning-Making. </w:t>
      </w:r>
      <w:r>
        <w:rPr>
          <w:i/>
        </w:rPr>
        <w:t xml:space="preserve">Sociological Forum</w:t>
      </w:r>
      <w:r>
        <w:rPr/>
        <w:t xml:space="preserve">. </w:t>
      </w:r>
      <w:hyperlink r:id="rId69">
        <w:r>
          <w:rPr>
            <w:rStyle w:val="Hyperlink"/>
          </w:rPr>
          <w:t xml:space="preserve">https://doi.org/10.1111/socf.12442</w:t>
        </w:r>
      </w:hyperlink>
    </w:p>
    <w:p>
      <w:pPr>
        <w:numPr>
          <w:ilvl w:val="0"/>
          <w:numId w:val="6"/>
        </w:numPr>
        <w:spacing w:lineRule="auto"/>
      </w:pPr>
      <w:r>
        <w:rPr/>
        <w:t xml:space="preserve">Davis, G.F., McAdam, D. (2000) Corporations, classes, and social movements after managerialism. </w:t>
      </w:r>
      <w:r>
        <w:rPr>
          <w:i/>
        </w:rPr>
        <w:t xml:space="preserve">Research in Organizational Behavior</w:t>
      </w:r>
      <w:r>
        <w:rPr/>
        <w:t xml:space="preserve">. </w:t>
      </w:r>
      <w:hyperlink r:id="rId70">
        <w:r>
          <w:rPr>
            <w:rStyle w:val="Hyperlink"/>
          </w:rPr>
          <w:t xml:space="preserve">https://doi.org/10.1016/s0191-3085(00)22006-6</w:t>
        </w:r>
      </w:hyperlink>
    </w:p>
    <w:p>
      <w:pPr>
        <w:numPr>
          <w:ilvl w:val="0"/>
          <w:numId w:val="6"/>
        </w:numPr>
        <w:spacing w:lineRule="auto"/>
      </w:pPr>
      <w:r>
        <w:rPr/>
        <w:t xml:space="preserve">Jentzsch, C., Masullo, J. (2022) Violent or non-violent action? Wartime civilian resistance in Colombia and Mozambique. </w:t>
      </w:r>
      <w:r>
        <w:rPr>
          <w:i/>
        </w:rPr>
        <w:t xml:space="preserve">Political Geography</w:t>
      </w:r>
      <w:r>
        <w:rPr/>
        <w:t xml:space="preserve">. </w:t>
      </w:r>
      <w:hyperlink r:id="rId71">
        <w:r>
          <w:rPr>
            <w:rStyle w:val="Hyperlink"/>
          </w:rPr>
          <w:t xml:space="preserve">https://doi.org/10.1016/j.polgeo.2022.102761</w:t>
        </w:r>
      </w:hyperlink>
    </w:p>
    <w:p>
      <w:pPr>
        <w:numPr>
          <w:ilvl w:val="0"/>
          <w:numId w:val="6"/>
        </w:numPr>
        <w:spacing w:lineRule="auto"/>
      </w:pPr>
      <w:r>
        <w:rPr/>
        <w:t xml:space="preserve">Wilson-Rowe, E. (2020) Analyzing frenemies: An Arctic repertoire of cooperation and rivalry. </w:t>
      </w:r>
      <w:r>
        <w:rPr>
          <w:i/>
        </w:rPr>
        <w:t xml:space="preserve">Political Geography</w:t>
      </w:r>
      <w:r>
        <w:rPr/>
        <w:t xml:space="preserve">. </w:t>
      </w:r>
      <w:hyperlink r:id="rId72">
        <w:r>
          <w:rPr>
            <w:rStyle w:val="Hyperlink"/>
          </w:rPr>
          <w:t xml:space="preserve">https://doi.org/10.1016/j.polgeo.2019.102072</w:t>
        </w:r>
      </w:hyperlink>
    </w:p>
    <w:p>
      <w:pPr>
        <w:numPr>
          <w:ilvl w:val="0"/>
          <w:numId w:val="6"/>
        </w:numPr>
        <w:spacing w:lineRule="auto"/>
      </w:pPr>
      <w:r>
        <w:rPr/>
        <w:t xml:space="preserve">McPhail, C. (2013) Modular Protest Forms. </w:t>
      </w:r>
      <w:r>
        <w:rPr>
          <w:i/>
        </w:rPr>
        <w:t xml:space="preserve">The Wiley-Blackwell Encyclopedia of Social and Political Movements</w:t>
      </w:r>
      <w:r>
        <w:rPr/>
        <w:t xml:space="preserve">. </w:t>
      </w:r>
      <w:hyperlink r:id="rId73">
        <w:r>
          <w:rPr>
            <w:rStyle w:val="Hyperlink"/>
          </w:rPr>
          <w:t xml:space="preserve">https://doi.org/10.1002/9780470674871.wbespm131</w:t>
        </w:r>
      </w:hyperlink>
    </w:p>
    <w:p>
      <w:pPr>
        <w:numPr>
          <w:ilvl w:val="0"/>
          <w:numId w:val="6"/>
        </w:numPr>
        <w:spacing w:lineRule="auto"/>
      </w:pPr>
      <w:r>
        <w:rPr/>
        <w:t xml:space="preserve">Morgan, M. (2026) Why the study of political contention needs Durkheim: the case of Charles Tilly’s ‘contentious repertoires’. </w:t>
      </w:r>
      <w:r>
        <w:rPr>
          <w:i/>
        </w:rPr>
        <w:t xml:space="preserve">Journal of Classical Sociology</w:t>
      </w:r>
      <w:r>
        <w:rPr/>
        <w:t xml:space="preserve">. </w:t>
      </w:r>
      <w:hyperlink r:id="rId74">
        <w:r>
          <w:rPr>
            <w:rStyle w:val="Hyperlink"/>
          </w:rPr>
          <w:t xml:space="preserve">https://doi.org/10.1177/1468795X251372147</w:t>
        </w:r>
      </w:hyperlink>
    </w:p>
    <w:p>
      <w:pPr>
        <w:numPr>
          <w:ilvl w:val="0"/>
          <w:numId w:val="6"/>
        </w:numPr>
        <w:spacing w:lineRule="auto"/>
      </w:pPr>
      <w:r>
        <w:rPr/>
        <w:t xml:space="preserve">Franklin, J.C. (2013) Repertoires of contention and tactical choice in Latin America, 1981-1995. </w:t>
      </w:r>
      <w:r>
        <w:rPr>
          <w:i/>
        </w:rPr>
        <w:t xml:space="preserve">Research in Social Movements, Conflicts and Change</w:t>
      </w:r>
      <w:r>
        <w:rPr/>
        <w:t xml:space="preserve">. </w:t>
      </w:r>
      <w:hyperlink r:id="rId75">
        <w:r>
          <w:rPr>
            <w:rStyle w:val="Hyperlink"/>
          </w:rPr>
          <w:t xml:space="preserve">https://doi.org/10.1108/S0163-786X(2013)0000035012</w:t>
        </w:r>
      </w:hyperlink>
    </w:p>
    <w:p>
      <w:pPr>
        <w:numPr>
          <w:ilvl w:val="0"/>
          <w:numId w:val="6"/>
        </w:numPr>
        <w:spacing w:lineRule="auto"/>
      </w:pPr>
      <w:r>
        <w:rPr/>
        <w:t xml:space="preserve">Pera, M. (2020) Potential benefits and challenges of the relationship between social movements and the commons in the city of Barcelona. </w:t>
      </w:r>
      <w:r>
        <w:rPr>
          <w:i/>
        </w:rPr>
        <w:t xml:space="preserve">Ecological Economics</w:t>
      </w:r>
      <w:r>
        <w:rPr/>
        <w:t xml:space="preserve">. </w:t>
      </w:r>
      <w:hyperlink r:id="rId76">
        <w:r>
          <w:rPr>
            <w:rStyle w:val="Hyperlink"/>
          </w:rPr>
          <w:t xml:space="preserve">https://doi.org/10.1016/j.ecolecon.2020.106670</w:t>
        </w:r>
      </w:hyperlink>
    </w:p>
    <w:p>
      <w:pPr>
        <w:numPr>
          <w:ilvl w:val="0"/>
          <w:numId w:val="6"/>
        </w:numPr>
        <w:spacing w:lineRule="auto"/>
      </w:pPr>
      <w:r>
        <w:rPr/>
        <w:t xml:space="preserve">Zhang, Xinyi, Davis, Mark (2024) E-extremism: A conceptual framework for studying the online far right. </w:t>
      </w:r>
      <w:r>
        <w:rPr>
          <w:i/>
        </w:rPr>
        <w:t xml:space="preserve">New Media &amp; Society</w:t>
      </w:r>
      <w:r>
        <w:rPr/>
        <w:t xml:space="preserve">. </w:t>
      </w:r>
      <w:hyperlink r:id="rId77">
        <w:r>
          <w:rPr>
            <w:rStyle w:val="Hyperlink"/>
          </w:rPr>
          <w:t xml:space="preserve">https://doi.org/10.1177/14614448221098360</w:t>
        </w:r>
      </w:hyperlink>
    </w:p>
    <w:p>
      <w:pPr>
        <w:numPr>
          <w:ilvl w:val="0"/>
          <w:numId w:val="6"/>
        </w:numPr>
        <w:spacing w:lineRule="auto"/>
      </w:pPr>
      <w:r>
        <w:rPr/>
        <w:t xml:space="preserve">Choi, Sujin, Park, Han Woo (2014) An exploratory approach to a Twitter-based community centered on a political goal in South Korea: Who organized it, what they shared, and how they acted. </w:t>
      </w:r>
      <w:r>
        <w:rPr>
          <w:i/>
        </w:rPr>
        <w:t xml:space="preserve">New Media &amp; Society</w:t>
      </w:r>
      <w:r>
        <w:rPr/>
        <w:t xml:space="preserve">. </w:t>
      </w:r>
      <w:hyperlink r:id="rId78">
        <w:r>
          <w:rPr>
            <w:rStyle w:val="Hyperlink"/>
          </w:rPr>
          <w:t xml:space="preserve">https://doi.org/10.1177/1461444813487956</w:t>
        </w:r>
      </w:hyperlink>
    </w:p>
    <w:p>
      <w:pPr>
        <w:numPr>
          <w:ilvl w:val="0"/>
          <w:numId w:val="6"/>
        </w:numPr>
        <w:spacing w:lineRule="auto"/>
      </w:pPr>
      <w:r>
        <w:rPr/>
        <w:t xml:space="preserve">Tsatsou, Panayiota (2018) Social Media and Informal Organisation of Citizen Activism: Lessons From the Use of Facebook in the Sunflower Movement. </w:t>
      </w:r>
      <w:r>
        <w:rPr>
          <w:i/>
        </w:rPr>
        <w:t xml:space="preserve">Social Media + Society</w:t>
      </w:r>
      <w:r>
        <w:rPr/>
        <w:t xml:space="preserve">. </w:t>
      </w:r>
      <w:hyperlink r:id="rId79">
        <w:r>
          <w:rPr>
            <w:rStyle w:val="Hyperlink"/>
          </w:rPr>
          <w:t xml:space="preserve">https://doi.org/10.1177/2056305117751384</w:t>
        </w:r>
      </w:hyperlink>
    </w:p>
    <w:p>
      <w:pPr>
        <w:numPr>
          <w:ilvl w:val="0"/>
          <w:numId w:val="6"/>
        </w:numPr>
        <w:spacing w:lineRule="auto"/>
      </w:pPr>
      <w:r>
        <w:rPr/>
        <w:t xml:space="preserve">Wada, T. (2023) Repertoires of Contention across Latin America. </w:t>
      </w:r>
      <w:r>
        <w:rPr>
          <w:i/>
        </w:rPr>
        <w:t xml:space="preserve">The Oxford Handbook of Latin American Social Movements</w:t>
      </w:r>
      <w:r>
        <w:rPr/>
        <w:t xml:space="preserve">. </w:t>
      </w:r>
      <w:hyperlink r:id="rId80">
        <w:r>
          <w:rPr>
            <w:rStyle w:val="Hyperlink"/>
          </w:rPr>
          <w:t xml:space="preserve">https://doi.org/10.1093/oxfordhb/9780190870362.013.12</w:t>
        </w:r>
      </w:hyperlink>
    </w:p>
    <w:p>
      <w:pPr>
        <w:numPr>
          <w:ilvl w:val="0"/>
          <w:numId w:val="6"/>
        </w:numPr>
        <w:spacing w:lineRule="auto"/>
      </w:pPr>
      <w:r>
        <w:rPr/>
        <w:t xml:space="preserve">Levi, M. (2001) Conscription, Policy of. </w:t>
      </w:r>
      <w:r>
        <w:rPr>
          <w:i/>
        </w:rPr>
        <w:t xml:space="preserve">International Encyclopedia of the Social &amp; Behavioral Sciences</w:t>
      </w:r>
      <w:r>
        <w:rPr/>
        <w:t xml:space="preserve">. </w:t>
      </w:r>
      <w:hyperlink r:id="rId81">
        <w:r>
          <w:rPr>
            <w:rStyle w:val="Hyperlink"/>
          </w:rPr>
          <w:t xml:space="preserve">https://doi.org/10.1016/B0-08-043076-7/04489-2</w:t>
        </w:r>
      </w:hyperlink>
    </w:p>
    <w:p>
      <w:pPr>
        <w:numPr>
          <w:ilvl w:val="0"/>
          <w:numId w:val="6"/>
        </w:numPr>
        <w:spacing w:lineRule="auto"/>
      </w:pPr>
      <w:r>
        <w:rPr/>
        <w:t xml:space="preserve">Kaspersen, L.B. (2015) War, Sociology of. </w:t>
      </w:r>
      <w:r>
        <w:rPr>
          <w:i/>
        </w:rPr>
        <w:t xml:space="preserve">International Encyclopedia of the Social &amp; Behavioral Sciences: Second Edition</w:t>
      </w:r>
      <w:r>
        <w:rPr/>
        <w:t xml:space="preserve">. </w:t>
      </w:r>
      <w:hyperlink r:id="rId82">
        <w:r>
          <w:rPr>
            <w:rStyle w:val="Hyperlink"/>
          </w:rPr>
          <w:t xml:space="preserve">https://doi.org/10.1016/B978-0-08-097086-8.96048-3</w:t>
        </w:r>
      </w:hyperlink>
    </w:p>
    <w:p>
      <w:pPr>
        <w:numPr>
          <w:ilvl w:val="0"/>
          <w:numId w:val="6"/>
        </w:numPr>
        <w:spacing w:lineRule="auto"/>
      </w:pPr>
      <w:r>
        <w:rPr/>
        <w:t xml:space="preserve">Müller, T.R. (2012) From rebel governance to state consolidation - Dynamics of loyalty and the securitisation of the state in Eritrea. </w:t>
      </w:r>
      <w:r>
        <w:rPr>
          <w:i/>
        </w:rPr>
        <w:t xml:space="preserve">Geoforum</w:t>
      </w:r>
      <w:r>
        <w:rPr/>
        <w:t xml:space="preserve">. </w:t>
      </w:r>
      <w:hyperlink r:id="rId83">
        <w:r>
          <w:rPr>
            <w:rStyle w:val="Hyperlink"/>
          </w:rPr>
          <w:t xml:space="preserve">https://doi.org/10.1016/j.geoforum.2012.01.009</w:t>
        </w:r>
      </w:hyperlink>
    </w:p>
    <w:p>
      <w:pPr>
        <w:numPr>
          <w:ilvl w:val="0"/>
          <w:numId w:val="6"/>
        </w:numPr>
        <w:spacing w:lineRule="auto"/>
      </w:pPr>
      <w:r>
        <w:rPr/>
        <w:t xml:space="preserve">Nunn, Nathan (2014) Historical Development. </w:t>
      </w:r>
      <w:r>
        <w:rPr>
          <w:i/>
        </w:rPr>
        <w:t xml:space="preserve">Handbook of Economic Growth</w:t>
      </w:r>
      <w:r>
        <w:rPr/>
        <w:t xml:space="preserve">. </w:t>
      </w:r>
      <w:hyperlink r:id="rId84">
        <w:r>
          <w:rPr>
            <w:rStyle w:val="Hyperlink"/>
          </w:rPr>
          <w:t xml:space="preserve">https://doi.org/10.1016/B978-0-444-53538-2.00007-1</w:t>
        </w:r>
      </w:hyperlink>
    </w:p>
    <w:p>
      <w:pPr>
        <w:numPr>
          <w:ilvl w:val="0"/>
          <w:numId w:val="6"/>
        </w:numPr>
        <w:spacing w:lineRule="auto"/>
      </w:pPr>
      <w:r>
        <w:rPr/>
        <w:t xml:space="preserve">Davis, C. (2009) AFRICOM's Relationship to Oil, Terrorism and China. </w:t>
      </w:r>
      <w:r>
        <w:rPr>
          <w:i/>
        </w:rPr>
        <w:t xml:space="preserve">Orbis</w:t>
      </w:r>
      <w:r>
        <w:rPr/>
        <w:t xml:space="preserve">. </w:t>
      </w:r>
      <w:hyperlink r:id="rId85">
        <w:r>
          <w:rPr>
            <w:rStyle w:val="Hyperlink"/>
          </w:rPr>
          <w:t xml:space="preserve">https://doi.org/10.1016/j.orbis.2008.10.004</w:t>
        </w:r>
      </w:hyperlink>
    </w:p>
    <w:p>
      <w:pPr>
        <w:numPr>
          <w:ilvl w:val="0"/>
          <w:numId w:val="6"/>
        </w:numPr>
        <w:spacing w:lineRule="auto"/>
      </w:pPr>
      <w:r>
        <w:rPr/>
        <w:t xml:space="preserve">Koyama, M., Moriguchi, C., Sng, T.-H. (2018) Geopolitics and Asia's little divergence: State building in China and Japan after 1850. </w:t>
      </w:r>
      <w:r>
        <w:rPr>
          <w:i/>
        </w:rPr>
        <w:t xml:space="preserve">Journal of Economic Behavior and Organization</w:t>
      </w:r>
      <w:r>
        <w:rPr/>
        <w:t xml:space="preserve">. </w:t>
      </w:r>
      <w:hyperlink r:id="rId86">
        <w:r>
          <w:rPr>
            <w:rStyle w:val="Hyperlink"/>
          </w:rPr>
          <w:t xml:space="preserve">https://doi.org/10.1016/j.jebo.2018.08.021</w:t>
        </w:r>
      </w:hyperlink>
    </w:p>
    <w:p>
      <w:pPr>
        <w:numPr>
          <w:ilvl w:val="0"/>
          <w:numId w:val="6"/>
        </w:numPr>
        <w:spacing w:lineRule="auto"/>
      </w:pPr>
      <w:r>
        <w:rPr/>
        <w:t xml:space="preserve">Saidou, A.K. (2023) Guerre et formation de l’État au Sahel. </w:t>
      </w:r>
      <w:r>
        <w:rPr>
          <w:i/>
        </w:rPr>
        <w:t xml:space="preserve">Africa Development</w:t>
      </w:r>
      <w:r>
        <w:rPr/>
        <w:t xml:space="preserve">. </w:t>
      </w:r>
      <w:hyperlink r:id="rId87">
        <w:r>
          <w:rPr>
            <w:rStyle w:val="Hyperlink"/>
          </w:rPr>
          <w:t xml:space="preserve">https://doi.org/10.57054/ad.v48i4.5572</w:t>
        </w:r>
      </w:hyperlink>
    </w:p>
    <w:p>
      <w:pPr>
        <w:numPr>
          <w:ilvl w:val="0"/>
          <w:numId w:val="6"/>
        </w:numPr>
        <w:spacing w:lineRule="auto"/>
      </w:pPr>
      <w:r>
        <w:rPr/>
        <w:t xml:space="preserve">Hagmann, T., Stepputat, F. (2023) Tilly in the tropics: Trade and somali state-making. </w:t>
      </w:r>
      <w:r>
        <w:rPr>
          <w:i/>
        </w:rPr>
        <w:t xml:space="preserve">Trade Makes States: Governing the Greater Somali Economy</w:t>
      </w:r>
      <w:r>
        <w:rPr/>
        <w:t xml:space="preserve">. </w:t>
      </w:r>
      <w:hyperlink r:id="rId88">
        <w:r>
          <w:rPr>
            <w:rStyle w:val="Hyperlink"/>
          </w:rPr>
          <w:t xml:space="preserve">https://doi.org/10.1093/oso/9780197746219.003.0008</w:t>
        </w:r>
      </w:hyperlink>
    </w:p>
    <w:p>
      <w:pPr>
        <w:numPr>
          <w:ilvl w:val="0"/>
          <w:numId w:val="6"/>
        </w:numPr>
        <w:spacing w:lineRule="auto"/>
      </w:pPr>
      <w:r>
        <w:rPr/>
        <w:t xml:space="preserve">Haldén, P. (2017) The realm as a European form of rule: Unpacking the warfare thesis through the holy Roman empire. </w:t>
      </w:r>
      <w:r>
        <w:rPr>
          <w:i/>
        </w:rPr>
        <w:t xml:space="preserve">Does War make States?: Investigations of Charles Tilly's Historical Sociology</w:t>
      </w:r>
      <w:r>
        <w:rPr/>
        <w:t xml:space="preserve">. </w:t>
      </w:r>
      <w:hyperlink r:id="rId89">
        <w:r>
          <w:rPr>
            <w:rStyle w:val="Hyperlink"/>
          </w:rPr>
          <w:t xml:space="preserve">https://doi.org/10.1017/9781316493694.007</w:t>
        </w:r>
      </w:hyperlink>
    </w:p>
    <w:p>
      <w:pPr>
        <w:numPr>
          <w:ilvl w:val="0"/>
          <w:numId w:val="6"/>
        </w:numPr>
        <w:spacing w:lineRule="auto"/>
      </w:pPr>
      <w:r>
        <w:rPr/>
        <w:t xml:space="preserve">Kaspersen, L.B., Strandsbjerg, J. (2017) Does war make states?: Investigations of Charles Tilly’s historical sociology. </w:t>
      </w:r>
      <w:r>
        <w:rPr>
          <w:i/>
        </w:rPr>
        <w:t xml:space="preserve">Does War make States?: Investigations of Charles Tilly's Historical Sociology</w:t>
      </w:r>
      <w:r>
        <w:rPr/>
        <w:t xml:space="preserve">. </w:t>
      </w:r>
      <w:hyperlink r:id="rId90">
        <w:r>
          <w:rPr>
            <w:rStyle w:val="Hyperlink"/>
          </w:rPr>
          <w:t xml:space="preserve">https://doi.org/10.1017/9781316493694</w:t>
        </w:r>
      </w:hyperlink>
    </w:p>
    <w:p>
      <w:pPr>
        <w:numPr>
          <w:ilvl w:val="0"/>
          <w:numId w:val="6"/>
        </w:numPr>
        <w:spacing w:lineRule="auto"/>
      </w:pPr>
      <w:r>
        <w:rPr/>
        <w:t xml:space="preserve">Hui, V.T.-B. (2017) How Tilly’s state formation paradigm is revolutionizing the study of Chinese state-making. </w:t>
      </w:r>
      <w:r>
        <w:rPr>
          <w:i/>
        </w:rPr>
        <w:t xml:space="preserve">Does War make States?: Investigations of Charles Tilly's Historical Sociology</w:t>
      </w:r>
      <w:r>
        <w:rPr/>
        <w:t xml:space="preserve">. </w:t>
      </w:r>
      <w:hyperlink r:id="rId91">
        <w:r>
          <w:rPr>
            <w:rStyle w:val="Hyperlink"/>
          </w:rPr>
          <w:t xml:space="preserve">https://doi.org/10.1017/9781316493694.011</w:t>
        </w:r>
      </w:hyperlink>
    </w:p>
    <w:p>
      <w:pPr>
        <w:numPr>
          <w:ilvl w:val="0"/>
          <w:numId w:val="6"/>
        </w:numPr>
        <w:spacing w:lineRule="auto"/>
      </w:pPr>
      <w:r>
        <w:rPr/>
        <w:t xml:space="preserve">Hanagan, M., Tilly, C. (2010) Cities, states, trust, and rule: New departures from the work of Charles Tilly. </w:t>
      </w:r>
      <w:r>
        <w:rPr>
          <w:i/>
        </w:rPr>
        <w:t xml:space="preserve">Theory and Society</w:t>
      </w:r>
      <w:r>
        <w:rPr/>
        <w:t xml:space="preserve">. </w:t>
      </w:r>
      <w:hyperlink r:id="rId92">
        <w:r>
          <w:rPr>
            <w:rStyle w:val="Hyperlink"/>
          </w:rPr>
          <w:t xml:space="preserve">https://doi.org/10.1007/s11186-010-9118-0</w:t>
        </w:r>
      </w:hyperlink>
    </w:p>
    <w:p>
      <w:pPr>
        <w:numPr>
          <w:ilvl w:val="0"/>
          <w:numId w:val="6"/>
        </w:numPr>
        <w:spacing w:lineRule="auto"/>
      </w:pPr>
      <w:r>
        <w:rPr/>
        <w:t xml:space="preserve">Castañeda, E. (2025) Charles Tilly’s Theories About the Origins of European Nation-States, Social Movements, Contentious Politics, and Democracy. </w:t>
      </w:r>
      <w:r>
        <w:rPr>
          <w:i/>
        </w:rPr>
        <w:t xml:space="preserve">American Behavioral Scientist</w:t>
      </w:r>
      <w:r>
        <w:rPr/>
        <w:t xml:space="preserve">. </w:t>
      </w:r>
      <w:hyperlink r:id="rId93">
        <w:r>
          <w:rPr>
            <w:rStyle w:val="Hyperlink"/>
          </w:rPr>
          <w:t xml:space="preserve">https://doi.org/10.1177/00027642231194871</w:t>
        </w:r>
      </w:hyperlink>
    </w:p>
    <w:p>
      <w:pPr>
        <w:numPr>
          <w:ilvl w:val="0"/>
          <w:numId w:val="6"/>
        </w:numPr>
        <w:spacing w:lineRule="auto"/>
      </w:pPr>
      <w:r>
        <w:rPr/>
        <w:t xml:space="preserve">Roy, D., Lees, M.H., Pfeffer, K., Sloot, P.M.A. (2018) Spatial segregation, inequality, and opportunity bias in the slums of Bengaluru. </w:t>
      </w:r>
      <w:r>
        <w:rPr>
          <w:i/>
        </w:rPr>
        <w:t xml:space="preserve">Cities</w:t>
      </w:r>
      <w:r>
        <w:rPr/>
        <w:t xml:space="preserve">. </w:t>
      </w:r>
      <w:hyperlink r:id="rId94">
        <w:r>
          <w:rPr>
            <w:rStyle w:val="Hyperlink"/>
          </w:rPr>
          <w:t xml:space="preserve">https://doi.org/10.1016/j.cities.2017.12.014</w:t>
        </w:r>
      </w:hyperlink>
    </w:p>
    <w:p>
      <w:pPr>
        <w:numPr>
          <w:ilvl w:val="0"/>
          <w:numId w:val="6"/>
        </w:numPr>
        <w:spacing w:lineRule="auto"/>
      </w:pPr>
      <w:r>
        <w:rPr/>
        <w:t xml:space="preserve">de Haan, J., Geenen, S. (2016) Mining cooperatives in Eastern DRC The interplay between historical power relations and formal institutions. </w:t>
      </w:r>
      <w:r>
        <w:rPr>
          <w:i/>
        </w:rPr>
        <w:t xml:space="preserve">Extractive Industries and Society</w:t>
      </w:r>
      <w:r>
        <w:rPr/>
        <w:t xml:space="preserve">. </w:t>
      </w:r>
      <w:hyperlink r:id="rId95">
        <w:r>
          <w:rPr>
            <w:rStyle w:val="Hyperlink"/>
          </w:rPr>
          <w:t xml:space="preserve">https://doi.org/10.1016/j.exis.2016.05.003</w:t>
        </w:r>
      </w:hyperlink>
    </w:p>
    <w:p>
      <w:pPr>
        <w:numPr>
          <w:ilvl w:val="0"/>
          <w:numId w:val="6"/>
        </w:numPr>
        <w:spacing w:lineRule="auto"/>
      </w:pPr>
      <w:r>
        <w:rPr/>
        <w:t xml:space="preserve">de Lint, W., O'Connor, D., Cotter, R. (2007) Controlling the flow: Security, exclusivity, and criminal intelligence in Ontario. </w:t>
      </w:r>
      <w:r>
        <w:rPr>
          <w:i/>
        </w:rPr>
        <w:t xml:space="preserve">International Journal of the Sociology of Law</w:t>
      </w:r>
      <w:r>
        <w:rPr/>
        <w:t xml:space="preserve">. </w:t>
      </w:r>
      <w:hyperlink r:id="rId96">
        <w:r>
          <w:rPr>
            <w:rStyle w:val="Hyperlink"/>
          </w:rPr>
          <w:t xml:space="preserve">https://doi.org/10.1016/j.ijsl.2007.01.001</w:t>
        </w:r>
      </w:hyperlink>
    </w:p>
    <w:p>
      <w:pPr>
        <w:numPr>
          <w:ilvl w:val="0"/>
          <w:numId w:val="6"/>
        </w:numPr>
        <w:spacing w:lineRule="auto"/>
      </w:pPr>
      <w:r>
        <w:rPr/>
        <w:t xml:space="preserve">Stroschein, S. (2017) Ethnic Conflict: Looking Inside Groups. </w:t>
      </w:r>
      <w:r>
        <w:rPr>
          <w:i/>
        </w:rPr>
        <w:t xml:space="preserve">Ethnopolitics</w:t>
      </w:r>
      <w:r>
        <w:rPr/>
        <w:t xml:space="preserve">. </w:t>
      </w:r>
      <w:hyperlink r:id="rId97">
        <w:r>
          <w:rPr>
            <w:rStyle w:val="Hyperlink"/>
          </w:rPr>
          <w:t xml:space="preserve">https://doi.org/10.1080/17449057.2016.1235830</w:t>
        </w:r>
      </w:hyperlink>
    </w:p>
    <w:p>
      <w:pPr>
        <w:numPr>
          <w:ilvl w:val="0"/>
          <w:numId w:val="6"/>
        </w:numPr>
        <w:spacing w:lineRule="auto"/>
      </w:pPr>
      <w:r>
        <w:rPr/>
        <w:t xml:space="preserve">Goldstone, J.A. (2010) From Structure to Agency to Process: The Evolution of Charles Tilly's Theories of Social Action as Reflected in His Analyses of Contentious Politics. </w:t>
      </w:r>
      <w:r>
        <w:rPr>
          <w:i/>
        </w:rPr>
        <w:t xml:space="preserve">American Sociologist</w:t>
      </w:r>
      <w:r>
        <w:rPr/>
        <w:t xml:space="preserve">. </w:t>
      </w:r>
      <w:hyperlink r:id="rId98">
        <w:r>
          <w:rPr>
            <w:rStyle w:val="Hyperlink"/>
          </w:rPr>
          <w:t xml:space="preserve">https://doi.org/10.1007/s12108-010-9106-x</w:t>
        </w:r>
      </w:hyperlink>
    </w:p>
  </w:body>
</w:document>
</file>

<file path=word/fontTable.xml><?xml version="1.0" encoding="utf-8"?>
<w:fonts xmlns:r="http://schemas.openxmlformats.org/officeDocument/2006/relationships" xmlns:w="http://schemas.openxmlformats.org/wordprocessingml/2006/main">
  <w:font w:name="Arial">
    <w:panose1 w:val="020B0604020202020204"/>
    <w:charset w:val="00"/>
    <w:family w:val="auto"/>
    <w:pitch w:val="variable"/>
    <w:sig w:usb0="00000003"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ourier New">
    <w:panose1 w:val="02070309020205020404"/>
    <w:charset w:val="00"/>
    <w:family w:val="auto"/>
    <w:pitch w:val="variable"/>
    <w:sig w:usb0="00000003" w:usb1="00000000" w:usb2="00000000" w:usb3="00000000" w:csb0="00000001" w:csb1="00000000"/>
  </w:font>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s>
</file>

<file path=word/footer1.xml><?xml version="1.0" encoding="utf-8"?>
<ftr xmlns="http://schemas.openxmlformats.org/wordprocessingml/2006/main">
  <p>
    <pPr>
      <spacing xmlns:ns1="http://schemas.openxmlformats.org/wordprocessingml/2006/main" ns1:lineRule="auto"/>
    </pPr>
    <r>
      <rPr/>
    </r>
    <fldSimple xmlns:ns2="http://schemas.openxmlformats.org/wordprocessingml/2006/main" ns2:instr="PAGE">
      <r/>
    </fldSimple>
  </p>
</ftr>
</file>

<file path=word/numbering.xml><?xml version="1.0" encoding="utf-8"?>
<w:numbering xmlns:w="http://schemas.openxmlformats.org/wordprocessingml/2006/main"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ne="http://schemas.microsoft.com/office/word/2006/wordml">
  <w:abstractNum w:abstractNumId="1">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lvl w:ilvl="8">
      <w:start w:val="1"/>
      <w:numFmt w:val="bullet"/>
      <w:lvlText w:val=""/>
      <w:lvlJc w:val="left"/>
      <w:pPr>
        <w:tabs>
          <w:tab w:val="num" w:pos="6480"/>
        </w:tabs>
        <w:ind w:left="6480" w:hanging="360"/>
      </w:pPr>
      <w:rPr>
        <w:rFonts w:ascii="Symbol" w:hAnsi="Symbol" w:hint="default"/>
      </w:rPr>
    </w:lvl>
  </w:abstractNum>
  <w:abstractNum w:abstractNumId="2">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lvl w:ilvl="8">
      <w:start w:val="1"/>
      <w:numFmt w:val="bullet"/>
      <w:lvlText w:val=""/>
      <w:lvlJc w:val="left"/>
      <w:pPr>
        <w:tabs>
          <w:tab w:val="num" w:pos="6480"/>
        </w:tabs>
        <w:ind w:left="6480" w:hanging="360"/>
      </w:pPr>
      <w:rPr>
        <w:rFonts w:ascii="Symbol" w:hAnsi="Symbol" w:hint="default"/>
      </w:rPr>
    </w:lvl>
  </w:abstractNum>
  <w:abstractNum w:abstractNumId="3">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lvl w:ilvl="8">
      <w:start w:val="1"/>
      <w:numFmt w:val="bullet"/>
      <w:lvlText w:val=""/>
      <w:lvlJc w:val="left"/>
      <w:pPr>
        <w:tabs>
          <w:tab w:val="num" w:pos="6480"/>
        </w:tabs>
        <w:ind w:left="6480" w:hanging="360"/>
      </w:pPr>
      <w:rPr>
        <w:rFonts w:ascii="Symbol" w:hAnsi="Symbol" w:hint="default"/>
      </w:rPr>
    </w:lvl>
  </w:abstractNum>
  <w:abstractNum w:abstractNumId="4">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5">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lvl w:ilvl="8">
      <w:start w:val="1"/>
      <w:numFmt w:val="bullet"/>
      <w:lvlText w:val=""/>
      <w:lvlJc w:val="left"/>
      <w:pPr>
        <w:tabs>
          <w:tab w:val="num" w:pos="6480"/>
        </w:tabs>
        <w:ind w:left="6480" w:hanging="360"/>
      </w:pPr>
      <w:rPr>
        <w:rFonts w:ascii="Symbol" w:hAnsi="Symbol" w:hint="default"/>
      </w:rPr>
    </w:lvl>
  </w:abstractNum>
  <w:abstractNum w:abstractNumId="6">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w="http://schemas.openxmlformats.org/wordprocessingml/2006/main" xmlns:o="urn:schemas-microsoft-com:office:office" xmlns:r="http://schemas.openxmlformats.org/officeDocument/2006/relationships" xmlns:v="urn:schemas-microsoft-com:vml" xmlns:w10="urn:schemas-microsoft-com:office:word" xmlns:sl="http://schemas.openxmlformats.org/schemaLibrary/2006/main">
  <w:zoom w:percent="100"/>
  <w:defaultTabStop w:val="720"/>
  <w:decimalSymbol w:val="."/>
  <w:listSeparator w:val=","/>
</w:settings>
</file>

<file path=word/styles.xml><?xml version="1.0" encoding="utf-8"?>
<w:styles xmlns:w="http://schemas.openxmlformats.org/wordprocessingml/2006/main" xmlns:r="http://schemas.openxmlformats.org/officeDocument/2006/relationships">
  <w:docDefaults>
    <w:rPrDefault>
      <w:rPr>
        <w:rFonts w:ascii="Arial" w:eastAsiaTheme="minorHAnsi" w:hAnsiTheme="minorHAnsi" w:cstheme="minorBidi"/>
        <w:sz w:val="21"/>
        <w:szCs w:val="22"/>
        <w:lang w:val="en-US" w:eastAsia="en-US" w:bidi="ar-SA"/>
      </w:rPr>
    </w:rPrDefault>
    <w:pPrDefault>
      <w:pPr>
        <w:spacing w:after="120" w:line="240" w:lineRule="atLeast"/>
      </w:pPr>
    </w:pPrDefault>
  </w:docDefaults>
  <w:style w:type="paragraph" w:styleId="Normal" w:default="1">
    <w:name w:val="normal"/>
  </w:style>
  <w:style w:type="character" w:styleId="Hyperlink">
    <w:name w:val="Hyperlink"/>
    <w:rPr>
      <w:color w:val="0000FF"/>
      <w:u w:val="single"/>
    </w:rPr>
  </w:style>
  <w:style w:type="paragraph" w:styleId="Heading1">
    <w:name w:val="heading 1"/>
    <w:basedOn w:val="Normal"/>
    <w:next w:val="Normal"/>
    <w:uiPriority w:val="9"/>
    <w:qFormat/>
    <w:pPr>
      <w:keepNext/>
      <w:keepLines/>
      <w:spacing w:before="240" w:after="120"/>
      <w:outlineLvl w:val="0"/>
    </w:pPr>
    <w:rPr>
      <w:sz w:val="40"/>
      <w:szCs w:val="40"/>
    </w:rPr>
  </w:style>
  <w:style w:type="paragraph" w:styleId="Heading2">
    <w:name w:val="heading 2"/>
    <w:basedOn w:val="Normal"/>
    <w:next w:val="Normal"/>
    <w:uiPriority w:val="9"/>
    <w:unhideWhenUsed/>
    <w:qFormat/>
    <w:pPr>
      <w:keepNext/>
      <w:keepLines/>
      <w:spacing w:before="200" w:after="80"/>
      <w:outlineLvl w:val="1"/>
    </w:pPr>
    <w:rPr>
      <w:sz w:val="26"/>
      <w:szCs w:val="26"/>
    </w:rPr>
  </w:style>
  <w:style w:type="paragraph" w:styleId="Heading3">
    <w:name w:val="heading 3"/>
    <w:basedOn w:val="Normal"/>
    <w:next w:val="Normal"/>
    <w:uiPriority w:val="9"/>
    <w:semiHidden/>
    <w:unhideWhenUsed/>
    <w:qFormat/>
    <w:pPr>
      <w:keepNext/>
      <w:keepLines/>
      <w:spacing w:before="160" w:after="60"/>
      <w:outlineLvl w:val="2"/>
    </w:pPr>
    <w:rPr>
      <w:sz w:val="23"/>
      <w:szCs w:val="23"/>
    </w:rPr>
  </w:style>
  <w:style w:type="paragraph" w:styleId="Heading4">
    <w:name w:val="heading 4"/>
    <w:basedOn w:val="Normal"/>
    <w:next w:val="Normal"/>
    <w:uiPriority w:val="9"/>
    <w:semiHidden/>
    <w:unhideWhenUsed/>
    <w:qFormat/>
    <w:pPr>
      <w:keepNext/>
      <w:keepLines/>
      <w:spacing w:before="120" w:after="40"/>
      <w:outlineLvl w:val="3"/>
    </w:pPr>
    <w:rPr>
      <w:sz w:val="21"/>
      <w:szCs w:val="21"/>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s>
</file>

<file path=word/webSettings.xml><?xml version="1.0" encoding="utf-8"?>
<w:webSettings xmlns:w="http://schemas.openxmlformats.org/wordprocessingml/2006/main" xmlns:r="http://schemas.openxmlformats.org/officeDocument/2006/relationships"/>
</file>

<file path=word/_rels/document.xml.rels><?xml version="1.0" encoding="UTF-8" standalone="yes"?>
<Relationships xmlns="http://schemas.openxmlformats.org/package/2006/relationships">
  <Relationship Id="rId1" Type="http://schemas.openxmlformats.org/officeDocument/2006/relationships/numbering" Target="numbering.xml"/>
  <Relationship Id="rId2" Type="http://schemas.openxmlformats.org/officeDocument/2006/relationships/styles" Target="styles.xml"/>
  <Relationship Id="rId3" Type="http://schemas.openxmlformats.org/officeDocument/2006/relationships/settings" Target="settings.xml"/>
  <Relationship Id="rId4" Type="http://schemas.openxmlformats.org/officeDocument/2006/relationships/webSettings" Target="webSettings.xml"/>
  <Relationship Id="rId5" Type="http://schemas.openxmlformats.org/officeDocument/2006/relationships/fontTable" Target="fontTable.xml"/>
  <Relationship Id="rId6" Type="http://schemas.openxmlformats.org/officeDocument/2006/relationships/hyperlink" Target="https://doi.org/10.1057/9781137539212_10" TargetMode="External"/>
  <Relationship Id="rId7" Type="http://schemas.openxmlformats.org/officeDocument/2006/relationships/hyperlink" Target="https://doi.org/10.1163/187226307X208923" TargetMode="External"/>
  <Relationship Id="rId8" Type="http://schemas.openxmlformats.org/officeDocument/2006/relationships/hyperlink" Target="https://doi.org/10.1002/9780470674871.wbespm127.pub2" TargetMode="External"/>
  <Relationship Id="rId9" Type="http://schemas.openxmlformats.org/officeDocument/2006/relationships/hyperlink" Target="https://doi.org/10.1002/9780470674871.wbespm127" TargetMode="External"/>
  <Relationship Id="rId10" Type="http://schemas.openxmlformats.org/officeDocument/2006/relationships/hyperlink" Target="https://doi.org/10.1016/B0-08-043076-7/00751-8" TargetMode="External"/>
  <Relationship Id="rId11" Type="http://schemas.openxmlformats.org/officeDocument/2006/relationships/hyperlink" Target="https://doi.org/10.1002/9780470674871.wbespm091.pub2" TargetMode="External"/>
  <Relationship Id="rId12" Type="http://schemas.openxmlformats.org/officeDocument/2006/relationships/hyperlink" Target="https://doi.org/10.1002/9780470674871.wbespm091" TargetMode="External"/>
  <Relationship Id="rId13" Type="http://schemas.openxmlformats.org/officeDocument/2006/relationships/hyperlink" Target="https://www.scopus.com/pages/publications/84862139981" TargetMode="External"/>
  <Relationship Id="rId14" Type="http://schemas.openxmlformats.org/officeDocument/2006/relationships/hyperlink" Target="https://doi.org/10.1002/9780470674871.wbespm624" TargetMode="External"/>
  <Relationship Id="rId15" Type="http://schemas.openxmlformats.org/officeDocument/2006/relationships/hyperlink" Target="https://doi.org/10.1108/S0163-786X(2013)0000035011" TargetMode="External"/>
  <Relationship Id="rId16" Type="http://schemas.openxmlformats.org/officeDocument/2006/relationships/hyperlink" Target="https://doi.org/10.1017/CBO9780511804922" TargetMode="External"/>
  <Relationship Id="rId17" Type="http://schemas.openxmlformats.org/officeDocument/2006/relationships/hyperlink" Target="https://doi.org/10.1016/j.socnet.2006.12.002" TargetMode="External"/>
  <Relationship Id="rId18" Type="http://schemas.openxmlformats.org/officeDocument/2006/relationships/hyperlink" Target="https://doi.org/10.4324/9781315634722" TargetMode="External"/>
  <Relationship Id="rId19" Type="http://schemas.openxmlformats.org/officeDocument/2006/relationships/hyperlink" Target="https://doi.org/10.1177/00027642231194888" TargetMode="External"/>
  <Relationship Id="rId20" Type="http://schemas.openxmlformats.org/officeDocument/2006/relationships/hyperlink" Target="https://doi.org/10.1017/CBO9780511804366" TargetMode="External"/>
  <Relationship Id="rId21" Type="http://schemas.openxmlformats.org/officeDocument/2006/relationships/hyperlink" Target="https://doi.org/10.1111/1467-9558.00161" TargetMode="External"/>
  <Relationship Id="rId22" Type="http://schemas.openxmlformats.org/officeDocument/2006/relationships/hyperlink" Target="https://doi.org/10.1016/S0049-089X(02)00016-9" TargetMode="External"/>
  <Relationship Id="rId23" Type="http://schemas.openxmlformats.org/officeDocument/2006/relationships/hyperlink" Target="https://doi.org/10.17813/1086-671X-24-3-251" TargetMode="External"/>
  <Relationship Id="rId24" Type="http://schemas.openxmlformats.org/officeDocument/2006/relationships/hyperlink" Target="https://doi.org/10.17813/maiq.16.1.74v41g7nl3722775" TargetMode="External"/>
  <Relationship Id="rId25" Type="http://schemas.openxmlformats.org/officeDocument/2006/relationships/hyperlink" Target="https://doi.org/10.30884/seh/2022.01.07" TargetMode="External"/>
  <Relationship Id="rId26" Type="http://schemas.openxmlformats.org/officeDocument/2006/relationships/hyperlink" Target="https://doi.org/10.1108/S1572-8323(2009)000012B020" TargetMode="External"/>
  <Relationship Id="rId27" Type="http://schemas.openxmlformats.org/officeDocument/2006/relationships/hyperlink" Target="https://doi.org/10.17813/1086-671X-21-1-1" TargetMode="External"/>
  <Relationship Id="rId28" Type="http://schemas.openxmlformats.org/officeDocument/2006/relationships/hyperlink" Target="https://doi.org/10.1017/9781316493694.003" TargetMode="External"/>
  <Relationship Id="rId29" Type="http://schemas.openxmlformats.org/officeDocument/2006/relationships/hyperlink" Target="https://doi.org/10.1016/j.landusepol.2018.07.013" TargetMode="External"/>
  <Relationship Id="rId30" Type="http://schemas.openxmlformats.org/officeDocument/2006/relationships/hyperlink" Target="https://doi.org/10.1016/j.polgeo.2004.03.001" TargetMode="External"/>
  <Relationship Id="rId31" Type="http://schemas.openxmlformats.org/officeDocument/2006/relationships/hyperlink" Target="https://doi.org/10.1016/j.eeh.2016.11.002" TargetMode="External"/>
  <Relationship Id="rId32" Type="http://schemas.openxmlformats.org/officeDocument/2006/relationships/hyperlink" Target="https://doi.org/10.1177/13540661211053628" TargetMode="External"/>
  <Relationship Id="rId33" Type="http://schemas.openxmlformats.org/officeDocument/2006/relationships/hyperlink" Target="https://doi.org/10.1080/01436597.2015.1045862" TargetMode="External"/>
  <Relationship Id="rId34" Type="http://schemas.openxmlformats.org/officeDocument/2006/relationships/hyperlink" Target="https://doi.org/10.1111/j.1468-2486.2008.00746.x" TargetMode="External"/>
  <Relationship Id="rId35" Type="http://schemas.openxmlformats.org/officeDocument/2006/relationships/hyperlink" Target="https://doi.org/10.1080/01436597.2015.1098529" TargetMode="External"/>
  <Relationship Id="rId36" Type="http://schemas.openxmlformats.org/officeDocument/2006/relationships/hyperlink" Target="https://doi.org/10.1017/9781316493694.004" TargetMode="External"/>
  <Relationship Id="rId37" Type="http://schemas.openxmlformats.org/officeDocument/2006/relationships/hyperlink" Target="https://doi.org/10.1002/9780470674871.wbespm178" TargetMode="External"/>
  <Relationship Id="rId38" Type="http://schemas.openxmlformats.org/officeDocument/2006/relationships/hyperlink" Target="https://doi.org/10.1080/02589346.2025.2487321" TargetMode="External"/>
  <Relationship Id="rId39" Type="http://schemas.openxmlformats.org/officeDocument/2006/relationships/hyperlink" Target="https://doi.org/10.1016/B978-0-08-097086-8.32096-7" TargetMode="External"/>
  <Relationship Id="rId40" Type="http://schemas.openxmlformats.org/officeDocument/2006/relationships/hyperlink" Target="https://doi.org/10.1177/20563051231157603" TargetMode="External"/>
  <Relationship Id="rId41" Type="http://schemas.openxmlformats.org/officeDocument/2006/relationships/hyperlink" Target="https://doi.org/10.4324/9781315100371" TargetMode="External"/>
  <Relationship Id="rId42" Type="http://schemas.openxmlformats.org/officeDocument/2006/relationships/hyperlink" Target="https://doi.org/10.1177/0735275112437172" TargetMode="External"/>
  <Relationship Id="rId43" Type="http://schemas.openxmlformats.org/officeDocument/2006/relationships/hyperlink" Target="https://doi.org/10.1086/210086" TargetMode="External"/>
  <Relationship Id="rId44" Type="http://schemas.openxmlformats.org/officeDocument/2006/relationships/hyperlink" Target="https://doi.org/10.1007/s12108-007-9020-z" TargetMode="External"/>
  <Relationship Id="rId45" Type="http://schemas.openxmlformats.org/officeDocument/2006/relationships/hyperlink" Target="https://doi.org/10.1177/1098214010371972" TargetMode="External"/>
  <Relationship Id="rId46" Type="http://schemas.openxmlformats.org/officeDocument/2006/relationships/hyperlink" Target="https://doi.org/10.1016/j.shpsc.2005.03.006" TargetMode="External"/>
  <Relationship Id="rId47" Type="http://schemas.openxmlformats.org/officeDocument/2006/relationships/hyperlink" Target="https://doi.org/10.1177/0049124192020004003" TargetMode="External"/>
  <Relationship Id="rId48" Type="http://schemas.openxmlformats.org/officeDocument/2006/relationships/hyperlink" Target="https://doi.org/10.1080/14742837.2022.2140650" TargetMode="External"/>
  <Relationship Id="rId49" Type="http://schemas.openxmlformats.org/officeDocument/2006/relationships/hyperlink" Target="https://doi.org/10.1093/pnasnexus/pgae340" TargetMode="External"/>
  <Relationship Id="rId50" Type="http://schemas.openxmlformats.org/officeDocument/2006/relationships/hyperlink" Target="https://doi.org/10.1177/00027642231194885" TargetMode="External"/>
  <Relationship Id="rId51" Type="http://schemas.openxmlformats.org/officeDocument/2006/relationships/hyperlink" Target="https://doi.org/10.1177/0049124196024003003" TargetMode="External"/>
  <Relationship Id="rId52" Type="http://schemas.openxmlformats.org/officeDocument/2006/relationships/hyperlink" Target="https://doi.org/10.1016/S0921-8009(99)00092-0" TargetMode="External"/>
  <Relationship Id="rId53" Type="http://schemas.openxmlformats.org/officeDocument/2006/relationships/hyperlink" Target="https://doi.org/10.1007/s12108-010-9110-1" TargetMode="External"/>
  <Relationship Id="rId54" Type="http://schemas.openxmlformats.org/officeDocument/2006/relationships/hyperlink" Target="https://doi.org/10.1146/annurev.soc.27.1.415" TargetMode="External"/>
  <Relationship Id="rId55" Type="http://schemas.openxmlformats.org/officeDocument/2006/relationships/hyperlink" Target="https://doi.org/10.1016/B978-0-08-097086-8.96024-0" TargetMode="External"/>
  <Relationship Id="rId56" Type="http://schemas.openxmlformats.org/officeDocument/2006/relationships/hyperlink" Target="https://doi.org/10.1016/B978-0-08-097086-8.95076-1" TargetMode="External"/>
  <Relationship Id="rId57" Type="http://schemas.openxmlformats.org/officeDocument/2006/relationships/hyperlink" Target="https://doi.org/10.4324/9781315100371" TargetMode="External"/>
  <Relationship Id="rId58" Type="http://schemas.openxmlformats.org/officeDocument/2006/relationships/hyperlink" Target="https://doi.org/10.1080/1369183X.2018.1561061" TargetMode="External"/>
  <Relationship Id="rId59" Type="http://schemas.openxmlformats.org/officeDocument/2006/relationships/hyperlink" Target="https://doi.org/10.1007/s11186-010-9115-3" TargetMode="External"/>
  <Relationship Id="rId60" Type="http://schemas.openxmlformats.org/officeDocument/2006/relationships/hyperlink" Target="https://doi.org/10.1007/978-3-031-04822-7_8" TargetMode="External"/>
  <Relationship Id="rId61" Type="http://schemas.openxmlformats.org/officeDocument/2006/relationships/hyperlink" Target="https://doi.org/10.1007/s12108-010-9108-8" TargetMode="External"/>
  <Relationship Id="rId62" Type="http://schemas.openxmlformats.org/officeDocument/2006/relationships/hyperlink" Target="https://doi.org/10.1017/S1537592710001246" TargetMode="External"/>
  <Relationship Id="rId63" Type="http://schemas.openxmlformats.org/officeDocument/2006/relationships/hyperlink" Target="https://www.scopus.com/pages/publications/24944532705" TargetMode="External"/>
  <Relationship Id="rId64" Type="http://schemas.openxmlformats.org/officeDocument/2006/relationships/hyperlink" Target="https://doi.org/10.20318/cian.2020.5427" TargetMode="External"/>
  <Relationship Id="rId65" Type="http://schemas.openxmlformats.org/officeDocument/2006/relationships/hyperlink" Target="https://doi.org/10.1017/CBO9780511761638.011" TargetMode="External"/>
  <Relationship Id="rId66" Type="http://schemas.openxmlformats.org/officeDocument/2006/relationships/hyperlink" Target="https://doi.org/10.1016/j.ijedudev.2005.09.009" TargetMode="External"/>
  <Relationship Id="rId67" Type="http://schemas.openxmlformats.org/officeDocument/2006/relationships/hyperlink" Target="https://doi.org/10.1145/2930971.2930993" TargetMode="External"/>
  <Relationship Id="rId68" Type="http://schemas.openxmlformats.org/officeDocument/2006/relationships/hyperlink" Target="https://doi.org/10.1016/j.chb.2016.09.020" TargetMode="External"/>
  <Relationship Id="rId69" Type="http://schemas.openxmlformats.org/officeDocument/2006/relationships/hyperlink" Target="https://doi.org/10.1111/socf.12442" TargetMode="External"/>
  <Relationship Id="rId70" Type="http://schemas.openxmlformats.org/officeDocument/2006/relationships/hyperlink" Target="https://doi.org/10.1016/s0191-3085(00)22006-6" TargetMode="External"/>
  <Relationship Id="rId71" Type="http://schemas.openxmlformats.org/officeDocument/2006/relationships/hyperlink" Target="https://doi.org/10.1016/j.polgeo.2022.102761" TargetMode="External"/>
  <Relationship Id="rId72" Type="http://schemas.openxmlformats.org/officeDocument/2006/relationships/hyperlink" Target="https://doi.org/10.1016/j.polgeo.2019.102072" TargetMode="External"/>
  <Relationship Id="rId73" Type="http://schemas.openxmlformats.org/officeDocument/2006/relationships/hyperlink" Target="https://doi.org/10.1002/9780470674871.wbespm131" TargetMode="External"/>
  <Relationship Id="rId74" Type="http://schemas.openxmlformats.org/officeDocument/2006/relationships/hyperlink" Target="https://doi.org/10.1177/1468795X251372147" TargetMode="External"/>
  <Relationship Id="rId75" Type="http://schemas.openxmlformats.org/officeDocument/2006/relationships/hyperlink" Target="https://doi.org/10.1108/S0163-786X(2013)0000035012" TargetMode="External"/>
  <Relationship Id="rId76" Type="http://schemas.openxmlformats.org/officeDocument/2006/relationships/hyperlink" Target="https://doi.org/10.1016/j.ecolecon.2020.106670" TargetMode="External"/>
  <Relationship Id="rId77" Type="http://schemas.openxmlformats.org/officeDocument/2006/relationships/hyperlink" Target="https://doi.org/10.1177/14614448221098360" TargetMode="External"/>
  <Relationship Id="rId78" Type="http://schemas.openxmlformats.org/officeDocument/2006/relationships/hyperlink" Target="https://doi.org/10.1177/1461444813487956" TargetMode="External"/>
  <Relationship Id="rId79" Type="http://schemas.openxmlformats.org/officeDocument/2006/relationships/hyperlink" Target="https://doi.org/10.1177/2056305117751384" TargetMode="External"/>
  <Relationship Id="rId80" Type="http://schemas.openxmlformats.org/officeDocument/2006/relationships/hyperlink" Target="https://doi.org/10.1093/oxfordhb/9780190870362.013.12" TargetMode="External"/>
  <Relationship Id="rId81" Type="http://schemas.openxmlformats.org/officeDocument/2006/relationships/hyperlink" Target="https://doi.org/10.1016/B0-08-043076-7/04489-2" TargetMode="External"/>
  <Relationship Id="rId82" Type="http://schemas.openxmlformats.org/officeDocument/2006/relationships/hyperlink" Target="https://doi.org/10.1016/B978-0-08-097086-8.96048-3" TargetMode="External"/>
  <Relationship Id="rId83" Type="http://schemas.openxmlformats.org/officeDocument/2006/relationships/hyperlink" Target="https://doi.org/10.1016/j.geoforum.2012.01.009" TargetMode="External"/>
  <Relationship Id="rId84" Type="http://schemas.openxmlformats.org/officeDocument/2006/relationships/hyperlink" Target="https://doi.org/10.1016/B978-0-444-53538-2.00007-1" TargetMode="External"/>
  <Relationship Id="rId85" Type="http://schemas.openxmlformats.org/officeDocument/2006/relationships/hyperlink" Target="https://doi.org/10.1016/j.orbis.2008.10.004" TargetMode="External"/>
  <Relationship Id="rId86" Type="http://schemas.openxmlformats.org/officeDocument/2006/relationships/hyperlink" Target="https://doi.org/10.1016/j.jebo.2018.08.021" TargetMode="External"/>
  <Relationship Id="rId87" Type="http://schemas.openxmlformats.org/officeDocument/2006/relationships/hyperlink" Target="https://doi.org/10.57054/ad.v48i4.5572" TargetMode="External"/>
  <Relationship Id="rId88" Type="http://schemas.openxmlformats.org/officeDocument/2006/relationships/hyperlink" Target="https://doi.org/10.1093/oso/9780197746219.003.0008" TargetMode="External"/>
  <Relationship Id="rId89" Type="http://schemas.openxmlformats.org/officeDocument/2006/relationships/hyperlink" Target="https://doi.org/10.1017/9781316493694.007" TargetMode="External"/>
  <Relationship Id="rId90" Type="http://schemas.openxmlformats.org/officeDocument/2006/relationships/hyperlink" Target="https://doi.org/10.1017/9781316493694" TargetMode="External"/>
  <Relationship Id="rId91" Type="http://schemas.openxmlformats.org/officeDocument/2006/relationships/hyperlink" Target="https://doi.org/10.1017/9781316493694.011" TargetMode="External"/>
  <Relationship Id="rId92" Type="http://schemas.openxmlformats.org/officeDocument/2006/relationships/hyperlink" Target="https://doi.org/10.1007/s11186-010-9118-0" TargetMode="External"/>
  <Relationship Id="rId93" Type="http://schemas.openxmlformats.org/officeDocument/2006/relationships/hyperlink" Target="https://doi.org/10.1177/00027642231194871" TargetMode="External"/>
  <Relationship Id="rId94" Type="http://schemas.openxmlformats.org/officeDocument/2006/relationships/hyperlink" Target="https://doi.org/10.1016/j.cities.2017.12.014" TargetMode="External"/>
  <Relationship Id="rId95" Type="http://schemas.openxmlformats.org/officeDocument/2006/relationships/hyperlink" Target="https://doi.org/10.1016/j.exis.2016.05.003" TargetMode="External"/>
  <Relationship Id="rId96" Type="http://schemas.openxmlformats.org/officeDocument/2006/relationships/hyperlink" Target="https://doi.org/10.1016/j.ijsl.2007.01.001" TargetMode="External"/>
  <Relationship Id="rId97" Type="http://schemas.openxmlformats.org/officeDocument/2006/relationships/hyperlink" Target="https://doi.org/10.1080/17449057.2016.1235830" TargetMode="External"/>
  <Relationship Id="rId98" Type="http://schemas.openxmlformats.org/officeDocument/2006/relationships/hyperlink" Target="https://doi.org/10.1007/s12108-010-9106-x" TargetMode="External"/>
  <Relationship Id="rId99" Type="http://schemas.openxmlformats.org/officeDocument/2006/relationships/footer" Target="footer1.xml" TargetMode="Internal"/>
  <Relationship Id="rId100" Type="http://schemas.openxmlformats.org/officeDocument/2006/relationships/theme" Target="theme/theme1.xml" TargetMode="In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Arial"/>
        <a:ea typeface="Arial"/>
        <a:cs typeface=""/>
      </a:majorFont>
      <a:minorFont>
        <a:latin typeface="Arial"/>
        <a:ea typeface="Arial"/>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theme>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Report - LeapSpace</dc:title>
  <dc:subject/>
  <dc:creator>LeapSpace</dc:creator>
  <cp:keywords>Powered by TurboDocx html-to-docx</cp:keywords>
  <dc:description/>
  <cp:lastModifiedBy>Powered by TurboDocx html-to-docx</cp:lastModifiedBy>
  <cp:revision>1</cp:revision>
  <dcterms:created xsi:type="dcterms:W3CDTF">2026-08-16T23:03:36.018Z</dcterms:created>
  <dcterms:modified xsi:type="dcterms:W3CDTF">2026-08-16T23:03:36.018Z</dcterms:modified>
</cp:coreProperties>
</file>