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964" w:right="964" w:bottom="964" w:left="964" w:header="720" w:footer="720" w:gutter="0"/>
      <w:footerReference r:id="rId52" w:type="default"/>
    </w:sectPr>
    <w:p>
      <w:pPr>
        <w:pStyle w:val="Heading1"/>
        <w:spacing w:lineRule="auto"/>
      </w:pPr>
      <w:r>
        <w:rPr/>
        <w:t xml:space="preserve">Framing process and alignment</w:t>
      </w:r>
    </w:p>
    <w:p>
      <w:pPr>
        <w:spacing w:lineRule="auto"/>
      </w:pPr>
      <w:r>
        <w:rPr/>
      </w:r>
    </w:p>
    <w:p>
      <w:pPr>
        <w:spacing w:lineRule="auto"/>
      </w:pPr>
      <w:r>
        <w:rPr/>
        <w:t xml:space="preserve">"framming process; framming allingment; master frames;" </w:t>
      </w:r>
    </w:p>
    <w:p>
      <w:pPr>
        <w:spacing w:lineRule="auto"/>
      </w:pPr>
      <w:r>
        <w:rPr>
          <w:i/>
        </w:rPr>
        <w:t xml:space="preserve">Generated by LeapSpace</w:t>
      </w:r>
    </w:p>
    <w:p>
      <w:pPr>
        <w:spacing w:lineRule="auto"/>
      </w:pPr>
      <w:r>
        <w:rPr/>
      </w:r>
    </w:p>
    <w:p>
      <w:pPr>
        <w:pStyle w:val="Heading2"/>
        <w:spacing w:lineRule="auto"/>
      </w:pPr>
      <w:r>
        <w:rPr/>
        <w:t xml:space="preserve">Framing, Frame Alignment, and Master Frames at a Glance</w:t>
      </w:r>
    </w:p>
    <w:p>
      <w:pPr>
        <w:pStyle w:val="Heading3"/>
        <w:spacing w:lineRule="auto"/>
      </w:pPr>
      <w:r>
        <w:rPr/>
        <w:t xml:space="preserve">Key Findings Table</w:t>
      </w:r>
    </w:p>
    <w:tbl>
      <w:tblPr>
        <w:tblBorders>
          <w:top w:val="single" w:sz="4" w:space="0" w:color="000000"/>
          <w:bottom w:val="single" w:sz="4" w:space="0" w:color="000000"/>
          <w:left w:val="single" w:sz="4" w:space="0" w:color="000000"/>
          <w:right w:val="single" w:sz="4" w:space="0" w:color="000000"/>
        </w:tblBorders>
        <w:tblCellMar>
          <w:top w:type="dxa" w:w="80"/>
          <w:bottom w:type="dxa" w:w="80"/>
          <w:left w:type="dxa" w:w="160"/>
          <w:right w:type="dxa" w:w="160"/>
        </w:tblCellMar>
        <w:jc w:val="center"/>
      </w:tblPr>
      <w:tblGrid>
        <w:gridCol w:w="2494.5"/>
        <w:gridCol w:w="2494.5"/>
        <w:gridCol w:w="2494.5"/>
        <w:gridCol w:w="2494.5"/>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Topic</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Core finding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Populations / settings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Citations</w:t>
            </w:r>
          </w:p>
        </w:tc>
      </w:tr>
      <w:tblGrid>
        <w:gridCol w:w="2494.5"/>
        <w:gridCol w:w="2494.5"/>
        <w:gridCol w:w="2494.5"/>
        <w:gridCol w:w="2494.5"/>
      </w:tblGrid>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Framing process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Framing refers to constructing diagnostic, prognostic, and motivational interpretations that define problems, assign blame, propose remedies, and motivate action.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Social movements, media, online protest communication, public claims-making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 [2] [3] [4]</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Frame alignment</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Alignment links movement frames to the beliefs/interests of potential adherents through bridging, amplification, extension, transformation, and also contraction in newer work.</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Movement organizations, protest participants, campaigns, advocacy settings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[5] [6] [7]</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Alignment and mobilization</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Greater organizer-participant alignment predicts protest intention, participation, and identity formation, but alignment is often partial rather than total.</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Demonstrations, sympathizers, protest recruitment contexts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[8] [9] [10]</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Context dependence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Alignment depends on audience targeting, recruitment pathways, organizational strength, and political salience.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Multi-organizational fields, media environments, protest events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[10] [11]</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Narrative and framing</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Narrative is increasingly treated as an alignment strategy that can amplify, transform, and stabilize frames while shaping collective identity boundaries.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Labor novels, same-sex marriage hearings, documentary narratives, policy narratives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[12] [13] [14] [15]</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Master frames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Master frames are broad, portable interpretive packages that can be adopted and adapted across campaigns, especially when political opportunities are weak.</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Protest cycles, campaigns, movement theory</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[16] [17] [18]</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Master-frame evidence gap</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The supplied evidence does not provide a strong inventory of specific classic/recent cases tracing injustice, rights, or citizen/identity master frames across countries or protest cycles.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Literature reviews and retrieved corpus scope</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[19] [20] [21]</w:t>
            </w:r>
          </w:p>
        </w:tc>
      </w:tr>
      <w:tr>
        <w:trPr>
          <w:cantSplit/>
        </w:trPr>
        <w:tc>
          <w:tcPr>
            <w:tcBorders>
              <w:top w:val="single" w:sz="4" w:space="0" w:color="000000"/>
              <w:bottom w:val="single" w:sz="4" w:space="0" w:color="000000"/>
              <w:left w:val="single" w:sz="4" w:space="0" w:color="000000"/>
              <w:right w:val="single" w:sz="4" w:space="0" w:color="000000"/>
            </w:tcBorders>
          </w:tcPr>
          <w:p>
            <w:pPr>
              <w:spacing w:lineRule="auto"/>
            </w:pPr>
            <w:r>
              <w:rPr/>
              <w:t xml:space="preserve">Methods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Frame research now uses surveys, manual coding, semantic grammar, discourse analysis, topic models, and mixed methods, but validity remains difficult because frames can be hard to distinguish from topics.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Text corpora, discourse data, movement documents, surveys</w:t>
            </w:r>
          </w:p>
        </w:tc>
        <w:tc>
          <w:tcPr>
            <w:tcBorders>
              <w:top w:val="single" w:sz="4" w:space="0" w:color="000000"/>
              <w:bottom w:val="single" w:sz="4" w:space="0" w:color="000000"/>
              <w:left w:val="single" w:sz="4" w:space="0" w:color="000000"/>
              <w:right w:val="single" w:sz="4" w:space="0" w:color="000000"/>
            </w:tcBorders>
          </w:tcPr>
          <w:p>
            <w:pPr>
              <w:spacing w:lineRule="auto"/>
            </w:pPr>
            <w:r>
              <w:rPr/>
              <w:t xml:space="preserve">[22] [23] [24] [25] [26] [27]</w:t>
            </w:r>
          </w:p>
        </w:tc>
      </w:tr>
    </w:tbl>
    <w:p>
      <w:pPr>
        <w:spacing w:lineRule="auto"/>
      </w:pPr>
      <w:r>
        <w:rPr/>
      </w:r>
    </w:p>
    <w:p>
      <w:pPr>
        <w:pStyle w:val="Heading3"/>
        <w:spacing w:lineRule="auto"/>
      </w:pPr>
      <w:r>
        <w:rPr/>
        <w:t xml:space="preserve">Direct Answer</w:t>
      </w:r>
    </w:p>
    <w:p>
      <w:pPr>
        <w:spacing w:lineRule="auto"/>
      </w:pPr>
      <w:r>
        <w:rPr/>
        <w:t xml:space="preserve">The evidence supports three main points.</w:t>
      </w:r>
    </w:p>
    <w:p>
      <w:pPr>
        <w:numPr>
          <w:ilvl w:val="0"/>
          <w:numId w:val="1"/>
        </w:numPr>
        <w:spacing w:lineRule="auto"/>
      </w:pPr>
      <w:r>
        <w:rPr>
          <w:b/>
        </w:rPr>
        <w:t xml:space="preserve">Framing process</w:t>
      </w:r>
      <w:r>
        <w:rPr/>
        <w:t xml:space="preserve">: In social movement research, the framing process is the production of interpretive packages that diagnose a problem, propose solutions, and motivate participation in collective action [1] [2] [3] [4].</w:t>
      </w:r>
    </w:p>
    <w:p>
      <w:pPr>
        <w:numPr>
          <w:ilvl w:val="0"/>
          <w:numId w:val="1"/>
        </w:numPr>
        <w:spacing w:lineRule="auto"/>
      </w:pPr>
      <w:r>
        <w:rPr>
          <w:b/>
        </w:rPr>
        <w:t xml:space="preserve">Frame alignment</w:t>
      </w:r>
      <w:r>
        <w:rPr/>
        <w:t xml:space="preserve">: Frame alignment is the process by which movements connect those packages to the beliefs, values, and interests of intended audiences through bridging, amplification, extension, transformation, and, in newer work, contraction [5] [6] [7]. Empirically, alignment matters because better alignment tends to increase mobilization, but studies increasingly show that it is usually </w:t>
      </w:r>
      <w:r>
        <w:rPr>
          <w:b/>
        </w:rPr>
        <w:t xml:space="preserve">partial and graded</w:t>
      </w:r>
      <w:r>
        <w:rPr/>
        <w:t xml:space="preserve">, not all-or-nothing [8] [9] [10].</w:t>
      </w:r>
    </w:p>
    <w:p>
      <w:pPr>
        <w:numPr>
          <w:ilvl w:val="0"/>
          <w:numId w:val="1"/>
        </w:numPr>
        <w:spacing w:lineRule="auto"/>
      </w:pPr>
      <w:r>
        <w:rPr>
          <w:b/>
        </w:rPr>
        <w:t xml:space="preserve">Master frames</w:t>
      </w:r>
      <w:r>
        <w:rPr/>
        <w:t xml:space="preserve">: Master frames are broader, portable frames that different movements can adapt across cases, but in the supplied evidence this part of the literature is more theoretically influential than empirically well-specified [16] [17] [18]. The retrieved materials explicitly note a gap in specific evidence on injustice, rights, and citizen/identity master-frame diffusion across protest cycles or countries [19] [20] [21].</w:t>
      </w:r>
    </w:p>
    <w:p>
      <w:pPr>
        <w:spacing w:lineRule="auto"/>
      </w:pPr>
      <w:r>
        <w:rPr>
          <w:b/>
        </w:rPr>
        <w:t xml:space="preserve">Practical takeaway:</w:t>
      </w:r>
      <w:r>
        <w:rPr/>
        <w:t xml:space="preserve"> if your goal is to understand how movements mobilize, the strongest evidence here points to frame alignment as the key mechanism; if your goal is to study cross-movement diffusion, master frames remain useful conceptually but need more explicit empirical tracing in this evidence base [8] [16] [19].</w:t>
      </w:r>
      <w:r>
        <w:rPr/>
        <w:br w:type="textWrapping"/>
      </w:r>
      <w:r>
        <w:rPr>
          <w:b/>
        </w:rPr>
        <w:t xml:space="preserve">Confidence level: High</w:t>
      </w:r>
      <w:r>
        <w:rPr/>
        <w:t xml:space="preserve"> for the definitions of framing process and frame alignment because multiple sources converge; </w:t>
      </w:r>
      <w:r>
        <w:rPr>
          <w:b/>
        </w:rPr>
        <w:t xml:space="preserve">Medium</w:t>
      </w:r>
      <w:r>
        <w:rPr/>
        <w:t xml:space="preserve"> for master-frame conclusions because the evidence is thinner and partly gap-defined [5] [8] [16] [19].</w:t>
      </w:r>
    </w:p>
    <w:p>
      <w:pPr>
        <w:pStyle w:val="Heading3"/>
        <w:spacing w:lineRule="auto"/>
      </w:pPr>
      <w:r>
        <w:rPr/>
        <w:t xml:space="preserve">Study Scope</w:t>
      </w:r>
    </w:p>
    <w:p>
      <w:pPr>
        <w:numPr>
          <w:ilvl w:val="0"/>
          <w:numId w:val="2"/>
        </w:numPr>
        <w:spacing w:lineRule="auto"/>
      </w:pPr>
      <w:r>
        <w:rPr>
          <w:b/>
        </w:rPr>
        <w:t xml:space="preserve">Period covered:</w:t>
      </w:r>
      <w:r>
        <w:rPr/>
        <w:t xml:space="preserve"> roughly 1980-2025, with classic framing theory and recent digital-platform studies both represented [1] [5] [16].</w:t>
      </w:r>
    </w:p>
    <w:p>
      <w:pPr>
        <w:numPr>
          <w:ilvl w:val="0"/>
          <w:numId w:val="2"/>
        </w:numPr>
        <w:spacing w:lineRule="auto"/>
      </w:pPr>
      <w:r>
        <w:rPr>
          <w:b/>
        </w:rPr>
        <w:t xml:space="preserve">Disciplines/settings:</w:t>
      </w:r>
      <w:r>
        <w:rPr/>
        <w:t xml:space="preserve"> social movement studies, political communication, media studies, discourse analysis, digital activism, and organizational mobilization research [11] [22] [23] [28].</w:t>
      </w:r>
    </w:p>
    <w:p>
      <w:pPr>
        <w:numPr>
          <w:ilvl w:val="0"/>
          <w:numId w:val="2"/>
        </w:numPr>
        <w:spacing w:lineRule="auto"/>
      </w:pPr>
      <w:r>
        <w:rPr>
          <w:b/>
        </w:rPr>
        <w:t xml:space="preserve">Methods represented:</w:t>
      </w:r>
      <w:r>
        <w:rPr/>
        <w:t xml:space="preserve"> surveys, protest event comparison, interviews, qualitative/historical analysis, manual content coding, semantic grammar, corpus-based discourse analysis, topic modeling, and mixed methods [9] [22] [23] [29] [30].</w:t>
      </w:r>
      <w:r>
        <w:rPr/>
        <w:br w:type="textWrapping"/>
      </w:r>
      <w:r>
        <w:rPr>
          <w:b/>
        </w:rPr>
        <w:t xml:space="preserve">Confidence level: High</w:t>
      </w:r>
      <w:r>
        <w:rPr/>
        <w:t xml:space="preserve"> because the scope is directly stated by the retrieved findings [9] [23].</w:t>
      </w:r>
    </w:p>
    <w:p>
      <w:pPr>
        <w:pStyle w:val="Heading3"/>
        <w:spacing w:lineRule="auto"/>
      </w:pPr>
      <w:r>
        <w:rPr/>
        <w:t xml:space="preserve">Assumptions &amp; Limitations</w:t>
      </w:r>
    </w:p>
    <w:p>
      <w:pPr>
        <w:numPr>
          <w:ilvl w:val="0"/>
          <w:numId w:val="3"/>
        </w:numPr>
        <w:spacing w:lineRule="auto"/>
      </w:pPr>
      <w:r>
        <w:rPr/>
        <w:t xml:space="preserve">The evidence base is much stronger on </w:t>
      </w:r>
      <w:r>
        <w:rPr>
          <w:b/>
        </w:rPr>
        <w:t xml:space="preserve">frame alignment</w:t>
      </w:r>
      <w:r>
        <w:rPr/>
        <w:t xml:space="preserve"> than on </w:t>
      </w:r>
      <w:r>
        <w:rPr>
          <w:b/>
        </w:rPr>
        <w:t xml:space="preserve">specific master-frame diffusion cases</w:t>
      </w:r>
      <w:r>
        <w:rPr/>
        <w:t xml:space="preserve"> [8] [19].</w:t>
      </w:r>
    </w:p>
    <w:p>
      <w:pPr>
        <w:numPr>
          <w:ilvl w:val="0"/>
          <w:numId w:val="3"/>
        </w:numPr>
        <w:spacing w:lineRule="auto"/>
      </w:pPr>
      <w:r>
        <w:rPr/>
        <w:t xml:space="preserve">Several reviews warn that framing concepts remain theoretically vague and difficult to operationalize consistently [22] [23].</w:t>
      </w:r>
    </w:p>
    <w:p>
      <w:pPr>
        <w:numPr>
          <w:ilvl w:val="0"/>
          <w:numId w:val="3"/>
        </w:numPr>
        <w:spacing w:lineRule="auto"/>
      </w:pPr>
      <w:r>
        <w:rPr/>
        <w:t xml:space="preserve">Computational methods may detect topics rather than frames, especially in broad corpora, so claims about frame prevalence or diffusion require validation [24] [25] [26] [27].</w:t>
      </w:r>
    </w:p>
    <w:p>
      <w:pPr>
        <w:numPr>
          <w:ilvl w:val="0"/>
          <w:numId w:val="3"/>
        </w:numPr>
        <w:spacing w:lineRule="auto"/>
      </w:pPr>
      <w:r>
        <w:rPr/>
        <w:t xml:space="preserve">Some conclusions below are inferential syntheses across studies rather than single-study demonstrations; these are labeled accordingly [10].</w:t>
      </w:r>
    </w:p>
    <w:p>
      <w:pPr>
        <w:pStyle w:val="Heading3"/>
        <w:spacing w:lineRule="auto"/>
      </w:pPr>
      <w:r>
        <w:rPr/>
        <w:t xml:space="preserve">Suggested Further Research</w:t>
      </w:r>
    </w:p>
    <w:p>
      <w:pPr>
        <w:numPr>
          <w:ilvl w:val="0"/>
          <w:numId w:val="4"/>
        </w:numPr>
        <w:spacing w:lineRule="auto"/>
      </w:pPr>
      <w:r>
        <w:rPr/>
        <w:t xml:space="preserve">Conduct comparative studies tracing </w:t>
      </w:r>
      <w:r>
        <w:rPr>
          <w:b/>
        </w:rPr>
        <w:t xml:space="preserve">master-frame diffusion</w:t>
      </w:r>
      <w:r>
        <w:rPr/>
        <w:t xml:space="preserve"> across movements, countries, and protest cycles, especially for injustice, rights, and citizenship frames [19] [20] [21].</w:t>
      </w:r>
    </w:p>
    <w:p>
      <w:pPr>
        <w:numPr>
          <w:ilvl w:val="0"/>
          <w:numId w:val="4"/>
        </w:numPr>
        <w:spacing w:lineRule="auto"/>
      </w:pPr>
      <w:r>
        <w:rPr/>
        <w:t xml:space="preserve">Standardize how alignment is measured across diagnostic, prognostic, and motivational dimensions [22] [31] [32].</w:t>
      </w:r>
    </w:p>
    <w:p>
      <w:pPr>
        <w:numPr>
          <w:ilvl w:val="0"/>
          <w:numId w:val="4"/>
        </w:numPr>
        <w:spacing w:lineRule="auto"/>
      </w:pPr>
      <w:r>
        <w:rPr/>
        <w:t xml:space="preserve">Compare bridging, amplification, extension, transformation, and contraction within the same cases using common outcome measures [7] [33] [34].</w:t>
      </w:r>
    </w:p>
    <w:p>
      <w:pPr>
        <w:numPr>
          <w:ilvl w:val="0"/>
          <w:numId w:val="4"/>
        </w:numPr>
        <w:spacing w:lineRule="auto"/>
      </w:pPr>
      <w:r>
        <w:rPr/>
        <w:t xml:space="preserve">Use longitudinal designs to connect framing to recruitment, sustained participation, and identity change [1] [8].</w:t>
      </w:r>
    </w:p>
    <w:p>
      <w:pPr>
        <w:numPr>
          <w:ilvl w:val="0"/>
          <w:numId w:val="4"/>
        </w:numPr>
        <w:spacing w:lineRule="auto"/>
      </w:pPr>
      <w:r>
        <w:rPr/>
        <w:t xml:space="preserve">Validate computational frame detection against theory-driven manual coding, especially for weak or overlapping frames [24] [25] [26] [27].</w:t>
      </w:r>
    </w:p>
    <w:p>
      <w:pPr>
        <w:pStyle w:val="Heading2"/>
        <w:spacing w:lineRule="auto"/>
      </w:pPr>
      <w:r>
        <w:rPr/>
        <w:t xml:space="preserve">Full Report</w:t>
      </w:r>
    </w:p>
    <w:p>
      <w:pPr>
        <w:pStyle w:val="Heading2"/>
        <w:spacing w:lineRule="auto"/>
      </w:pPr>
      <w:r>
        <w:rPr/>
        <w:t xml:space="preserve">Foundational Context</w:t>
      </w:r>
    </w:p>
    <w:p>
      <w:pPr>
        <w:spacing w:lineRule="auto"/>
      </w:pPr>
      <w:r>
        <w:rPr/>
        <w:t xml:space="preserve">Framing research asks how collective actors make events meaningful in ways that support action. In this literature, a movement does not simply report grievances; it interprets them. The core tasks are typically divided into </w:t>
      </w:r>
      <w:r>
        <w:rPr>
          <w:b/>
        </w:rPr>
        <w:t xml:space="preserve">diagnostic framing</w:t>
      </w:r>
      <w:r>
        <w:rPr/>
        <w:t xml:space="preserve"> (what the problem is and who is responsible), </w:t>
      </w:r>
      <w:r>
        <w:rPr>
          <w:b/>
        </w:rPr>
        <w:t xml:space="preserve">prognostic framing</w:t>
      </w:r>
      <w:r>
        <w:rPr/>
        <w:t xml:space="preserve"> (what should be done), and </w:t>
      </w:r>
      <w:r>
        <w:rPr>
          <w:b/>
        </w:rPr>
        <w:t xml:space="preserve">motivational framing</w:t>
      </w:r>
      <w:r>
        <w:rPr/>
        <w:t xml:space="preserve"> (why people should act now) [1] [2] [3] [4]. This triad is the conceptual foundation for the rest of the field because it links meaning-making to mobilization outcomes [35] [36].</w:t>
      </w:r>
    </w:p>
    <w:p>
      <w:pPr>
        <w:spacing w:lineRule="auto"/>
      </w:pPr>
      <w:r>
        <w:rPr/>
        <w:t xml:space="preserve">Frame alignment theory builds on this by asking whether movement frames resonate with intended audiences. The classic view identifies four main processes: </w:t>
      </w:r>
      <w:r>
        <w:rPr>
          <w:b/>
        </w:rPr>
        <w:t xml:space="preserve">bridging</w:t>
      </w:r>
      <w:r>
        <w:rPr/>
        <w:t xml:space="preserve">, </w:t>
      </w:r>
      <w:r>
        <w:rPr>
          <w:b/>
        </w:rPr>
        <w:t xml:space="preserve">amplification</w:t>
      </w:r>
      <w:r>
        <w:rPr/>
        <w:t xml:space="preserve">, </w:t>
      </w:r>
      <w:r>
        <w:rPr>
          <w:b/>
        </w:rPr>
        <w:t xml:space="preserve">extension</w:t>
      </w:r>
      <w:r>
        <w:rPr/>
        <w:t xml:space="preserve">, and </w:t>
      </w:r>
      <w:r>
        <w:rPr>
          <w:b/>
        </w:rPr>
        <w:t xml:space="preserve">transformation</w:t>
      </w:r>
      <w:r>
        <w:rPr/>
        <w:t xml:space="preserve"> [5]. Newer work adds </w:t>
      </w:r>
      <w:r>
        <w:rPr>
          <w:b/>
        </w:rPr>
        <w:t xml:space="preserve">contraction</w:t>
      </w:r>
      <w:r>
        <w:rPr/>
        <w:t xml:space="preserve">, arguing that movements sometimes mobilize by narrowing or stripping away frame elements rather than broadening them [6] [7]. This matters because it shifts theory away from assuming that successful mobilization always requires expansion [7].</w:t>
      </w:r>
    </w:p>
    <w:p>
      <w:pPr>
        <w:spacing w:lineRule="auto"/>
      </w:pPr>
      <w:r>
        <w:rPr/>
        <w:t xml:space="preserve">Master-frame theory operates at a higher level of abstraction. Rather than focusing on one organization’s message, it concerns broad, portable interpretive packages that different movements can adapt to their own causes [16] [17] [18]. In the supplied evidence, however, master frames are more clearly defined theoretically than empirically tracked across multiple concrete cases [19] [20] [21].</w:t>
      </w:r>
    </w:p>
    <w:p>
      <w:pPr>
        <w:spacing w:lineRule="auto"/>
      </w:pPr>
      <w:r>
        <w:rPr>
          <w:b/>
        </w:rPr>
        <w:t xml:space="preserve">Confidence level: High</w:t>
      </w:r>
      <w:r>
        <w:rPr/>
        <w:t xml:space="preserve"> for these conceptual foundations because multiple findings converge on the same definitions and mechanisms [1] [5] [16].</w:t>
      </w:r>
    </w:p>
    <w:p>
      <w:pPr>
        <w:pStyle w:val="Heading2"/>
        <w:spacing w:lineRule="auto"/>
      </w:pPr>
      <w:r>
        <w:rPr/>
        <w:t xml:space="preserve">1. The Framing Process</w:t>
      </w:r>
    </w:p>
    <w:p>
      <w:pPr>
        <w:spacing w:lineRule="auto"/>
      </w:pPr>
      <w:r>
        <w:rPr/>
        <w:t xml:space="preserve">The framing process consists of constructing meaning in order to organize collective action. Studies across climate protest, Black Lives Matter, Indigenous protest, Guatemalan justice activism, Delhi mobilization, and energy/forest conflicts all use the diagnostic-prognostic-motivational model to show how organizers define grievances, assign blame, propose remedies, and call audiences to action [1] [2] [28] [35] [36] [37] [38].</w:t>
      </w:r>
    </w:p>
    <w:p>
      <w:pPr>
        <w:spacing w:lineRule="auto"/>
      </w:pPr>
      <w:r>
        <w:rPr/>
        <w:t xml:space="preserve">This process is not purely internal to organizations. One recurring finding is that frames are shaped by </w:t>
      </w:r>
      <w:r>
        <w:rPr>
          <w:b/>
        </w:rPr>
        <w:t xml:space="preserve">intended audiences</w:t>
      </w:r>
      <w:r>
        <w:rPr/>
        <w:t xml:space="preserve"> and </w:t>
      </w:r>
      <w:r>
        <w:rPr>
          <w:b/>
        </w:rPr>
        <w:t xml:space="preserve">multi-organizational fields</w:t>
      </w:r>
      <w:r>
        <w:rPr/>
        <w:t xml:space="preserve">. Frames may fail not because they are internally incoherent, but because they were not built with a particular audience in mind [11]. Similarly, comparative work shows that different platforms and media arenas encourage different emphases in diagnostic, prognostic, and motivational framing [28] [39].</w:t>
      </w:r>
    </w:p>
    <w:p>
      <w:pPr>
        <w:spacing w:lineRule="auto"/>
      </w:pPr>
      <w:r>
        <w:rPr/>
        <w:t xml:space="preserve">Framing is also tied to </w:t>
      </w:r>
      <w:r>
        <w:rPr>
          <w:b/>
        </w:rPr>
        <w:t xml:space="preserve">collective identity formation</w:t>
      </w:r>
      <w:r>
        <w:rPr/>
        <w:t xml:space="preserve">. Studies emphasize that movements use frames not only to interpret problems but also to draw boundaries, identify “us” and “them,” and define legitimate participants and opponents [3] [4] [40]. Motivational framing in particular often depends on linking identity, blame, and urgency [2] [36].</w:t>
      </w:r>
    </w:p>
    <w:p>
      <w:pPr>
        <w:spacing w:lineRule="auto"/>
      </w:pPr>
      <w:r>
        <w:rPr/>
        <w:t xml:space="preserve">Taken together, these findings suggest that framing is best understood as a </w:t>
      </w:r>
      <w:r>
        <w:rPr>
          <w:b/>
        </w:rPr>
        <w:t xml:space="preserve">relational process of meaning construction</w:t>
      </w:r>
      <w:r>
        <w:rPr/>
        <w:t xml:space="preserve"> rather than a one-way message transmission model [10] [11].</w:t>
      </w:r>
      <w:r>
        <w:rPr/>
        <w:br w:type="textWrapping"/>
      </w:r>
      <w:r>
        <w:rPr>
          <w:b/>
        </w:rPr>
        <w:t xml:space="preserve">Confidence level: High</w:t>
      </w:r>
      <w:r>
        <w:rPr/>
        <w:t xml:space="preserve"> because this section is supported by multiple empirical settings and a consistent conceptual structure [1] [11] [28].</w:t>
      </w:r>
    </w:p>
    <w:p>
      <w:pPr>
        <w:pStyle w:val="Heading2"/>
        <w:spacing w:lineRule="auto"/>
      </w:pPr>
      <w:r>
        <w:rPr/>
        <w:t xml:space="preserve">2. Frame Alignment: Core Mechanism and Main Processes</w:t>
      </w:r>
    </w:p>
    <w:p>
      <w:pPr>
        <w:spacing w:lineRule="auto"/>
      </w:pPr>
      <w:r>
        <w:rPr/>
        <w:t xml:space="preserve">Frame alignment is one of the field’s central explanations for why some movements recruit effectively. Evidence from protest studies shows that when organizer frames match sympathizers’ diagnostic and prognostic understandings, intention to participate rises, and participation follows [8]. Related work finds that alignment predicts mobilization when it translates into intention, reinforcing the idea that framing affects action indirectly as well as directly [8].</w:t>
      </w:r>
    </w:p>
    <w:p>
      <w:pPr>
        <w:pStyle w:val="Heading3"/>
        <w:spacing w:lineRule="auto"/>
      </w:pPr>
      <w:r>
        <w:rPr/>
        <w:t xml:space="preserve">2.1 Classic alignment processes</w:t>
      </w:r>
    </w:p>
    <w:p>
      <w:pPr>
        <w:spacing w:lineRule="auto"/>
      </w:pPr>
      <w:r>
        <w:rPr/>
        <w:t xml:space="preserve">The classical framework includes four processes [5]:</w:t>
      </w:r>
    </w:p>
    <w:p>
      <w:pPr>
        <w:numPr>
          <w:ilvl w:val="0"/>
          <w:numId w:val="5"/>
        </w:numPr>
        <w:spacing w:lineRule="auto"/>
      </w:pPr>
      <w:r>
        <w:rPr>
          <w:b/>
        </w:rPr>
        <w:t xml:space="preserve">Bridging</w:t>
      </w:r>
      <w:r>
        <w:rPr/>
        <w:t xml:space="preserve">: connecting previously unlinked but compatible constituencies or interpretive schemas [5].</w:t>
      </w:r>
    </w:p>
    <w:p>
      <w:pPr>
        <w:numPr>
          <w:ilvl w:val="0"/>
          <w:numId w:val="5"/>
        </w:numPr>
        <w:spacing w:lineRule="auto"/>
      </w:pPr>
      <w:r>
        <w:rPr>
          <w:b/>
        </w:rPr>
        <w:t xml:space="preserve">Amplification</w:t>
      </w:r>
      <w:r>
        <w:rPr/>
        <w:t xml:space="preserve">: strengthening or clarifying values and beliefs already present among potential supporters [5] [12].</w:t>
      </w:r>
    </w:p>
    <w:p>
      <w:pPr>
        <w:numPr>
          <w:ilvl w:val="0"/>
          <w:numId w:val="5"/>
        </w:numPr>
        <w:spacing w:lineRule="auto"/>
      </w:pPr>
      <w:r>
        <w:rPr>
          <w:b/>
        </w:rPr>
        <w:t xml:space="preserve">Extension</w:t>
      </w:r>
      <w:r>
        <w:rPr/>
        <w:t xml:space="preserve">: broadening a frame to include concerns of additional audiences [5] [34].</w:t>
      </w:r>
    </w:p>
    <w:p>
      <w:pPr>
        <w:numPr>
          <w:ilvl w:val="0"/>
          <w:numId w:val="5"/>
        </w:numPr>
        <w:spacing w:lineRule="auto"/>
      </w:pPr>
      <w:r>
        <w:rPr>
          <w:b/>
        </w:rPr>
        <w:t xml:space="preserve">Transformation</w:t>
      </w:r>
      <w:r>
        <w:rPr/>
        <w:t xml:space="preserve">: altering interpretive orientations so issues are understood differently [5] [12].</w:t>
      </w:r>
    </w:p>
    <w:p>
      <w:pPr>
        <w:spacing w:lineRule="auto"/>
      </w:pPr>
      <w:r>
        <w:rPr/>
        <w:t xml:space="preserve">Newer work adds </w:t>
      </w:r>
      <w:r>
        <w:rPr>
          <w:b/>
        </w:rPr>
        <w:t xml:space="preserve">contraction</w:t>
      </w:r>
      <w:r>
        <w:rPr/>
        <w:t xml:space="preserve">, defined as removing, minimizing, or restricting frame elements [6] [7]. This is a significant theoretical correction because it shows that movements may align better by narrowing meaning, not only by expanding it [7].</w:t>
      </w:r>
    </w:p>
    <w:p>
      <w:pPr>
        <w:pStyle w:val="Heading3"/>
        <w:spacing w:lineRule="auto"/>
      </w:pPr>
      <w:r>
        <w:rPr/>
        <w:t xml:space="preserve">2.2 Alignment is usually partial, not total</w:t>
      </w:r>
    </w:p>
    <w:p>
      <w:pPr>
        <w:spacing w:lineRule="auto"/>
      </w:pPr>
      <w:r>
        <w:rPr/>
        <w:t xml:space="preserve">A major empirical development is the move from binary to graded understandings of alignment. Survey studies across demonstrations find that participants are often only </w:t>
      </w:r>
      <w:r>
        <w:rPr>
          <w:b/>
        </w:rPr>
        <w:t xml:space="preserve">partially aligned</w:t>
      </w:r>
      <w:r>
        <w:rPr/>
        <w:t xml:space="preserve"> with organizers, and that diagnostic alignment is frequently stronger than prognostic or motivational alignment [9] [10]. Further work measures alignment as within-person correlations, coded frame congruence, or association strengths between intended and counter-narratives, again treating it as a matter of degree [31] [32] [41].</w:t>
      </w:r>
    </w:p>
    <w:p>
      <w:pPr>
        <w:spacing w:lineRule="auto"/>
      </w:pPr>
      <w:r>
        <w:rPr/>
        <w:t xml:space="preserve">This is one of the clearest findings in the evidence base: mobilization does not require perfect agreement [8] [10].</w:t>
      </w:r>
      <w:r>
        <w:rPr/>
        <w:br w:type="textWrapping"/>
      </w:r>
      <w:r>
        <w:rPr>
          <w:b/>
        </w:rPr>
        <w:t xml:space="preserve">Confidence level: High</w:t>
      </w:r>
      <w:r>
        <w:rPr/>
        <w:t xml:space="preserve"> because several independent studies and the meta-synthesis converge strongly [9].</w:t>
      </w:r>
    </w:p>
    <w:p>
      <w:pPr>
        <w:pStyle w:val="Heading2"/>
        <w:spacing w:lineRule="auto"/>
      </w:pPr>
      <w:r>
        <w:rPr/>
        <w:t xml:space="preserve">3. What Shapes Alignment Success or Failure?</w:t>
      </w:r>
    </w:p>
    <w:p>
      <w:pPr>
        <w:spacing w:lineRule="auto"/>
      </w:pPr>
      <w:r>
        <w:rPr/>
        <w:t xml:space="preserve">Alignment is conditioned by organizational and political context. Recruitment through staging organizations and stronger, more professionalized organizations is associated with higher alignment, while high issue salience in the broader political arena can constrain alignment [10]. This indicates that effective framing depends not only on message content but also on the infrastructure through which audiences encounter that message [10].</w:t>
      </w:r>
    </w:p>
    <w:p>
      <w:pPr>
        <w:spacing w:lineRule="auto"/>
      </w:pPr>
      <w:r>
        <w:rPr/>
        <w:t xml:space="preserve">Evidence also shows that </w:t>
      </w:r>
      <w:r>
        <w:rPr>
          <w:b/>
        </w:rPr>
        <w:t xml:space="preserve">bridging alone is not enough</w:t>
      </w:r>
      <w:r>
        <w:rPr/>
        <w:t xml:space="preserve">. In the anti-U.S. military siting campaign case, similar bridging efforts produced different scales of mobilization depending on politicized disputes and coalition opportunities [33]. By contrast, a study of the AFL operationalized frame extension as shifts in legislative agenda and found that extension increased when employer dependence on unions fell and political opportunity rose [34]. These findings imply that alignment strategies work differently under different structural conditions [33] [34].</w:t>
      </w:r>
    </w:p>
    <w:p>
      <w:pPr>
        <w:spacing w:lineRule="auto"/>
      </w:pPr>
      <w:r>
        <w:rPr/>
        <w:t xml:space="preserve">Audience targeting matters as well. Advocacy groups in Taiwan’s same-sex marriage debate varied their narrative and conflict strategies depending on policy context, political events, and intended audiences [42]. Similarly, collective action frames may fail when organizers do not construct them with specific target audiences in mind [11].</w:t>
      </w:r>
    </w:p>
    <w:p>
      <w:pPr>
        <w:spacing w:lineRule="auto"/>
      </w:pPr>
      <w:r>
        <w:rPr>
          <w:b/>
        </w:rPr>
        <w:t xml:space="preserve">Inferred:</w:t>
      </w:r>
      <w:r>
        <w:rPr/>
        <w:t xml:space="preserve"> Frame alignment appears to operate at multiple levels simultaneously: textual congruence, recruitment pathways, and political opportunity structure jointly shape whether resonance turns into mobilization [9] [10].</w:t>
      </w:r>
      <w:r>
        <w:rPr/>
        <w:br w:type="textWrapping"/>
      </w:r>
      <w:r>
        <w:rPr>
          <w:b/>
        </w:rPr>
        <w:t xml:space="preserve">Confidence level: Medium-High</w:t>
      </w:r>
      <w:r>
        <w:rPr/>
        <w:t xml:space="preserve"> because each component is directly evidenced, but the multi-level formulation is a synthesis across sources [10].</w:t>
      </w:r>
    </w:p>
    <w:p>
      <w:pPr>
        <w:pStyle w:val="Heading2"/>
        <w:spacing w:lineRule="auto"/>
      </w:pPr>
      <w:r>
        <w:rPr/>
        <w:t xml:space="preserve">4. Narrative as an Alignment Strategy</w:t>
      </w:r>
    </w:p>
    <w:p>
      <w:pPr>
        <w:spacing w:lineRule="auto"/>
      </w:pPr>
      <w:r>
        <w:rPr/>
        <w:t xml:space="preserve">A notable theme in newer work is that narrative is not just a vessel for frames; it may itself function as an alignment mechanism [12] [13]. Long-form labor novels, for example, are presented as tools for frame amplification and transformation that communicate movement meaning in ways other forms may not [12]. Research on same-sex marriage hearings similarly finds that narrative helps make frame packages cohesive and compelling [13].</w:t>
      </w:r>
    </w:p>
    <w:p>
      <w:pPr>
        <w:spacing w:lineRule="auto"/>
      </w:pPr>
      <w:r>
        <w:rPr/>
        <w:t xml:space="preserve">Narrative structure matters for persuasion. Documentary graphic narratives show that layered framing, witness accounts, and contextual commentary shape comprehension and emotional relatability [14]. Policy narrative work adds that issue categorization frames can bound what narratives are possible, while settings focalize audiences and contain multiple policy solutions [15].</w:t>
      </w:r>
    </w:p>
    <w:p>
      <w:pPr>
        <w:spacing w:lineRule="auto"/>
      </w:pPr>
      <w:r>
        <w:rPr/>
        <w:t xml:space="preserve">Studies on collective identity boundaries further show that alignment is not purely about persuasive fit; it is also about what kinds of subjects and solidarities a frame creates. In Chinese feminist influencer discourse, extension toward universal human values could broaden appeal, but amplification around those values could still yield support too shallow to generate substantial change [43].</w:t>
      </w:r>
    </w:p>
    <w:p>
      <w:pPr>
        <w:spacing w:lineRule="auto"/>
      </w:pPr>
      <w:r>
        <w:rPr>
          <w:b/>
        </w:rPr>
        <w:t xml:space="preserve">Inferred:</w:t>
      </w:r>
      <w:r>
        <w:rPr/>
        <w:t xml:space="preserve"> Narrative may be especially important where movements need both resonance and adaptability, because stories can preserve a core interpretation while varying emphases across audiences [12] [13].</w:t>
      </w:r>
      <w:r>
        <w:rPr/>
        <w:br w:type="textWrapping"/>
      </w:r>
      <w:r>
        <w:rPr>
          <w:b/>
        </w:rPr>
        <w:t xml:space="preserve">Confidence level: Medium</w:t>
      </w:r>
      <w:r>
        <w:rPr/>
        <w:t xml:space="preserve"> because the evidence is suggestive and cross-case, but not yet as cumulative as the alignment literature overall [12].</w:t>
      </w:r>
    </w:p>
    <w:p>
      <w:pPr>
        <w:pStyle w:val="Heading2"/>
        <w:spacing w:lineRule="auto"/>
      </w:pPr>
      <w:r>
        <w:rPr/>
        <w:t xml:space="preserve">5. Master Frames: Usefulness and Limits</w:t>
      </w:r>
    </w:p>
    <w:p>
      <w:pPr>
        <w:spacing w:lineRule="auto"/>
      </w:pPr>
      <w:r>
        <w:rPr/>
        <w:t xml:space="preserve">The supplied evidence supports the standard view that master frames are broad, portable interpretive packages that movements can adopt and adapt, especially when favorable political opportunities are weak [16] [17] [18]. Their theoretical appeal lies in explaining diffusion across campaigns and protest cycles without assuming that each movement invents an entirely new interpretive structure [16].</w:t>
      </w:r>
    </w:p>
    <w:p>
      <w:pPr>
        <w:spacing w:lineRule="auto"/>
      </w:pPr>
      <w:r>
        <w:rPr/>
        <w:t xml:space="preserve">However, the empirical base in this dataset is thinner than for frame alignment. The retrieved literature explicitly does </w:t>
      </w:r>
      <w:r>
        <w:rPr>
          <w:b/>
        </w:rPr>
        <w:t xml:space="preserve">not</w:t>
      </w:r>
      <w:r>
        <w:rPr/>
        <w:t xml:space="preserve"> identify a strong set of classic or recent studies on injustice, rights, or citizen/identity master frames diffusing across protest cycles, movements, or countries [19] [20] [21]. Reviews instead emphasize broader framing processes and contextual constraints [19] [20] [21].</w:t>
      </w:r>
    </w:p>
    <w:p>
      <w:pPr>
        <w:spacing w:lineRule="auto"/>
      </w:pPr>
      <w:r>
        <w:rPr/>
        <w:t xml:space="preserve">That means the best-supported conclusion here is careful: master frames remain an important theoretical concept, but this evidence base does not allow a detailed empirical catalog of specific master-frame diffusion cases [16] [19].</w:t>
      </w:r>
    </w:p>
    <w:p>
      <w:pPr>
        <w:spacing w:lineRule="auto"/>
      </w:pPr>
      <w:r>
        <w:rPr>
          <w:b/>
        </w:rPr>
        <w:t xml:space="preserve">Confidence level: Medium</w:t>
      </w:r>
      <w:r>
        <w:rPr/>
        <w:t xml:space="preserve"> because the theoretical point is clear, but the empirical specificity requested by the query is explicitly limited in the retrieved corpus [17] [19].</w:t>
      </w:r>
    </w:p>
    <w:p>
      <w:pPr>
        <w:pStyle w:val="Heading2"/>
        <w:spacing w:lineRule="auto"/>
      </w:pPr>
      <w:r>
        <w:rPr/>
        <w:t xml:space="preserve">6. Measuring Frames and Alignment</w:t>
      </w:r>
    </w:p>
    <w:p>
      <w:pPr>
        <w:spacing w:lineRule="auto"/>
      </w:pPr>
      <w:r>
        <w:rPr/>
        <w:t xml:space="preserve">Methodologically, the literature is moving toward more explicit operationalization, but measurement remains difficult [22] [23]. Some studies use surveys to compare organizer and participant frames directly, often finding stronger diagnostic than prognostic or motivational alignment [9] [10]. Others code texts for frame presence using binary indicators and inter-coder agreement, allowing direct comparison of diagnostic, prognostic, and motivational content [32].</w:t>
      </w:r>
    </w:p>
    <w:p>
      <w:pPr>
        <w:spacing w:lineRule="auto"/>
      </w:pPr>
      <w:r>
        <w:rPr/>
        <w:t xml:space="preserve">For text and discourse analysis, several approaches are represented:</w:t>
      </w:r>
    </w:p>
    <w:p>
      <w:pPr>
        <w:numPr>
          <w:ilvl w:val="0"/>
          <w:numId w:val="6"/>
        </w:numPr>
        <w:spacing w:lineRule="auto"/>
      </w:pPr>
      <w:r>
        <w:rPr>
          <w:b/>
        </w:rPr>
        <w:t xml:space="preserve">Semantic frame grammar</w:t>
      </w:r>
      <w:r>
        <w:rPr/>
        <w:t xml:space="preserve"> to extract collective action frames from movement texts [23].</w:t>
      </w:r>
    </w:p>
    <w:p>
      <w:pPr>
        <w:numPr>
          <w:ilvl w:val="0"/>
          <w:numId w:val="6"/>
        </w:numPr>
        <w:spacing w:lineRule="auto"/>
      </w:pPr>
      <w:r>
        <w:rPr>
          <w:b/>
        </w:rPr>
        <w:t xml:space="preserve">Linguistic coding schemes and semantic grammars</w:t>
      </w:r>
      <w:r>
        <w:rPr/>
        <w:t xml:space="preserve"> for movement documents [22] [23].</w:t>
      </w:r>
    </w:p>
    <w:p>
      <w:pPr>
        <w:numPr>
          <w:ilvl w:val="0"/>
          <w:numId w:val="6"/>
        </w:numPr>
        <w:spacing w:lineRule="auto"/>
      </w:pPr>
      <w:r>
        <w:rPr>
          <w:b/>
        </w:rPr>
        <w:t xml:space="preserve">Inductive qualitative models</w:t>
      </w:r>
      <w:r>
        <w:rPr/>
        <w:t xml:space="preserve"> combining content analysis, semantic network analysis, and thematic analysis [44].</w:t>
      </w:r>
    </w:p>
    <w:p>
      <w:pPr>
        <w:numPr>
          <w:ilvl w:val="0"/>
          <w:numId w:val="6"/>
        </w:numPr>
        <w:spacing w:lineRule="auto"/>
      </w:pPr>
      <w:r>
        <w:rPr>
          <w:b/>
        </w:rPr>
        <w:t xml:space="preserve">Computational methods</w:t>
      </w:r>
      <w:r>
        <w:rPr/>
        <w:t xml:space="preserve"> such as clustering, topic modeling, LDA, supervised learning, and topic-model networks [25] [26] [27] [30].</w:t>
      </w:r>
    </w:p>
    <w:p>
      <w:pPr>
        <w:spacing w:lineRule="auto"/>
      </w:pPr>
      <w:r>
        <w:rPr/>
        <w:t xml:space="preserve">The main caution is validity. Benchmark studies find that both manual and automatic methods can be inaccurate for generic frame identification, especially when frames overlap with issue topics [24] [26]. Computational tools can detect prominent patterns at scale, but they may miss weak frames or recover topics rather than frames [25] [26] [27]. Corpus-based critical discourse analysis can trace repeated framing over time, but keyword evidence does not automatically prove cultural or master-frame diffusion [45] [46].</w:t>
      </w:r>
    </w:p>
    <w:p>
      <w:pPr>
        <w:spacing w:lineRule="auto"/>
      </w:pPr>
      <w:r>
        <w:rPr>
          <w:b/>
        </w:rPr>
        <w:t xml:space="preserve">Confidence level: High</w:t>
      </w:r>
      <w:r>
        <w:rPr/>
        <w:t xml:space="preserve"> because multiple methodological studies point to the same strengths and limitations [23] [26].</w:t>
      </w:r>
    </w:p>
    <w:p>
      <w:pPr>
        <w:pStyle w:val="Heading2"/>
        <w:spacing w:lineRule="auto"/>
      </w:pPr>
      <w:r>
        <w:rPr/>
        <w:t xml:space="preserve">7. Digital and Cross-Platform Shifts</w:t>
      </w:r>
    </w:p>
    <w:p>
      <w:pPr>
        <w:spacing w:lineRule="auto"/>
      </w:pPr>
      <w:r>
        <w:rPr/>
        <w:t xml:space="preserve">Recent studies increasingly analyze framing in hybrid media systems rather than only in pamphlets, speeches, or organizational documents [2] [28] [39]. Comparative platform work on #StopTheSteal shows diagnostic, prognostic, and motivational frames varying across Facebook, Twitter, and Parler [39]. Black Lives Matter research on Twitter finds topic clusters mapping onto the three core framing tasks [2]. Indigenous protest studies show movements, media, and state actors competing over these same framing functions in online public space [28].</w:t>
      </w:r>
    </w:p>
    <w:p>
      <w:pPr>
        <w:spacing w:lineRule="auto"/>
      </w:pPr>
      <w:r>
        <w:rPr/>
        <w:t xml:space="preserve">This shift matters because framing is increasingly contested in real time across platforms and between movements, states, and counterpublics [28] [35].</w:t>
      </w:r>
      <w:r>
        <w:rPr/>
        <w:br w:type="textWrapping"/>
      </w:r>
      <w:r>
        <w:rPr>
          <w:b/>
        </w:rPr>
        <w:t xml:space="preserve">Confidence level: Medium</w:t>
      </w:r>
      <w:r>
        <w:rPr/>
        <w:t xml:space="preserve"> because the trend is clear in the retrieved recent cases, though the corpus does not establish its full historical extent [28] [39].</w:t>
      </w:r>
    </w:p>
    <w:p>
      <w:pPr>
        <w:pStyle w:val="Heading2"/>
        <w:spacing w:lineRule="auto"/>
      </w:pPr>
      <w:r>
        <w:rPr/>
        <w:t xml:space="preserve">Conclusion</w:t>
      </w:r>
    </w:p>
    <w:p>
      <w:pPr>
        <w:spacing w:lineRule="auto"/>
      </w:pPr>
      <w:r>
        <w:rPr/>
        <w:t xml:space="preserve">The strongest conclusion from the supplied evidence is that </w:t>
      </w:r>
      <w:r>
        <w:rPr>
          <w:b/>
        </w:rPr>
        <w:t xml:space="preserve">framing is a process of meaning construction for action</w:t>
      </w:r>
      <w:r>
        <w:rPr/>
        <w:t xml:space="preserve">, while </w:t>
      </w:r>
      <w:r>
        <w:rPr>
          <w:b/>
        </w:rPr>
        <w:t xml:space="preserve">frame alignment is the main mechanism linking movement messages to mobilization</w:t>
      </w:r>
      <w:r>
        <w:rPr/>
        <w:t xml:space="preserve"> [1] [8]. Alignment is best understood as </w:t>
      </w:r>
      <w:r>
        <w:rPr>
          <w:b/>
        </w:rPr>
        <w:t xml:space="preserve">graded, relational, and context-dependent</w:t>
      </w:r>
      <w:r>
        <w:rPr/>
        <w:t xml:space="preserve">, not binary [9] [10]. The classical alignment repertoire of bridging, amplification, extension, and transformation remains central, but newer work usefully adds contraction and highlights narrative as a distinct alignment vehicle [5] [7] [12].</w:t>
      </w:r>
    </w:p>
    <w:p>
      <w:pPr>
        <w:spacing w:lineRule="auto"/>
      </w:pPr>
      <w:r>
        <w:rPr/>
        <w:t xml:space="preserve">Master frames remain theoretically important as portable interpretive packages, but the supplied evidence is notably weaker on specific diffusion cases than on alignment processes [16] [19]. So, if the aim is conceptual clarity, the literature is strong on framing process and alignment; if the aim is a robust empirical map of master-frame diffusion, the current evidence reveals a real research gap [20] [21].</w:t>
      </w:r>
    </w:p>
    <w:p>
      <w:pPr>
        <w:spacing w:lineRule="auto"/>
      </w:pPr>
      <w:r>
        <w:rPr>
          <w:b/>
        </w:rPr>
        <w:t xml:space="preserve">Overall confidence level: High</w:t>
      </w:r>
      <w:r>
        <w:rPr/>
        <w:t xml:space="preserve"> on framing process and frame alignment; </w:t>
      </w:r>
      <w:r>
        <w:rPr>
          <w:b/>
        </w:rPr>
        <w:t xml:space="preserve">Medium</w:t>
      </w:r>
      <w:r>
        <w:rPr/>
        <w:t xml:space="preserve"> on master frames because the retrieved evidence explicitly identifies limited empirical specificity [5] [8] [19].</w:t>
      </w:r>
    </w:p>
    <w:p>
      <w:pPr>
        <w:pStyle w:val="Heading2"/>
        <w:spacing w:lineRule="auto"/>
      </w:pPr>
      <w:r>
        <w:rPr/>
        <w:t xml:space="preserve">References</w:t>
      </w:r>
    </w:p>
    <w:p>
      <w:pPr>
        <w:numPr>
          <w:ilvl w:val="0"/>
          <w:numId w:val="7"/>
        </w:numPr>
        <w:spacing w:lineRule="auto"/>
      </w:pPr>
      <w:r>
        <w:rPr/>
        <w:t xml:space="preserve">Hadler, Markus, Ertl, Alexander, Klösch, Beate, (...), Lex, Elisabeth (2020) The climate gluing protests: analyzing their development and framing in media since 1986 using sentiment analyses and frame detection models. </w:t>
      </w:r>
      <w:r>
        <w:rPr>
          <w:i/>
        </w:rPr>
        <w:t xml:space="preserve">Frontiers in Big Data</w:t>
      </w:r>
      <w:r>
        <w:rPr/>
        <w:t xml:space="preserve">. </w:t>
      </w:r>
      <w:hyperlink r:id="rId6">
        <w:r>
          <w:rPr>
            <w:rStyle w:val="Hyperlink"/>
          </w:rPr>
          <w:t xml:space="preserve">https://doi.org/10.3389/fdata.2025.1569623</w:t>
        </w:r>
      </w:hyperlink>
    </w:p>
    <w:p>
      <w:pPr>
        <w:numPr>
          <w:ilvl w:val="0"/>
          <w:numId w:val="7"/>
        </w:numPr>
        <w:spacing w:lineRule="auto"/>
      </w:pPr>
      <w:r>
        <w:rPr/>
        <w:t xml:space="preserve">Klein, Colin, Reimann, Ritsaart, Quintana, Ignacio Ojea, (...), Alfano, Mark (2022) Attention and counter-framing in the Black Lives Matter movement on Twitter. </w:t>
      </w:r>
      <w:r>
        <w:rPr>
          <w:i/>
        </w:rPr>
        <w:t xml:space="preserve">Humanities and Social Sciences Communications</w:t>
      </w:r>
      <w:r>
        <w:rPr/>
        <w:t xml:space="preserve">. </w:t>
      </w:r>
      <w:hyperlink r:id="rId7">
        <w:r>
          <w:rPr>
            <w:rStyle w:val="Hyperlink"/>
          </w:rPr>
          <w:t xml:space="preserve">https://doi.org/10.1057/s41599-022-01384-1</w:t>
        </w:r>
      </w:hyperlink>
    </w:p>
    <w:p>
      <w:pPr>
        <w:numPr>
          <w:ilvl w:val="0"/>
          <w:numId w:val="7"/>
        </w:numPr>
        <w:spacing w:lineRule="auto"/>
      </w:pPr>
      <w:r>
        <w:rPr/>
        <w:t xml:space="preserve">Benford, R.D. (2013) Identity Fields. </w:t>
      </w:r>
      <w:r>
        <w:rPr>
          <w:i/>
        </w:rPr>
        <w:t xml:space="preserve">The Wiley-Blackwell Encyclopedia of Social and Political Movements</w:t>
      </w:r>
      <w:r>
        <w:rPr/>
        <w:t xml:space="preserve">. </w:t>
      </w:r>
      <w:hyperlink r:id="rId8">
        <w:r>
          <w:rPr>
            <w:rStyle w:val="Hyperlink"/>
          </w:rPr>
          <w:t xml:space="preserve">https://doi.org/10.1002/9780470674871.wbespm103.pub2</w:t>
        </w:r>
      </w:hyperlink>
    </w:p>
    <w:p>
      <w:pPr>
        <w:numPr>
          <w:ilvl w:val="0"/>
          <w:numId w:val="7"/>
        </w:numPr>
        <w:spacing w:lineRule="auto"/>
      </w:pPr>
      <w:r>
        <w:rPr/>
        <w:t xml:space="preserve">Benford, R.D. (2013) Identity Fields. </w:t>
      </w:r>
      <w:r>
        <w:rPr>
          <w:i/>
        </w:rPr>
        <w:t xml:space="preserve">The Wiley-Blackwell Encyclopedia of Social and Political Movements</w:t>
      </w:r>
      <w:r>
        <w:rPr/>
        <w:t xml:space="preserve">. </w:t>
      </w:r>
      <w:hyperlink r:id="rId9">
        <w:r>
          <w:rPr>
            <w:rStyle w:val="Hyperlink"/>
          </w:rPr>
          <w:t xml:space="preserve">https://doi.org/10.1002/9780470674871.wbespm103</w:t>
        </w:r>
      </w:hyperlink>
    </w:p>
    <w:p>
      <w:pPr>
        <w:numPr>
          <w:ilvl w:val="0"/>
          <w:numId w:val="7"/>
        </w:numPr>
        <w:spacing w:lineRule="auto"/>
      </w:pPr>
      <w:r>
        <w:rPr/>
        <w:t xml:space="preserve">de Vydt, M. (2025) Frame alignment. </w:t>
      </w:r>
      <w:r>
        <w:rPr>
          <w:i/>
        </w:rPr>
        <w:t xml:space="preserve">Elgar Encyclopedia of Political Communication: Volume 1-3</w:t>
      </w:r>
      <w:r>
        <w:rPr/>
        <w:t xml:space="preserve">. </w:t>
      </w:r>
      <w:hyperlink r:id="rId10">
        <w:r>
          <w:rPr>
            <w:rStyle w:val="Hyperlink"/>
          </w:rPr>
          <w:t xml:space="preserve">https://doi.org/10.4337/9781035301447.vol2.00016</w:t>
        </w:r>
      </w:hyperlink>
    </w:p>
    <w:p>
      <w:pPr>
        <w:numPr>
          <w:ilvl w:val="0"/>
          <w:numId w:val="7"/>
        </w:numPr>
        <w:spacing w:lineRule="auto"/>
      </w:pPr>
      <w:r>
        <w:rPr/>
        <w:t xml:space="preserve">Lavine, M., Cobb, J.A., Roussin, C.J. (2017) When saying less is something new: Social movements and frame-contraction processes. </w:t>
      </w:r>
      <w:r>
        <w:rPr>
          <w:i/>
        </w:rPr>
        <w:t xml:space="preserve">Mobilization</w:t>
      </w:r>
      <w:r>
        <w:rPr/>
        <w:t xml:space="preserve">. </w:t>
      </w:r>
      <w:hyperlink r:id="rId11">
        <w:r>
          <w:rPr>
            <w:rStyle w:val="Hyperlink"/>
          </w:rPr>
          <w:t xml:space="preserve">https://doi.org/10.17813/1086-671X-20-3-275</w:t>
        </w:r>
      </w:hyperlink>
    </w:p>
    <w:p>
      <w:pPr>
        <w:numPr>
          <w:ilvl w:val="0"/>
          <w:numId w:val="7"/>
        </w:numPr>
        <w:spacing w:lineRule="auto"/>
      </w:pPr>
      <w:r>
        <w:rPr/>
        <w:t xml:space="preserve">Lavine, M. (2012) When doing less is something new: Social movements and frame contraction processes. </w:t>
      </w:r>
      <w:r>
        <w:rPr>
          <w:i/>
        </w:rPr>
        <w:t xml:space="preserve">Academy of Management Annual Meeting Proceedings</w:t>
      </w:r>
      <w:r>
        <w:rPr/>
        <w:t xml:space="preserve">. </w:t>
      </w:r>
      <w:hyperlink r:id="rId12">
        <w:r>
          <w:rPr>
            <w:rStyle w:val="Hyperlink"/>
          </w:rPr>
          <w:t xml:space="preserve">https://doi.org/10.5465/AMBPP.2012.277</w:t>
        </w:r>
      </w:hyperlink>
    </w:p>
    <w:p>
      <w:pPr>
        <w:numPr>
          <w:ilvl w:val="0"/>
          <w:numId w:val="7"/>
        </w:numPr>
        <w:spacing w:lineRule="auto"/>
      </w:pPr>
      <w:r>
        <w:rPr/>
        <w:t xml:space="preserve">de Vydt, M., Ketelaars, P. (2021) Linking consensus to action: does frame alignment amongst sympathizers lead to protest participation?. </w:t>
      </w:r>
      <w:r>
        <w:rPr>
          <w:i/>
        </w:rPr>
        <w:t xml:space="preserve">Social Movement Studies</w:t>
      </w:r>
      <w:r>
        <w:rPr/>
        <w:t xml:space="preserve">. </w:t>
      </w:r>
      <w:hyperlink r:id="rId13">
        <w:r>
          <w:rPr>
            <w:rStyle w:val="Hyperlink"/>
          </w:rPr>
          <w:t xml:space="preserve">https://doi.org/10.1080/14742837.2020.1770071</w:t>
        </w:r>
      </w:hyperlink>
    </w:p>
    <w:p>
      <w:pPr>
        <w:numPr>
          <w:ilvl w:val="0"/>
          <w:numId w:val="7"/>
        </w:numPr>
        <w:spacing w:lineRule="auto"/>
      </w:pPr>
      <w:r>
        <w:rPr/>
        <w:t xml:space="preserve">Ketelaars, P., Walgrave, S., Wouters, R. (2014) Degrees of frame alignment: Comparing organisers’ and participants’ frames in 29 demonstrations in three countries. </w:t>
      </w:r>
      <w:r>
        <w:rPr>
          <w:i/>
        </w:rPr>
        <w:t xml:space="preserve">International Sociology</w:t>
      </w:r>
      <w:r>
        <w:rPr/>
        <w:t xml:space="preserve">. </w:t>
      </w:r>
      <w:hyperlink r:id="rId14">
        <w:r>
          <w:rPr>
            <w:rStyle w:val="Hyperlink"/>
          </w:rPr>
          <w:t xml:space="preserve">https://doi.org/10.1177/0268580914548286</w:t>
        </w:r>
      </w:hyperlink>
    </w:p>
    <w:p>
      <w:pPr>
        <w:numPr>
          <w:ilvl w:val="0"/>
          <w:numId w:val="7"/>
        </w:numPr>
        <w:spacing w:lineRule="auto"/>
      </w:pPr>
      <w:r>
        <w:rPr/>
        <w:t xml:space="preserve">Ketelaars, P., Walgrave, S., Wouters, R. (2017) Protesters on message? Explaining demonstrators’ differential degrees of frame alignment. </w:t>
      </w:r>
      <w:r>
        <w:rPr>
          <w:i/>
        </w:rPr>
        <w:t xml:space="preserve">Social Movement Studies</w:t>
      </w:r>
      <w:r>
        <w:rPr/>
        <w:t xml:space="preserve">. </w:t>
      </w:r>
      <w:hyperlink r:id="rId15">
        <w:r>
          <w:rPr>
            <w:rStyle w:val="Hyperlink"/>
          </w:rPr>
          <w:t xml:space="preserve">https://doi.org/10.1080/14742837.2017.1280387</w:t>
        </w:r>
      </w:hyperlink>
    </w:p>
    <w:p>
      <w:pPr>
        <w:numPr>
          <w:ilvl w:val="0"/>
          <w:numId w:val="7"/>
        </w:numPr>
        <w:spacing w:lineRule="auto"/>
      </w:pPr>
      <w:r>
        <w:rPr/>
        <w:t xml:space="preserve">Evans, J.H. (1997) Multi-organizational fields and social movement organization frame content: The religious pro-choice movement. </w:t>
      </w:r>
      <w:r>
        <w:rPr>
          <w:i/>
        </w:rPr>
        <w:t xml:space="preserve">Sociological Inquiry</w:t>
      </w:r>
      <w:r>
        <w:rPr/>
        <w:t xml:space="preserve">. </w:t>
      </w:r>
      <w:hyperlink r:id="rId16">
        <w:r>
          <w:rPr>
            <w:rStyle w:val="Hyperlink"/>
          </w:rPr>
          <w:t xml:space="preserve">https://doi.org/10.1111/j.1475-682X.1997.tb00447.x</w:t>
        </w:r>
      </w:hyperlink>
    </w:p>
    <w:p>
      <w:pPr>
        <w:numPr>
          <w:ilvl w:val="0"/>
          <w:numId w:val="7"/>
        </w:numPr>
        <w:spacing w:lineRule="auto"/>
      </w:pPr>
      <w:r>
        <w:rPr/>
        <w:t xml:space="preserve">Coley, J.S. (2015) Narrative and Frame Alignment in Social Movements: Labor Problem Novels and the 1929 Gastonia Strike. </w:t>
      </w:r>
      <w:r>
        <w:rPr>
          <w:i/>
        </w:rPr>
        <w:t xml:space="preserve">Social Movement Studies</w:t>
      </w:r>
      <w:r>
        <w:rPr/>
        <w:t xml:space="preserve">. </w:t>
      </w:r>
      <w:hyperlink r:id="rId17">
        <w:r>
          <w:rPr>
            <w:rStyle w:val="Hyperlink"/>
          </w:rPr>
          <w:t xml:space="preserve">https://doi.org/10.1080/14742837.2013.873861</w:t>
        </w:r>
      </w:hyperlink>
    </w:p>
    <w:p>
      <w:pPr>
        <w:numPr>
          <w:ilvl w:val="0"/>
          <w:numId w:val="7"/>
        </w:numPr>
        <w:spacing w:lineRule="auto"/>
      </w:pPr>
      <w:r>
        <w:rPr/>
        <w:t xml:space="preserve">Olsen, K.A. (2014) Telling Our Stories: Narrative and Framing in the Movement for Same-Sex Marriage. </w:t>
      </w:r>
      <w:r>
        <w:rPr>
          <w:i/>
        </w:rPr>
        <w:t xml:space="preserve">Social Movement Studies</w:t>
      </w:r>
      <w:r>
        <w:rPr/>
        <w:t xml:space="preserve">. </w:t>
      </w:r>
      <w:hyperlink r:id="rId18">
        <w:r>
          <w:rPr>
            <w:rStyle w:val="Hyperlink"/>
          </w:rPr>
          <w:t xml:space="preserve">https://doi.org/10.1080/14742837.2013.842464</w:t>
        </w:r>
      </w:hyperlink>
    </w:p>
    <w:p>
      <w:pPr>
        <w:numPr>
          <w:ilvl w:val="0"/>
          <w:numId w:val="7"/>
        </w:numPr>
        <w:spacing w:lineRule="auto"/>
      </w:pPr>
      <w:r>
        <w:rPr/>
        <w:t xml:space="preserve">Schmid, J.C.P. (2021) Narrative Framing: Storytelling, Structures, and Perspectives. </w:t>
      </w:r>
      <w:r>
        <w:rPr>
          <w:i/>
        </w:rPr>
        <w:t xml:space="preserve">Palgrave Studies in Comics and Graphic Novels</w:t>
      </w:r>
      <w:r>
        <w:rPr/>
        <w:t xml:space="preserve">. </w:t>
      </w:r>
      <w:hyperlink r:id="rId19">
        <w:r>
          <w:rPr>
            <w:rStyle w:val="Hyperlink"/>
          </w:rPr>
          <w:t xml:space="preserve">https://doi.org/10.1007/978-3-030-63303-5_5</w:t>
        </w:r>
      </w:hyperlink>
    </w:p>
    <w:p>
      <w:pPr>
        <w:numPr>
          <w:ilvl w:val="0"/>
          <w:numId w:val="7"/>
        </w:numPr>
        <w:spacing w:lineRule="auto"/>
      </w:pPr>
      <w:r>
        <w:rPr/>
        <w:t xml:space="preserve">Shanahan, E.A., Raile, E.D., French, K.A., McEvoy, J. (2018) Bounded Stories. </w:t>
      </w:r>
      <w:r>
        <w:rPr>
          <w:i/>
        </w:rPr>
        <w:t xml:space="preserve">Policy Studies Journal</w:t>
      </w:r>
      <w:r>
        <w:rPr/>
        <w:t xml:space="preserve">. </w:t>
      </w:r>
      <w:hyperlink r:id="rId20">
        <w:r>
          <w:rPr>
            <w:rStyle w:val="Hyperlink"/>
          </w:rPr>
          <w:t xml:space="preserve">https://doi.org/10.1111/psj.12269</w:t>
        </w:r>
      </w:hyperlink>
    </w:p>
    <w:p>
      <w:pPr>
        <w:numPr>
          <w:ilvl w:val="0"/>
          <w:numId w:val="7"/>
        </w:numPr>
        <w:spacing w:lineRule="auto"/>
      </w:pPr>
      <w:r>
        <w:rPr/>
        <w:t xml:space="preserve">Benford, R.D. (2013) Master Frame. </w:t>
      </w:r>
      <w:r>
        <w:rPr>
          <w:i/>
        </w:rPr>
        <w:t xml:space="preserve">The Wiley-Blackwell Encyclopedia of Social and Political Movements</w:t>
      </w:r>
      <w:r>
        <w:rPr/>
        <w:t xml:space="preserve">. </w:t>
      </w:r>
      <w:hyperlink r:id="rId21">
        <w:r>
          <w:rPr>
            <w:rStyle w:val="Hyperlink"/>
          </w:rPr>
          <w:t xml:space="preserve">https://doi.org/10.1002/9780470674871.wbespm126</w:t>
        </w:r>
      </w:hyperlink>
    </w:p>
    <w:p>
      <w:pPr>
        <w:numPr>
          <w:ilvl w:val="0"/>
          <w:numId w:val="7"/>
        </w:numPr>
        <w:spacing w:lineRule="auto"/>
      </w:pPr>
      <w:r>
        <w:rPr/>
        <w:t xml:space="preserve">Benford, R.D. (2013) Master Frame. </w:t>
      </w:r>
      <w:r>
        <w:rPr>
          <w:i/>
        </w:rPr>
        <w:t xml:space="preserve">The Wiley-Blackwell Encyclopedia of Social and Political Movements</w:t>
      </w:r>
      <w:r>
        <w:rPr/>
        <w:t xml:space="preserve">. </w:t>
      </w:r>
      <w:hyperlink r:id="rId22">
        <w:r>
          <w:rPr>
            <w:rStyle w:val="Hyperlink"/>
          </w:rPr>
          <w:t xml:space="preserve">https://doi.org/10.1002/9780470674871.wbespm126.pub2</w:t>
        </w:r>
      </w:hyperlink>
    </w:p>
    <w:p>
      <w:pPr>
        <w:numPr>
          <w:ilvl w:val="0"/>
          <w:numId w:val="7"/>
        </w:numPr>
        <w:spacing w:lineRule="auto"/>
      </w:pPr>
      <w:r>
        <w:rPr/>
        <w:t xml:space="preserve">Swart, W.J. (1995) THE LEAGUE OF NATIONS AND THE IRISH QUESTION: Master Frames, Cycles of Protest, and “Master Frame Alignment”. </w:t>
      </w:r>
      <w:r>
        <w:rPr>
          <w:i/>
        </w:rPr>
        <w:t xml:space="preserve">Sociological Quarterly</w:t>
      </w:r>
      <w:r>
        <w:rPr/>
        <w:t xml:space="preserve">. </w:t>
      </w:r>
      <w:hyperlink r:id="rId23">
        <w:r>
          <w:rPr>
            <w:rStyle w:val="Hyperlink"/>
          </w:rPr>
          <w:t xml:space="preserve">https://doi.org/10.1111/j.1533-8525.1995.tb00448.x</w:t>
        </w:r>
      </w:hyperlink>
    </w:p>
    <w:p>
      <w:pPr>
        <w:numPr>
          <w:ilvl w:val="0"/>
          <w:numId w:val="7"/>
        </w:numPr>
        <w:spacing w:lineRule="auto"/>
      </w:pPr>
      <w:r>
        <w:rPr/>
        <w:t xml:space="preserve">Benford, R.D., Snow, D.A. (2000) Framing processes and social movements: An overview and assessment. </w:t>
      </w:r>
      <w:r>
        <w:rPr>
          <w:i/>
        </w:rPr>
        <w:t xml:space="preserve">Annual Review of Sociology</w:t>
      </w:r>
      <w:r>
        <w:rPr/>
        <w:t xml:space="preserve">. </w:t>
      </w:r>
      <w:hyperlink r:id="rId24">
        <w:r>
          <w:rPr>
            <w:rStyle w:val="Hyperlink"/>
          </w:rPr>
          <w:t xml:space="preserve">https://doi.org/10.1146/annurev.soc.26.1.611</w:t>
        </w:r>
      </w:hyperlink>
    </w:p>
    <w:p>
      <w:pPr>
        <w:numPr>
          <w:ilvl w:val="0"/>
          <w:numId w:val="7"/>
        </w:numPr>
        <w:spacing w:lineRule="auto"/>
      </w:pPr>
      <w:r>
        <w:rPr/>
        <w:t xml:space="preserve">Snow, D.A., Benford, R.D., McCammon, H.J., (...), Fitzgerald, S. (2014) The emergence, development, and future of the framing perspective: 25+ years since "frame alignment". </w:t>
      </w:r>
      <w:r>
        <w:rPr>
          <w:i/>
        </w:rPr>
        <w:t xml:space="preserve">Mobilization</w:t>
      </w:r>
      <w:r>
        <w:rPr/>
        <w:t xml:space="preserve">. </w:t>
      </w:r>
      <w:hyperlink r:id="rId25">
        <w:r>
          <w:rPr>
            <w:rStyle w:val="Hyperlink"/>
          </w:rPr>
          <w:t xml:space="preserve">https://www.scopus.com/pages/publications/84910595021</w:t>
        </w:r>
      </w:hyperlink>
    </w:p>
    <w:p>
      <w:pPr>
        <w:numPr>
          <w:ilvl w:val="0"/>
          <w:numId w:val="7"/>
        </w:numPr>
        <w:spacing w:lineRule="auto"/>
      </w:pPr>
      <w:r>
        <w:rPr/>
        <w:t xml:space="preserve">Snow, D.A., Vliegenthart, R., Ketelaars, P. (2018) The Framing Perspective on Social Movements: Its Conceptual Roots and Architecture. </w:t>
      </w:r>
      <w:r>
        <w:rPr>
          <w:i/>
        </w:rPr>
        <w:t xml:space="preserve">The Wiley Blackwell Companion to Social Movements, Second Edition</w:t>
      </w:r>
      <w:r>
        <w:rPr/>
        <w:t xml:space="preserve">. </w:t>
      </w:r>
      <w:hyperlink r:id="rId26">
        <w:r>
          <w:rPr>
            <w:rStyle w:val="Hyperlink"/>
          </w:rPr>
          <w:t xml:space="preserve">https://doi.org/10.1002/9781119168577.ch22</w:t>
        </w:r>
      </w:hyperlink>
    </w:p>
    <w:p>
      <w:pPr>
        <w:numPr>
          <w:ilvl w:val="0"/>
          <w:numId w:val="7"/>
        </w:numPr>
        <w:spacing w:lineRule="auto"/>
      </w:pPr>
      <w:r>
        <w:rPr/>
        <w:t xml:space="preserve">Dijk van, T.A. (2023) Analyzing frame analysis: A critical review of framing studies in social movement research. </w:t>
      </w:r>
      <w:r>
        <w:rPr>
          <w:i/>
        </w:rPr>
        <w:t xml:space="preserve">Discourse Studies</w:t>
      </w:r>
      <w:r>
        <w:rPr/>
        <w:t xml:space="preserve">. </w:t>
      </w:r>
      <w:hyperlink r:id="rId27">
        <w:r>
          <w:rPr>
            <w:rStyle w:val="Hyperlink"/>
          </w:rPr>
          <w:t xml:space="preserve">https://doi.org/10.1177/14614456231155080</w:t>
        </w:r>
      </w:hyperlink>
    </w:p>
    <w:p>
      <w:pPr>
        <w:numPr>
          <w:ilvl w:val="0"/>
          <w:numId w:val="7"/>
        </w:numPr>
        <w:spacing w:lineRule="auto"/>
      </w:pPr>
      <w:r>
        <w:rPr/>
        <w:t xml:space="preserve">Vicari, S. (2010) Measuring collective action frames: A linguistic approach to frame analysis. </w:t>
      </w:r>
      <w:r>
        <w:rPr>
          <w:i/>
        </w:rPr>
        <w:t xml:space="preserve">Poetics</w:t>
      </w:r>
      <w:r>
        <w:rPr/>
        <w:t xml:space="preserve">. </w:t>
      </w:r>
      <w:hyperlink r:id="rId28">
        <w:r>
          <w:rPr>
            <w:rStyle w:val="Hyperlink"/>
          </w:rPr>
          <w:t xml:space="preserve">https://doi.org/10.1016/j.poetic.2010.07.002</w:t>
        </w:r>
      </w:hyperlink>
    </w:p>
    <w:p>
      <w:pPr>
        <w:numPr>
          <w:ilvl w:val="0"/>
          <w:numId w:val="7"/>
        </w:numPr>
        <w:spacing w:lineRule="auto"/>
      </w:pPr>
      <w:r>
        <w:rPr/>
        <w:t xml:space="preserve">Chan, C.-H., Freudenthaler, R., Müller, P. (2024) Developing a synthetic news corpus to validate generic frame detection methods. </w:t>
      </w:r>
      <w:r>
        <w:rPr>
          <w:i/>
        </w:rPr>
        <w:t xml:space="preserve">Studies in Communication and Media</w:t>
      </w:r>
      <w:r>
        <w:rPr/>
        <w:t xml:space="preserve">. </w:t>
      </w:r>
      <w:hyperlink r:id="rId29">
        <w:r>
          <w:rPr>
            <w:rStyle w:val="Hyperlink"/>
          </w:rPr>
          <w:t xml:space="preserve">https://doi.org/10.5771/2192-4007-2024-1-101</w:t>
        </w:r>
      </w:hyperlink>
    </w:p>
    <w:p>
      <w:pPr>
        <w:numPr>
          <w:ilvl w:val="0"/>
          <w:numId w:val="7"/>
        </w:numPr>
        <w:spacing w:lineRule="auto"/>
      </w:pPr>
      <w:r>
        <w:rPr/>
        <w:t xml:space="preserve">Kermani, H., Makou, A.B., Tafreshi, A., (...), Nojoumi, A. (2024) Computational vs. qualitative: analyzing different approaches in identifying networked frames during the Covid-19 crisis. </w:t>
      </w:r>
      <w:r>
        <w:rPr>
          <w:i/>
        </w:rPr>
        <w:t xml:space="preserve">International Journal of Social Research Methodology</w:t>
      </w:r>
      <w:r>
        <w:rPr/>
        <w:t xml:space="preserve">. </w:t>
      </w:r>
      <w:hyperlink r:id="rId30">
        <w:r>
          <w:rPr>
            <w:rStyle w:val="Hyperlink"/>
          </w:rPr>
          <w:t xml:space="preserve">https://doi.org/10.1080/13645579.2023.2186566</w:t>
        </w:r>
      </w:hyperlink>
    </w:p>
    <w:p>
      <w:pPr>
        <w:numPr>
          <w:ilvl w:val="0"/>
          <w:numId w:val="7"/>
        </w:numPr>
        <w:spacing w:lineRule="auto"/>
      </w:pPr>
      <w:r>
        <w:rPr/>
        <w:t xml:space="preserve">Eisele, O., Heidenreich, T., Litvyak, O., Boomgaarden, H.G. (2023) Capturing a News Frame–Comparing Machine-Learning Approaches to Frame Analysis with Different Degrees of Supervision. </w:t>
      </w:r>
      <w:r>
        <w:rPr>
          <w:i/>
        </w:rPr>
        <w:t xml:space="preserve">Communication Methods and Measures</w:t>
      </w:r>
      <w:r>
        <w:rPr/>
        <w:t xml:space="preserve">. </w:t>
      </w:r>
      <w:hyperlink r:id="rId31">
        <w:r>
          <w:rPr>
            <w:rStyle w:val="Hyperlink"/>
          </w:rPr>
          <w:t xml:space="preserve">https://doi.org/10.1080/19312458.2023.2230560</w:t>
        </w:r>
      </w:hyperlink>
    </w:p>
    <w:p>
      <w:pPr>
        <w:numPr>
          <w:ilvl w:val="0"/>
          <w:numId w:val="7"/>
        </w:numPr>
        <w:spacing w:lineRule="auto"/>
      </w:pPr>
      <w:r>
        <w:rPr/>
        <w:t xml:space="preserve">Nicholls, T., Culpepper, P.D. (2021) Computational Identification of Media Frames: Strengths, Weaknesses, and Opportunities. </w:t>
      </w:r>
      <w:r>
        <w:rPr>
          <w:i/>
        </w:rPr>
        <w:t xml:space="preserve">Political Communication</w:t>
      </w:r>
      <w:r>
        <w:rPr/>
        <w:t xml:space="preserve">. </w:t>
      </w:r>
      <w:hyperlink r:id="rId32">
        <w:r>
          <w:rPr>
            <w:rStyle w:val="Hyperlink"/>
          </w:rPr>
          <w:t xml:space="preserve">https://doi.org/10.1080/10584609.2020.1812777</w:t>
        </w:r>
      </w:hyperlink>
    </w:p>
    <w:p>
      <w:pPr>
        <w:numPr>
          <w:ilvl w:val="0"/>
          <w:numId w:val="7"/>
        </w:numPr>
        <w:spacing w:lineRule="auto"/>
      </w:pPr>
      <w:r>
        <w:rPr/>
        <w:t xml:space="preserve">Andrejevic, Mark, O’Neill, Chris (2024) Framing Indigenous protest in the online public sphere: A comparative frame analysis. </w:t>
      </w:r>
      <w:r>
        <w:rPr>
          <w:i/>
        </w:rPr>
        <w:t xml:space="preserve">New Media &amp; Society</w:t>
      </w:r>
      <w:r>
        <w:rPr/>
        <w:t xml:space="preserve">. </w:t>
      </w:r>
      <w:hyperlink r:id="rId33">
        <w:r>
          <w:rPr>
            <w:rStyle w:val="Hyperlink"/>
          </w:rPr>
          <w:t xml:space="preserve">https://doi.org/10.1177/14614448221074705</w:t>
        </w:r>
      </w:hyperlink>
    </w:p>
    <w:p>
      <w:pPr>
        <w:numPr>
          <w:ilvl w:val="0"/>
          <w:numId w:val="7"/>
        </w:numPr>
        <w:spacing w:lineRule="auto"/>
      </w:pPr>
      <w:r>
        <w:rPr/>
        <w:t xml:space="preserve">Hamilton, W. (2016) Framing Vision: An Examination of Framing, Sensegiving, and Sensemaking During a Change Initiative. </w:t>
      </w:r>
      <w:r>
        <w:rPr>
          <w:i/>
        </w:rPr>
        <w:t xml:space="preserve">Community College Journal of Research and Practice</w:t>
      </w:r>
      <w:r>
        <w:rPr/>
        <w:t xml:space="preserve">. </w:t>
      </w:r>
      <w:hyperlink r:id="rId34">
        <w:r>
          <w:rPr>
            <w:rStyle w:val="Hyperlink"/>
          </w:rPr>
          <w:t xml:space="preserve">https://doi.org/10.1080/10668926.2016.1138906</w:t>
        </w:r>
      </w:hyperlink>
    </w:p>
    <w:p>
      <w:pPr>
        <w:numPr>
          <w:ilvl w:val="0"/>
          <w:numId w:val="7"/>
        </w:numPr>
        <w:spacing w:lineRule="auto"/>
      </w:pPr>
      <w:r>
        <w:rPr/>
        <w:t xml:space="preserve">Walter, D., Ophir, Y. (2019) News Frame Analysis: An Inductive Mixed-method Computational Approach. </w:t>
      </w:r>
      <w:r>
        <w:rPr>
          <w:i/>
        </w:rPr>
        <w:t xml:space="preserve">Communication Methods and Measures</w:t>
      </w:r>
      <w:r>
        <w:rPr/>
        <w:t xml:space="preserve">. </w:t>
      </w:r>
      <w:hyperlink r:id="rId35">
        <w:r>
          <w:rPr>
            <w:rStyle w:val="Hyperlink"/>
          </w:rPr>
          <w:t xml:space="preserve">https://doi.org/10.1080/19312458.2019.1639145</w:t>
        </w:r>
      </w:hyperlink>
    </w:p>
    <w:p>
      <w:pPr>
        <w:numPr>
          <w:ilvl w:val="0"/>
          <w:numId w:val="7"/>
        </w:numPr>
        <w:spacing w:lineRule="auto"/>
      </w:pPr>
      <w:r>
        <w:rPr/>
        <w:t xml:space="preserve">Watkins, B.A., Woods, C.L. (2024) Confronting controversial content: Examining online narratives and frames in #CancelSpotify and #NetflixWalkout. </w:t>
      </w:r>
      <w:r>
        <w:rPr>
          <w:i/>
        </w:rPr>
        <w:t xml:space="preserve">Public Relations Review</w:t>
      </w:r>
      <w:r>
        <w:rPr/>
        <w:t xml:space="preserve">. </w:t>
      </w:r>
      <w:hyperlink r:id="rId36">
        <w:r>
          <w:rPr>
            <w:rStyle w:val="Hyperlink"/>
          </w:rPr>
          <w:t xml:space="preserve">https://doi.org/10.1016/j.pubrev.2024.102494</w:t>
        </w:r>
      </w:hyperlink>
    </w:p>
    <w:p>
      <w:pPr>
        <w:numPr>
          <w:ilvl w:val="0"/>
          <w:numId w:val="7"/>
        </w:numPr>
        <w:spacing w:lineRule="auto"/>
      </w:pPr>
      <w:r>
        <w:rPr/>
        <w:t xml:space="preserve">Chen, Bin, Lukito, Josephine, Koo, Gyo Hyun (2023) Comparing the #StopTheSteal Movement across Multiple Platforms: Differentiating Discourse on Facebook, Twitter, and Parler. </w:t>
      </w:r>
      <w:r>
        <w:rPr>
          <w:i/>
        </w:rPr>
        <w:t xml:space="preserve">Social Media + Society</w:t>
      </w:r>
      <w:r>
        <w:rPr/>
        <w:t xml:space="preserve">. </w:t>
      </w:r>
      <w:hyperlink r:id="rId37">
        <w:r>
          <w:rPr>
            <w:rStyle w:val="Hyperlink"/>
          </w:rPr>
          <w:t xml:space="preserve">https://doi.org/10.1177/20563051231196879</w:t>
        </w:r>
      </w:hyperlink>
    </w:p>
    <w:p>
      <w:pPr>
        <w:numPr>
          <w:ilvl w:val="0"/>
          <w:numId w:val="7"/>
        </w:numPr>
        <w:spacing w:lineRule="auto"/>
      </w:pPr>
      <w:r>
        <w:rPr/>
        <w:t xml:space="preserve">Kim, C.J. (2021) SCOPE MISMATCH: EXPLAINING THE EXPANSION OF ANTI-MILITARY INFRASTRUCTURE-SITING CAMPAIGNS. </w:t>
      </w:r>
      <w:r>
        <w:rPr>
          <w:i/>
        </w:rPr>
        <w:t xml:space="preserve">Mobilization</w:t>
      </w:r>
      <w:r>
        <w:rPr/>
        <w:t xml:space="preserve">. </w:t>
      </w:r>
      <w:hyperlink r:id="rId38">
        <w:r>
          <w:rPr>
            <w:rStyle w:val="Hyperlink"/>
          </w:rPr>
          <w:t xml:space="preserve">https://doi.org/10.17813/1086-671X-26-1-109</w:t>
        </w:r>
      </w:hyperlink>
    </w:p>
    <w:p>
      <w:pPr>
        <w:numPr>
          <w:ilvl w:val="0"/>
          <w:numId w:val="7"/>
        </w:numPr>
        <w:spacing w:lineRule="auto"/>
      </w:pPr>
      <w:r>
        <w:rPr/>
        <w:t xml:space="preserve">Cornfield, D.B., Fletcher, B. (1998) Institutional constraints on social movement "frame extension": Shifts in the legislative agenda of the American Federation of Labor, 1881-1955. </w:t>
      </w:r>
      <w:r>
        <w:rPr>
          <w:i/>
        </w:rPr>
        <w:t xml:space="preserve">Social Forces</w:t>
      </w:r>
      <w:r>
        <w:rPr/>
        <w:t xml:space="preserve">. </w:t>
      </w:r>
      <w:hyperlink r:id="rId39">
        <w:r>
          <w:rPr>
            <w:rStyle w:val="Hyperlink"/>
          </w:rPr>
          <w:t xml:space="preserve">https://doi.org/10.1093/sf/76.4.1305</w:t>
        </w:r>
      </w:hyperlink>
    </w:p>
    <w:p>
      <w:pPr>
        <w:numPr>
          <w:ilvl w:val="0"/>
          <w:numId w:val="7"/>
        </w:numPr>
        <w:spacing w:lineRule="auto"/>
      </w:pPr>
      <w:r>
        <w:rPr/>
        <w:t xml:space="preserve">Harlow, Summer (2012) Social media and social movements: Facebook and an online Guatemalan justice movement that moved offline. </w:t>
      </w:r>
      <w:r>
        <w:rPr>
          <w:i/>
        </w:rPr>
        <w:t xml:space="preserve">New Media &amp; Society</w:t>
      </w:r>
      <w:r>
        <w:rPr/>
        <w:t xml:space="preserve">. </w:t>
      </w:r>
      <w:hyperlink r:id="rId40">
        <w:r>
          <w:rPr>
            <w:rStyle w:val="Hyperlink"/>
          </w:rPr>
          <w:t xml:space="preserve">https://doi.org/10.1177/1461444811410408</w:t>
        </w:r>
      </w:hyperlink>
    </w:p>
    <w:p>
      <w:pPr>
        <w:numPr>
          <w:ilvl w:val="0"/>
          <w:numId w:val="7"/>
        </w:numPr>
        <w:spacing w:lineRule="auto"/>
      </w:pPr>
      <w:r>
        <w:rPr/>
        <w:t xml:space="preserve">Neukirch, M. (2020) Grinding the grid: Contextualizing protest networks against energy transmission projects in Southern Germany. </w:t>
      </w:r>
      <w:r>
        <w:rPr>
          <w:i/>
        </w:rPr>
        <w:t xml:space="preserve">Energy Research and Social Science</w:t>
      </w:r>
      <w:r>
        <w:rPr/>
        <w:t xml:space="preserve">. </w:t>
      </w:r>
      <w:hyperlink r:id="rId41">
        <w:r>
          <w:rPr>
            <w:rStyle w:val="Hyperlink"/>
          </w:rPr>
          <w:t xml:space="preserve">https://doi.org/10.1016/j.erss.2020.101585</w:t>
        </w:r>
      </w:hyperlink>
    </w:p>
    <w:p>
      <w:pPr>
        <w:numPr>
          <w:ilvl w:val="0"/>
          <w:numId w:val="7"/>
        </w:numPr>
        <w:spacing w:lineRule="auto"/>
      </w:pPr>
      <w:r>
        <w:rPr/>
        <w:t xml:space="preserve">Edmunds, E., Gupta, A. (2016) Headline violence and silenced pleasure: contested framings of consensual sex, power and rape in Delhi, India 2011-2014. </w:t>
      </w:r>
      <w:r>
        <w:rPr>
          <w:i/>
        </w:rPr>
        <w:t xml:space="preserve">Reproductive Health Matters</w:t>
      </w:r>
      <w:r>
        <w:rPr/>
        <w:t xml:space="preserve">. </w:t>
      </w:r>
      <w:hyperlink r:id="rId42">
        <w:r>
          <w:rPr>
            <w:rStyle w:val="Hyperlink"/>
          </w:rPr>
          <w:t xml:space="preserve">https://doi.org/10.1016/j.rhm.2016.06.004</w:t>
        </w:r>
      </w:hyperlink>
    </w:p>
    <w:p>
      <w:pPr>
        <w:numPr>
          <w:ilvl w:val="0"/>
          <w:numId w:val="7"/>
        </w:numPr>
        <w:spacing w:lineRule="auto"/>
      </w:pPr>
      <w:r>
        <w:rPr/>
        <w:t xml:space="preserve">Mack, P., Kremer, J., Kleinschmit, D. (2023) Forest dieback reframed and revisited? Forests (re)negotiated in the German media between forestry and nature conservation. </w:t>
      </w:r>
      <w:r>
        <w:rPr>
          <w:i/>
        </w:rPr>
        <w:t xml:space="preserve">Forest Policy and Economics</w:t>
      </w:r>
      <w:r>
        <w:rPr/>
        <w:t xml:space="preserve">. </w:t>
      </w:r>
      <w:hyperlink r:id="rId43">
        <w:r>
          <w:rPr>
            <w:rStyle w:val="Hyperlink"/>
          </w:rPr>
          <w:t xml:space="preserve">https://doi.org/10.1016/j.forpol.2022.102883</w:t>
        </w:r>
      </w:hyperlink>
    </w:p>
    <w:p>
      <w:pPr>
        <w:numPr>
          <w:ilvl w:val="0"/>
          <w:numId w:val="7"/>
        </w:numPr>
        <w:spacing w:lineRule="auto"/>
      </w:pPr>
      <w:r>
        <w:rPr/>
        <w:t xml:space="preserve">Chen, Bin, Lukito, Josephine, Koo, Gyo Hyun (2023) Comparing the #StopTheSteal Movement across Multiple Platforms: Differentiating Discourse on Facebook, Twitter, and Parler. </w:t>
      </w:r>
      <w:r>
        <w:rPr>
          <w:i/>
        </w:rPr>
        <w:t xml:space="preserve">Social Media + Society</w:t>
      </w:r>
      <w:r>
        <w:rPr/>
        <w:t xml:space="preserve">. </w:t>
      </w:r>
      <w:hyperlink r:id="rId44">
        <w:r>
          <w:rPr>
            <w:rStyle w:val="Hyperlink"/>
          </w:rPr>
          <w:t xml:space="preserve">https://doi.org/10.1177/20563051231196879</w:t>
        </w:r>
      </w:hyperlink>
    </w:p>
    <w:p>
      <w:pPr>
        <w:numPr>
          <w:ilvl w:val="0"/>
          <w:numId w:val="7"/>
        </w:numPr>
        <w:spacing w:lineRule="auto"/>
      </w:pPr>
      <w:r>
        <w:rPr/>
        <w:t xml:space="preserve">McVeigh, R., Myers, D.J., Sikkink, D. (2004) Corn, Klansmen, and Coolidge: Structure and framing in social movements. </w:t>
      </w:r>
      <w:r>
        <w:rPr>
          <w:i/>
        </w:rPr>
        <w:t xml:space="preserve">Social Forces</w:t>
      </w:r>
      <w:r>
        <w:rPr/>
        <w:t xml:space="preserve">. </w:t>
      </w:r>
      <w:hyperlink r:id="rId45">
        <w:r>
          <w:rPr>
            <w:rStyle w:val="Hyperlink"/>
          </w:rPr>
          <w:t xml:space="preserve">https://doi.org/10.1353/sof.2005.0019</w:t>
        </w:r>
      </w:hyperlink>
    </w:p>
    <w:p>
      <w:pPr>
        <w:numPr>
          <w:ilvl w:val="0"/>
          <w:numId w:val="7"/>
        </w:numPr>
        <w:spacing w:lineRule="auto"/>
      </w:pPr>
      <w:r>
        <w:rPr/>
        <w:t xml:space="preserve">Benden, D.K., Lauermann, F. (2023) Searching for short-term motivational alignment and spillover effects: A random intercept cross-lagged analysis of students’ expectancies and task values in math-intensive study programs. </w:t>
      </w:r>
      <w:r>
        <w:rPr>
          <w:i/>
        </w:rPr>
        <w:t xml:space="preserve">Contemporary Educational Psychology</w:t>
      </w:r>
      <w:r>
        <w:rPr/>
        <w:t xml:space="preserve">. </w:t>
      </w:r>
      <w:hyperlink r:id="rId46">
        <w:r>
          <w:rPr>
            <w:rStyle w:val="Hyperlink"/>
          </w:rPr>
          <w:t xml:space="preserve">https://doi.org/10.1016/j.cedpsych.2023.102166</w:t>
        </w:r>
      </w:hyperlink>
    </w:p>
    <w:p>
      <w:pPr>
        <w:numPr>
          <w:ilvl w:val="0"/>
          <w:numId w:val="7"/>
        </w:numPr>
        <w:spacing w:lineRule="auto"/>
      </w:pPr>
      <w:r>
        <w:rPr/>
        <w:t xml:space="preserve">Jung, Y.-H., Huang, Z.-X. (2024) Seeking the high ground: Exploring advocacy groups' use of policy narratives in the legalization of same-sex marriage in Taiwan. </w:t>
      </w:r>
      <w:r>
        <w:rPr>
          <w:i/>
        </w:rPr>
        <w:t xml:space="preserve">Policy Studies Journal</w:t>
      </w:r>
      <w:r>
        <w:rPr/>
        <w:t xml:space="preserve">. </w:t>
      </w:r>
      <w:hyperlink r:id="rId47">
        <w:r>
          <w:rPr>
            <w:rStyle w:val="Hyperlink"/>
          </w:rPr>
          <w:t xml:space="preserve">https://doi.org/10.1111/psj.12542</w:t>
        </w:r>
      </w:hyperlink>
    </w:p>
    <w:p>
      <w:pPr>
        <w:numPr>
          <w:ilvl w:val="0"/>
          <w:numId w:val="7"/>
        </w:numPr>
        <w:spacing w:lineRule="auto"/>
      </w:pPr>
      <w:r>
        <w:rPr/>
        <w:t xml:space="preserve">Yang, X., Qiu, H., Zhu, R. (2023) Bargaining with patriarchy or converting men into pro-feminists: social-mediated frame alignment in feminist connective activism. </w:t>
      </w:r>
      <w:r>
        <w:rPr>
          <w:i/>
        </w:rPr>
        <w:t xml:space="preserve">Feminist Media Studies</w:t>
      </w:r>
      <w:r>
        <w:rPr/>
        <w:t xml:space="preserve">. </w:t>
      </w:r>
      <w:hyperlink r:id="rId48">
        <w:r>
          <w:rPr>
            <w:rStyle w:val="Hyperlink"/>
          </w:rPr>
          <w:t xml:space="preserve">https://doi.org/10.1080/14680777.2022.2075909</w:t>
        </w:r>
      </w:hyperlink>
    </w:p>
    <w:p>
      <w:pPr>
        <w:numPr>
          <w:ilvl w:val="0"/>
          <w:numId w:val="7"/>
        </w:numPr>
        <w:spacing w:lineRule="auto"/>
      </w:pPr>
      <w:r>
        <w:rPr/>
        <w:t xml:space="preserve">Xu, E. (2020) A generalisable model for frame identification: towards an integrative approach. </w:t>
      </w:r>
      <w:r>
        <w:rPr>
          <w:i/>
        </w:rPr>
        <w:t xml:space="preserve">Communication Research and Practice</w:t>
      </w:r>
      <w:r>
        <w:rPr/>
        <w:t xml:space="preserve">. </w:t>
      </w:r>
      <w:hyperlink r:id="rId49">
        <w:r>
          <w:rPr>
            <w:rStyle w:val="Hyperlink"/>
          </w:rPr>
          <w:t xml:space="preserve">https://doi.org/10.1080/22041451.2020.1759925</w:t>
        </w:r>
      </w:hyperlink>
    </w:p>
    <w:p>
      <w:pPr>
        <w:numPr>
          <w:ilvl w:val="0"/>
          <w:numId w:val="7"/>
        </w:numPr>
        <w:spacing w:lineRule="auto"/>
      </w:pPr>
      <w:r>
        <w:rPr/>
        <w:t xml:space="preserve">Vaughan, E. (2010) How can teachers use a corpus for their own research?. </w:t>
      </w:r>
      <w:r>
        <w:rPr>
          <w:i/>
        </w:rPr>
        <w:t xml:space="preserve">The Routledge Handbook of Corpus Linguistics</w:t>
      </w:r>
      <w:r>
        <w:rPr/>
        <w:t xml:space="preserve">. </w:t>
      </w:r>
      <w:hyperlink r:id="rId50">
        <w:r>
          <w:rPr>
            <w:rStyle w:val="Hyperlink"/>
          </w:rPr>
          <w:t xml:space="preserve">https://doi.org/10.4324/9780203856949-40</w:t>
        </w:r>
      </w:hyperlink>
    </w:p>
    <w:p>
      <w:pPr>
        <w:numPr>
          <w:ilvl w:val="0"/>
          <w:numId w:val="7"/>
        </w:numPr>
        <w:spacing w:lineRule="auto"/>
      </w:pPr>
      <w:r>
        <w:rPr/>
        <w:t xml:space="preserve">O’Halloran, K. (2010) How to use corpus linguistics in the study of media discourse. </w:t>
      </w:r>
      <w:r>
        <w:rPr>
          <w:i/>
        </w:rPr>
        <w:t xml:space="preserve">The Routledge Handbook of Corpus Linguistics</w:t>
      </w:r>
      <w:r>
        <w:rPr/>
        <w:t xml:space="preserve">. </w:t>
      </w:r>
      <w:hyperlink r:id="rId51">
        <w:r>
          <w:rPr>
            <w:rStyle w:val="Hyperlink"/>
          </w:rPr>
          <w:t xml:space="preserve">https://doi.org/10.4324/9780203856949-48</w:t>
        </w:r>
      </w:hyperlink>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6">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start w:val="1"/>
      <w:numFmt w:val="bullet"/>
      <w:lvlText w:val=""/>
      <w:lvlJc w:val="left"/>
      <w:pPr>
        <w:tabs>
          <w:tab w:val="num" w:pos="6480"/>
        </w:tabs>
        <w:ind w:left="6480" w:hanging="360"/>
      </w:pPr>
      <w:rPr>
        <w:rFonts w:ascii="Symbol" w:hAnsi="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2"/>
        <w:lang w:val="en-US" w:eastAsia="en-US" w:bidi="ar-SA"/>
      </w:rPr>
    </w:rPrDefault>
    <w:pPrDefault>
      <w:pPr>
        <w:spacing w:after="120" w:line="240" w:lineRule="atLeast"/>
      </w:pPr>
    </w:pPrDefault>
  </w:docDefaults>
  <w:style w:type="paragraph" w:styleId="Normal" w:default="1">
    <w:name w:val="normal"/>
  </w:style>
  <w:style w:type="character" w:styleId="Hyperlink">
    <w:name w:val="Hyperlink"/>
    <w:rPr>
      <w:color w:val="0000FF"/>
      <w:u w:val="single"/>
    </w:rPr>
  </w:style>
  <w:style w:type="paragraph" w:styleId="Heading1">
    <w:name w:val="heading 1"/>
    <w:basedOn w:val="Normal"/>
    <w:next w:val="Normal"/>
    <w:uiPriority w:val="9"/>
    <w:qFormat/>
    <w:pPr>
      <w:keepNext/>
      <w:keepLines/>
      <w:spacing w:before="240" w:after="120"/>
      <w:outlineLvl w:val="0"/>
    </w:pPr>
    <w:rPr>
      <w:sz w:val="40"/>
      <w:szCs w:val="40"/>
    </w:rPr>
  </w:style>
  <w:style w:type="paragraph" w:styleId="Heading2">
    <w:name w:val="heading 2"/>
    <w:basedOn w:val="Normal"/>
    <w:next w:val="Normal"/>
    <w:uiPriority w:val="9"/>
    <w:unhideWhenUsed/>
    <w:qFormat/>
    <w:pPr>
      <w:keepNext/>
      <w:keepLines/>
      <w:spacing w:before="200" w:after="80"/>
      <w:outlineLvl w:val="1"/>
    </w:pPr>
    <w:rPr>
      <w:sz w:val="26"/>
      <w:szCs w:val="26"/>
    </w:rPr>
  </w:style>
  <w:style w:type="paragraph" w:styleId="Heading3">
    <w:name w:val="heading 3"/>
    <w:basedOn w:val="Normal"/>
    <w:next w:val="Normal"/>
    <w:uiPriority w:val="9"/>
    <w:semiHidden/>
    <w:unhideWhenUsed/>
    <w:qFormat/>
    <w:pPr>
      <w:keepNext/>
      <w:keepLines/>
      <w:spacing w:before="160" w:after="60"/>
      <w:outlineLvl w:val="2"/>
    </w:pPr>
    <w:rPr>
      <w:sz w:val="23"/>
      <w:szCs w:val="23"/>
    </w:rPr>
  </w:style>
  <w:style w:type="paragraph" w:styleId="Heading4">
    <w:name w:val="heading 4"/>
    <w:basedOn w:val="Normal"/>
    <w:next w:val="Normal"/>
    <w:uiPriority w:val="9"/>
    <w:semiHidden/>
    <w:unhideWhenUsed/>
    <w:qFormat/>
    <w:pPr>
      <w:keepNext/>
      <w:keepLines/>
      <w:spacing w:before="120" w:after="40"/>
      <w:outlineLvl w:val="3"/>
    </w:pPr>
    <w:rPr>
      <w:sz w:val="21"/>
      <w:szCs w:val="21"/>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hyperlink" Target="https://doi.org/10.3389/fdata.2025.1569623" TargetMode="External"/>
  <Relationship Id="rId7" Type="http://schemas.openxmlformats.org/officeDocument/2006/relationships/hyperlink" Target="https://doi.org/10.1057/s41599-022-01384-1" TargetMode="External"/>
  <Relationship Id="rId8" Type="http://schemas.openxmlformats.org/officeDocument/2006/relationships/hyperlink" Target="https://doi.org/10.1002/9780470674871.wbespm103.pub2" TargetMode="External"/>
  <Relationship Id="rId9" Type="http://schemas.openxmlformats.org/officeDocument/2006/relationships/hyperlink" Target="https://doi.org/10.1002/9780470674871.wbespm103" TargetMode="External"/>
  <Relationship Id="rId10" Type="http://schemas.openxmlformats.org/officeDocument/2006/relationships/hyperlink" Target="https://doi.org/10.4337/9781035301447.vol2.00016" TargetMode="External"/>
  <Relationship Id="rId11" Type="http://schemas.openxmlformats.org/officeDocument/2006/relationships/hyperlink" Target="https://doi.org/10.17813/1086-671X-20-3-275" TargetMode="External"/>
  <Relationship Id="rId12" Type="http://schemas.openxmlformats.org/officeDocument/2006/relationships/hyperlink" Target="https://doi.org/10.5465/AMBPP.2012.277" TargetMode="External"/>
  <Relationship Id="rId13" Type="http://schemas.openxmlformats.org/officeDocument/2006/relationships/hyperlink" Target="https://doi.org/10.1080/14742837.2020.1770071" TargetMode="External"/>
  <Relationship Id="rId14" Type="http://schemas.openxmlformats.org/officeDocument/2006/relationships/hyperlink" Target="https://doi.org/10.1177/0268580914548286" TargetMode="External"/>
  <Relationship Id="rId15" Type="http://schemas.openxmlformats.org/officeDocument/2006/relationships/hyperlink" Target="https://doi.org/10.1080/14742837.2017.1280387" TargetMode="External"/>
  <Relationship Id="rId16" Type="http://schemas.openxmlformats.org/officeDocument/2006/relationships/hyperlink" Target="https://doi.org/10.1111/j.1475-682X.1997.tb00447.x" TargetMode="External"/>
  <Relationship Id="rId17" Type="http://schemas.openxmlformats.org/officeDocument/2006/relationships/hyperlink" Target="https://doi.org/10.1080/14742837.2013.873861" TargetMode="External"/>
  <Relationship Id="rId18" Type="http://schemas.openxmlformats.org/officeDocument/2006/relationships/hyperlink" Target="https://doi.org/10.1080/14742837.2013.842464" TargetMode="External"/>
  <Relationship Id="rId19" Type="http://schemas.openxmlformats.org/officeDocument/2006/relationships/hyperlink" Target="https://doi.org/10.1007/978-3-030-63303-5_5" TargetMode="External"/>
  <Relationship Id="rId20" Type="http://schemas.openxmlformats.org/officeDocument/2006/relationships/hyperlink" Target="https://doi.org/10.1111/psj.12269" TargetMode="External"/>
  <Relationship Id="rId21" Type="http://schemas.openxmlformats.org/officeDocument/2006/relationships/hyperlink" Target="https://doi.org/10.1002/9780470674871.wbespm126" TargetMode="External"/>
  <Relationship Id="rId22" Type="http://schemas.openxmlformats.org/officeDocument/2006/relationships/hyperlink" Target="https://doi.org/10.1002/9780470674871.wbespm126.pub2" TargetMode="External"/>
  <Relationship Id="rId23" Type="http://schemas.openxmlformats.org/officeDocument/2006/relationships/hyperlink" Target="https://doi.org/10.1111/j.1533-8525.1995.tb00448.x" TargetMode="External"/>
  <Relationship Id="rId24" Type="http://schemas.openxmlformats.org/officeDocument/2006/relationships/hyperlink" Target="https://doi.org/10.1146/annurev.soc.26.1.611" TargetMode="External"/>
  <Relationship Id="rId25" Type="http://schemas.openxmlformats.org/officeDocument/2006/relationships/hyperlink" Target="https://www.scopus.com/pages/publications/84910595021" TargetMode="External"/>
  <Relationship Id="rId26" Type="http://schemas.openxmlformats.org/officeDocument/2006/relationships/hyperlink" Target="https://doi.org/10.1002/9781119168577.ch22" TargetMode="External"/>
  <Relationship Id="rId27" Type="http://schemas.openxmlformats.org/officeDocument/2006/relationships/hyperlink" Target="https://doi.org/10.1177/14614456231155080" TargetMode="External"/>
  <Relationship Id="rId28" Type="http://schemas.openxmlformats.org/officeDocument/2006/relationships/hyperlink" Target="https://doi.org/10.1016/j.poetic.2010.07.002" TargetMode="External"/>
  <Relationship Id="rId29" Type="http://schemas.openxmlformats.org/officeDocument/2006/relationships/hyperlink" Target="https://doi.org/10.5771/2192-4007-2024-1-101" TargetMode="External"/>
  <Relationship Id="rId30" Type="http://schemas.openxmlformats.org/officeDocument/2006/relationships/hyperlink" Target="https://doi.org/10.1080/13645579.2023.2186566" TargetMode="External"/>
  <Relationship Id="rId31" Type="http://schemas.openxmlformats.org/officeDocument/2006/relationships/hyperlink" Target="https://doi.org/10.1080/19312458.2023.2230560" TargetMode="External"/>
  <Relationship Id="rId32" Type="http://schemas.openxmlformats.org/officeDocument/2006/relationships/hyperlink" Target="https://doi.org/10.1080/10584609.2020.1812777" TargetMode="External"/>
  <Relationship Id="rId33" Type="http://schemas.openxmlformats.org/officeDocument/2006/relationships/hyperlink" Target="https://doi.org/10.1177/14614448221074705" TargetMode="External"/>
  <Relationship Id="rId34" Type="http://schemas.openxmlformats.org/officeDocument/2006/relationships/hyperlink" Target="https://doi.org/10.1080/10668926.2016.1138906" TargetMode="External"/>
  <Relationship Id="rId35" Type="http://schemas.openxmlformats.org/officeDocument/2006/relationships/hyperlink" Target="https://doi.org/10.1080/19312458.2019.1639145" TargetMode="External"/>
  <Relationship Id="rId36" Type="http://schemas.openxmlformats.org/officeDocument/2006/relationships/hyperlink" Target="https://doi.org/10.1016/j.pubrev.2024.102494" TargetMode="External"/>
  <Relationship Id="rId37" Type="http://schemas.openxmlformats.org/officeDocument/2006/relationships/hyperlink" Target="https://doi.org/10.1177/20563051231196879" TargetMode="External"/>
  <Relationship Id="rId38" Type="http://schemas.openxmlformats.org/officeDocument/2006/relationships/hyperlink" Target="https://doi.org/10.17813/1086-671X-26-1-109" TargetMode="External"/>
  <Relationship Id="rId39" Type="http://schemas.openxmlformats.org/officeDocument/2006/relationships/hyperlink" Target="https://doi.org/10.1093/sf/76.4.1305" TargetMode="External"/>
  <Relationship Id="rId40" Type="http://schemas.openxmlformats.org/officeDocument/2006/relationships/hyperlink" Target="https://doi.org/10.1177/1461444811410408" TargetMode="External"/>
  <Relationship Id="rId41" Type="http://schemas.openxmlformats.org/officeDocument/2006/relationships/hyperlink" Target="https://doi.org/10.1016/j.erss.2020.101585" TargetMode="External"/>
  <Relationship Id="rId42" Type="http://schemas.openxmlformats.org/officeDocument/2006/relationships/hyperlink" Target="https://doi.org/10.1016/j.rhm.2016.06.004" TargetMode="External"/>
  <Relationship Id="rId43" Type="http://schemas.openxmlformats.org/officeDocument/2006/relationships/hyperlink" Target="https://doi.org/10.1016/j.forpol.2022.102883" TargetMode="External"/>
  <Relationship Id="rId44" Type="http://schemas.openxmlformats.org/officeDocument/2006/relationships/hyperlink" Target="https://doi.org/10.1177/20563051231196879" TargetMode="External"/>
  <Relationship Id="rId45" Type="http://schemas.openxmlformats.org/officeDocument/2006/relationships/hyperlink" Target="https://doi.org/10.1353/sof.2005.0019" TargetMode="External"/>
  <Relationship Id="rId46" Type="http://schemas.openxmlformats.org/officeDocument/2006/relationships/hyperlink" Target="https://doi.org/10.1016/j.cedpsych.2023.102166" TargetMode="External"/>
  <Relationship Id="rId47" Type="http://schemas.openxmlformats.org/officeDocument/2006/relationships/hyperlink" Target="https://doi.org/10.1111/psj.12542" TargetMode="External"/>
  <Relationship Id="rId48" Type="http://schemas.openxmlformats.org/officeDocument/2006/relationships/hyperlink" Target="https://doi.org/10.1080/14680777.2022.2075909" TargetMode="External"/>
  <Relationship Id="rId49" Type="http://schemas.openxmlformats.org/officeDocument/2006/relationships/hyperlink" Target="https://doi.org/10.1080/22041451.2020.1759925" TargetMode="External"/>
  <Relationship Id="rId50" Type="http://schemas.openxmlformats.org/officeDocument/2006/relationships/hyperlink" Target="https://doi.org/10.4324/9780203856949-40" TargetMode="External"/>
  <Relationship Id="rId51" Type="http://schemas.openxmlformats.org/officeDocument/2006/relationships/hyperlink" Target="https://doi.org/10.4324/9780203856949-48" TargetMode="External"/>
  <Relationship Id="rId52" Type="http://schemas.openxmlformats.org/officeDocument/2006/relationships/footer" Target="footer1.xml" TargetMode="Internal"/>
  <Relationship Id="rId53"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 LeapSpace</dc:title>
  <dc:subject/>
  <dc:creator>LeapSpace</dc:creator>
  <cp:keywords>Powered by TurboDocx html-to-docx</cp:keywords>
  <dc:description/>
  <cp:lastModifiedBy>Powered by TurboDocx html-to-docx</cp:lastModifiedBy>
  <cp:revision>1</cp:revision>
  <dcterms:created xsi:type="dcterms:W3CDTF">2026-08-17T11:42:12.827Z</dcterms:created>
  <dcterms:modified xsi:type="dcterms:W3CDTF">2026-08-17T11:42:12.827Z</dcterms:modified>
</cp:coreProperties>
</file>