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84" w:type="default"/>
    </w:sectPr>
    <w:p>
      <w:pPr>
        <w:pStyle w:val="Heading1"/>
        <w:spacing w:lineRule="auto"/>
      </w:pPr>
      <w:r>
        <w:rPr/>
        <w:t xml:space="preserve">Mobilization structures</w:t>
      </w:r>
    </w:p>
    <w:p>
      <w:pPr>
        <w:spacing w:lineRule="auto"/>
      </w:pPr>
      <w:r>
        <w:rPr/>
      </w:r>
    </w:p>
    <w:p>
      <w:pPr>
        <w:spacing w:lineRule="auto"/>
      </w:pPr>
      <w:r>
        <w:rPr/>
        <w:t xml:space="preserve">"mobilization structures" </w:t>
      </w:r>
    </w:p>
    <w:p>
      <w:pPr>
        <w:spacing w:lineRule="auto"/>
      </w:pPr>
      <w:r>
        <w:rPr>
          <w:i/>
        </w:rPr>
        <w:t xml:space="preserve">Generated by LeapSpace, Fri Aug 14 2026</w:t>
      </w:r>
    </w:p>
    <w:p>
      <w:pPr>
        <w:spacing w:lineRule="auto"/>
      </w:pPr>
      <w:r>
        <w:rPr/>
      </w:r>
    </w:p>
    <w:p>
      <w:pPr>
        <w:pStyle w:val="Heading2"/>
        <w:spacing w:lineRule="auto"/>
      </w:pPr>
      <w:r>
        <w:rPr/>
        <w:t xml:space="preserve">Mobilization Structures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Key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Main groups/structures involved</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Evidence</w:t>
            </w:r>
          </w:p>
        </w:tc>
      </w:t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Mobilization structures are the organizational and relational channels through which collective action is recruited, coordinated, and sustained; they include formal organizations, informal ties, coalition networks, and digital platforms.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SMOs, unions, parties, NGOs, grassroots associations, informal networks, digital platforms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 [4] [5] [6]</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Recruitment depends heavily on social ties, embedded settings, ideology, and organizational strategies such as coalition-building, conversion, and direct action.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Participants, leaders, recruits, movement organizations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[7] [8] [9] [10] [11] [12]</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Strong ties and prior cooperation deepen trust and sustain high-commitment action, while weak ties and brokerage spread information and connect separate clusters.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Friends, colleagues, organizations, coalitions, brokers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[10] [13] [14] [15] [16] [17]</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Organizational form matters, but its effects are mediated by political context. Unions, parties, and coalitions mobilize differently across democratic, corporatist, and authoritarian settings.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Unions, parties, grassroots coalitions, advocacy groups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[18] [19] [20] [21] [22] [23]</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Digital mobilization is typically hybrid: platforms accelerate diffusion and early participation, but durable campaigns usually require offline organization and continued coordination.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Social media, messaging apps, digital advocacy groups, protest networks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[24] [25] [26] [27] [28] [29]</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Repression has conditional effects rather than uniformly suppressing action; activists adapt tactically, and uneven repression can sometimes intensify dissent.</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Activists under authoritarian and repressive settings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[30] [31] [32] [33] [34] [35]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Outcomes are multidimensional: participation counts alone miss effects on leadership, coalition durability, policy access, organizational survival, and broader political change.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Individuals, organizations, communities, states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[21] [36] [37] [38] [39] [40] [41]</w:t>
            </w:r>
          </w:p>
        </w:tc>
      </w:tr>
    </w:tbl>
    <w:p>
      <w:pPr>
        <w:spacing w:lineRule="auto"/>
      </w:pPr>
      <w:r>
        <w:rPr/>
      </w:r>
    </w:p>
    <w:p>
      <w:pPr>
        <w:pStyle w:val="Heading3"/>
        <w:spacing w:lineRule="auto"/>
      </w:pPr>
      <w:r>
        <w:rPr/>
        <w:t xml:space="preserve">Direct Answer</w:t>
      </w:r>
    </w:p>
    <w:p>
      <w:pPr>
        <w:spacing w:lineRule="auto"/>
      </w:pPr>
      <w:r>
        <w:rPr/>
        <w:t xml:space="preserve">Mobilization structures in social movement theory are the </w:t>
      </w:r>
      <w:r>
        <w:rPr>
          <w:b/>
        </w:rPr>
        <w:t xml:space="preserve">organizations, networks, and social settings that make collective action possible</w:t>
      </w:r>
      <w:r>
        <w:rPr/>
        <w:t xml:space="preserve"> by recruiting participants, coordinating action, sustaining commitment, and linking movements to resources and institutions [1] [2] [3] [6]. They are not limited to formal social movement organizations: they also include unions, political parties, NGOs, grassroots coalitions, friendship networks, prior organizational ties, and digital platforms that create channels for communication and coordination [1] [2] [4] [5] [6] [28].</w:t>
      </w:r>
    </w:p>
    <w:p>
      <w:pPr>
        <w:spacing w:lineRule="auto"/>
      </w:pPr>
      <w:r>
        <w:rPr/>
        <w:t xml:space="preserve">The evidence suggests three core points. First, mobilization structures work mainly through </w:t>
      </w:r>
      <w:r>
        <w:rPr>
          <w:b/>
        </w:rPr>
        <w:t xml:space="preserve">relational mechanisms</w:t>
      </w:r>
      <w:r>
        <w:rPr/>
        <w:t xml:space="preserve"> such as trust, prior ties, brokerage, and embedded interaction settings rather than through formal hierarchy alone [7] [8] [9] [13] [17]. Second, their effectiveness is </w:t>
      </w:r>
      <w:r>
        <w:rPr>
          <w:b/>
        </w:rPr>
        <w:t xml:space="preserve">context-dependent</w:t>
      </w:r>
      <w:r>
        <w:rPr/>
        <w:t xml:space="preserve">: the same structure can mobilize strongly in one institutional setting and weakly in another depending on regime type, institutional access, elite divisions, and repression [18] [22] [23] [42] [43] [44]. Third, in contemporary activism, digital media usually </w:t>
      </w:r>
      <w:r>
        <w:rPr>
          <w:b/>
        </w:rPr>
        <w:t xml:space="preserve">augment rather than replace</w:t>
      </w:r>
      <w:r>
        <w:rPr/>
        <w:t xml:space="preserve"> offline organization; rapid online diffusion helps initiate action, but sustained campaigns generally require stronger organizational consolidation [24] [26] [27] [29].</w:t>
      </w:r>
    </w:p>
    <w:p>
      <w:pPr>
        <w:spacing w:lineRule="auto"/>
      </w:pPr>
      <w:r>
        <w:rPr>
          <w:b/>
        </w:rPr>
        <w:t xml:space="preserve">Confidence level: High</w:t>
      </w:r>
      <w:r>
        <w:rPr/>
        <w:t xml:space="preserve"> - the definition and main mechanisms are consistently supported across the supplied theoretical and empirical sources [3] [5] [6] [13].</w:t>
      </w:r>
    </w:p>
    <w:p>
      <w:pPr>
        <w:pStyle w:val="Heading3"/>
        <w:spacing w:lineRule="auto"/>
      </w:pPr>
      <w:r>
        <w:rPr/>
        <w:t xml:space="preserve">Study Scope</w:t>
      </w:r>
    </w:p>
    <w:p>
      <w:pPr>
        <w:spacing w:lineRule="auto"/>
      </w:pPr>
      <w:r>
        <w:rPr/>
        <w:t xml:space="preserve">This report synthesizes theoretical and empirical work spanning classic social movement theory through contemporary studies up to roughly 2025, covering sociology, political science, organization studies, digital activism research, and comparative politics [18] [22] [27] [45]. The evidence includes conceptual theory, comparative surveys, case studies, network analyses, experiments, and qualitative comparative analysis across democratic, corporatist, semi-authoritarian, and authoritarian settings [18] [22] [24] [36] [42].</w:t>
      </w:r>
    </w:p>
    <w:p>
      <w:pPr>
        <w:pStyle w:val="Heading3"/>
        <w:spacing w:lineRule="auto"/>
      </w:pPr>
      <w:r>
        <w:rPr/>
        <w:t xml:space="preserve">Assumptions &amp; Limitations</w:t>
      </w:r>
    </w:p>
    <w:p>
      <w:pPr>
        <w:spacing w:lineRule="auto"/>
      </w:pPr>
      <w:r>
        <w:rPr/>
        <w:t xml:space="preserve">The evidence base supports a strong conceptual account of mobilization structures and good evidence on recruitment and coordination mechanisms, but it does </w:t>
      </w:r>
      <w:r>
        <w:rPr>
          <w:b/>
        </w:rPr>
        <w:t xml:space="preserve">not</w:t>
      </w:r>
      <w:r>
        <w:rPr/>
        <w:t xml:space="preserve"> provide a single standardized metric for comparing all mobilization structures across movements, countries, and periods [36] [38] [41]. Long-term causal evidence linking particular structures to policy change or regime transformation is thinner than the evidence on short- to medium-term participation and coordination outcomes [37] [40] [41].</w:t>
      </w:r>
    </w:p>
    <w:p>
      <w:pPr>
        <w:pStyle w:val="Heading3"/>
        <w:spacing w:lineRule="auto"/>
      </w:pPr>
      <w:r>
        <w:rPr/>
        <w:t xml:space="preserve">Suggested Further Research</w:t>
      </w:r>
    </w:p>
    <w:p>
      <w:pPr>
        <w:numPr>
          <w:ilvl w:val="0"/>
          <w:numId w:val="1"/>
        </w:numPr>
        <w:spacing w:lineRule="auto"/>
      </w:pPr>
      <w:r>
        <w:rPr/>
        <w:t xml:space="preserve">Develop directly comparative studies using common outcome measures across unions, parties, NGOs, grassroots groups, and digital platforms [18] [41].</w:t>
      </w:r>
    </w:p>
    <w:p>
      <w:pPr>
        <w:numPr>
          <w:ilvl w:val="0"/>
          <w:numId w:val="1"/>
        </w:numPr>
        <w:spacing w:lineRule="auto"/>
      </w:pPr>
      <w:r>
        <w:rPr/>
        <w:t xml:space="preserve">Study how digital-first mobilization structures institutionalize, fragment, or disappear over time [26] [46] [47].</w:t>
      </w:r>
    </w:p>
    <w:p>
      <w:pPr>
        <w:numPr>
          <w:ilvl w:val="0"/>
          <w:numId w:val="1"/>
        </w:numPr>
        <w:spacing w:lineRule="auto"/>
      </w:pPr>
      <w:r>
        <w:rPr/>
        <w:t xml:space="preserve">Link micro-level recruitment mechanisms more clearly to meso-level organizational survival and macro-level political outcomes [10] [36] [38].</w:t>
      </w:r>
    </w:p>
    <w:p>
      <w:pPr>
        <w:numPr>
          <w:ilvl w:val="0"/>
          <w:numId w:val="1"/>
        </w:numPr>
        <w:spacing w:lineRule="auto"/>
      </w:pPr>
      <w:r>
        <w:rPr/>
        <w:t xml:space="preserve">Improve causal identification of repression effects, which appear nonlinear and context-dependent [32] [35].</w:t>
      </w:r>
    </w:p>
    <w:p>
      <w:pPr>
        <w:numPr>
          <w:ilvl w:val="0"/>
          <w:numId w:val="1"/>
        </w:numPr>
        <w:spacing w:lineRule="auto"/>
      </w:pPr>
      <w:r>
        <w:rPr/>
        <w:t xml:space="preserve">Expand geographic coverage beyond the best-studied democratic and high-visibility protest cases [22] [48].</w:t>
      </w:r>
    </w:p>
    <w:p>
      <w:pPr>
        <w:pStyle w:val="Heading2"/>
        <w:spacing w:lineRule="auto"/>
      </w:pPr>
      <w:r>
        <w:rPr/>
        <w:t xml:space="preserve">Full Report</w:t>
      </w:r>
    </w:p>
    <w:p>
      <w:pPr>
        <w:pStyle w:val="Heading2"/>
        <w:spacing w:lineRule="auto"/>
      </w:pPr>
      <w:r>
        <w:rPr/>
        <w:t xml:space="preserve">Foundational Context: What “Mobilization Structures” Means</w:t>
      </w:r>
    </w:p>
    <w:p>
      <w:pPr>
        <w:spacing w:lineRule="auto"/>
      </w:pPr>
      <w:r>
        <w:rPr/>
        <w:t xml:space="preserve">In social movement research, mobilization structures are the </w:t>
      </w:r>
      <w:r>
        <w:rPr>
          <w:b/>
        </w:rPr>
        <w:t xml:space="preserve">collective vehicles through which people become available for action, are recruited into it, and remain coordinated over time</w:t>
      </w:r>
      <w:r>
        <w:rPr/>
        <w:t xml:space="preserve"> [3] [5]. The concept includes formal organizations such as social movement organizations, unions, parties, and NGOs, but also less formal settings such as friendship circles, associational ties, coalition networks, and tacit forms of coordination within and across institutions [1] [2] [4] [6].</w:t>
      </w:r>
    </w:p>
    <w:p>
      <w:pPr>
        <w:spacing w:lineRule="auto"/>
      </w:pPr>
      <w:r>
        <w:rPr/>
        <w:t xml:space="preserve">This matters because movements do not mobilize simply because grievances exist. The supplied literature treats mobilization as dependent on </w:t>
      </w:r>
      <w:r>
        <w:rPr>
          <w:b/>
        </w:rPr>
        <w:t xml:space="preserve">organizational form, relational embeddedness, and institutional positioning</w:t>
      </w:r>
      <w:r>
        <w:rPr/>
        <w:t xml:space="preserve"> [7] [42] [43]. A movement may have broad support in principle, yet fail to act collectively if it lacks channels for recruitment, trusted intermediaries, leadership roles, or settings where repeated interaction can build commitment [8] [9] [17].</w:t>
      </w:r>
    </w:p>
    <w:p>
      <w:pPr>
        <w:spacing w:lineRule="auto"/>
      </w:pPr>
      <w:r>
        <w:rPr/>
        <w:t xml:space="preserve">A useful distinction in this literature is between mobilization structures and adjacent concepts. Political opportunities describe openings or constraints in the broader environment; resource mobilization concerns access to money, labor, skills, and legitimacy; mobilization structures are the </w:t>
      </w:r>
      <w:r>
        <w:rPr>
          <w:b/>
        </w:rPr>
        <w:t xml:space="preserve">infrastructures that convert these possibilities into coordinated participation</w:t>
      </w:r>
      <w:r>
        <w:rPr/>
        <w:t xml:space="preserve"> [1] [2] [42] [49] [50]. Taken together, these findings suggest that mobilization structures are best understood as the </w:t>
      </w:r>
      <w:r>
        <w:rPr>
          <w:b/>
        </w:rPr>
        <w:t xml:space="preserve">connective infrastructure of contention</w:t>
      </w:r>
      <w:r>
        <w:rPr/>
        <w:t xml:space="preserve"> rather than as a narrow list of organizations [3] [6].</w:t>
      </w:r>
      <w:r>
        <w:rPr/>
        <w:br w:type="textWrapping"/>
      </w:r>
      <w:r>
        <w:rPr>
          <w:b/>
        </w:rPr>
        <w:t xml:space="preserve">Confidence level: High</w:t>
      </w:r>
      <w:r>
        <w:rPr/>
        <w:t xml:space="preserve"> - this interpretation is directly aligned with the supplied theoretical synthesis and repeated empirical framing [1] [2] [3] [5] [6].</w:t>
      </w:r>
    </w:p>
    <w:p>
      <w:pPr>
        <w:pStyle w:val="Heading2"/>
        <w:spacing w:lineRule="auto"/>
      </w:pPr>
      <w:r>
        <w:rPr/>
        <w:t xml:space="preserve">Conceptual Foundations</w:t>
      </w:r>
    </w:p>
    <w:p>
      <w:pPr>
        <w:pStyle w:val="Heading3"/>
        <w:spacing w:lineRule="auto"/>
      </w:pPr>
      <w:r>
        <w:rPr/>
        <w:t xml:space="preserve">Defining mobilization structures</w:t>
      </w:r>
    </w:p>
    <w:p>
      <w:pPr>
        <w:spacing w:lineRule="auto"/>
      </w:pPr>
      <w:r>
        <w:rPr/>
        <w:t xml:space="preserve">The theory consistently presents social movement organizations as central mobilizing forms, but not the only ones [3] [5]. Leadership is analytically distinct from participation, and leadership status may depend more on a person’s organizational connection than on individual resources or self-interest alone [3] [5]. This shifts attention from isolated actors to the organizational and relational contexts that assign roles and channel action [5].</w:t>
      </w:r>
    </w:p>
    <w:p>
      <w:pPr>
        <w:spacing w:lineRule="auto"/>
      </w:pPr>
      <w:r>
        <w:rPr/>
        <w:t xml:space="preserve">The concept is also dynamic. Movements can self-organize, generate new protest practices, and transform their own structures over time; inherited forms can enable collective action but also constrain innovation [51]. Classic organizational theory further shows that movement organizations change in response to public sentiment, relations with other organizations, success and failure, recruitment patterns, and internal commitment, rather than simply drifting inevitably toward conservatism [45].</w:t>
      </w:r>
    </w:p>
    <w:p>
      <w:pPr>
        <w:pStyle w:val="Heading3"/>
        <w:spacing w:lineRule="auto"/>
      </w:pPr>
      <w:r>
        <w:rPr/>
        <w:t xml:space="preserve">Recruitment, leadership, and participation</w:t>
      </w:r>
    </w:p>
    <w:p>
      <w:pPr>
        <w:spacing w:lineRule="auto"/>
      </w:pPr>
      <w:r>
        <w:rPr/>
        <w:t xml:space="preserve">Recruitment is explained through several recurring mechanisms: prior ties, social settings, network diffusion, ideology, and organizational strategies such as conversion, coalition, and direct action [7] [8] [9]. Across the evidence, participation is rarely spontaneous in a purely individual sense. Instead, people are brought in through friends, colleagues, classmates, prior organizational contact, and repeated interaction within embedded settings [10] [11] [12] [52] [53].</w:t>
      </w:r>
    </w:p>
    <w:p>
      <w:pPr>
        <w:spacing w:lineRule="auto"/>
      </w:pPr>
      <w:r>
        <w:rPr/>
        <w:t xml:space="preserve">Leadership and participation are therefore linked but not identical. Mobilization structures both recruit broad participants and sort some actors into coordinating roles, often through their location in organizations or networks [3] [5] [54]. This helps explain why some people become durable activists or brokers while others remain episodic participants [14] [17].</w:t>
      </w:r>
    </w:p>
    <w:p>
      <w:pPr>
        <w:pStyle w:val="Heading3"/>
        <w:spacing w:lineRule="auto"/>
      </w:pPr>
      <w:r>
        <w:rPr/>
        <w:t xml:space="preserve">Outcomes are multi-level and contingent</w:t>
      </w:r>
    </w:p>
    <w:p>
      <w:pPr>
        <w:spacing w:lineRule="auto"/>
      </w:pPr>
      <w:r>
        <w:rPr/>
        <w:t xml:space="preserve">The literature warns against reducing mobilization to protest frequency alone. Outcomes appear at multiple levels: individual political engagement, organizational survival, coalition durability, community effects, policy access, and macro-political change [36] [37] [38]. These outcomes are mixed and contingent, shaped by tactics, political mediation, framing, organizational characteristics, and institutional environment [36] [37] [38] [44].</w:t>
      </w:r>
    </w:p>
    <w:p>
      <w:pPr>
        <w:spacing w:lineRule="auto"/>
      </w:pPr>
      <w:r>
        <w:rPr>
          <w:b/>
        </w:rPr>
        <w:t xml:space="preserve">Confidence level: High</w:t>
      </w:r>
      <w:r>
        <w:rPr/>
        <w:t xml:space="preserve"> - the foundational definition and multi-level outcome framing recur across both classic and comparative work [3] [5] [36] [38].</w:t>
      </w:r>
    </w:p>
    <w:p>
      <w:pPr>
        <w:pStyle w:val="Heading2"/>
        <w:spacing w:lineRule="auto"/>
      </w:pPr>
      <w:r>
        <w:rPr/>
        <w:t xml:space="preserve">Organizational Forms as Mobilization Structures</w:t>
      </w:r>
    </w:p>
    <w:p>
      <w:pPr>
        <w:pStyle w:val="Heading3"/>
        <w:spacing w:lineRule="auto"/>
      </w:pPr>
      <w:r>
        <w:rPr/>
        <w:t xml:space="preserve">Unions and labor-based mobilization</w:t>
      </w:r>
    </w:p>
    <w:p>
      <w:pPr>
        <w:spacing w:lineRule="auto"/>
      </w:pPr>
      <w:r>
        <w:rPr/>
        <w:t xml:space="preserve">Unions are among the clearest examples of formal mobilization structures. Comparative evidence across roughly 60 countries shows union members participate more than non-members in demonstrations, petitions, occupations, and party work, while political institutions shape how unions mobilize: democratized settings facilitate contentious action and party linkages, whereas corporatist arrangements dampen participation [18]. In the United States, union membership is associated with higher levels of voting, protesting, and associational involvement, with especially strong effects among less educated individuals [55].</w:t>
      </w:r>
    </w:p>
    <w:p>
      <w:pPr>
        <w:spacing w:lineRule="auto"/>
      </w:pPr>
      <w:r>
        <w:rPr/>
        <w:t xml:space="preserve">Union effects also spill beyond members. Non-members are more likely to protest when they have social ties to unions or live in settings with stronger unions, although this effect does not extend equally to less collective forms of participation such as donating or contacting officials [56]. This suggests that unions mobilize not only through formal membership but through broader local social infrastructure [56].</w:t>
      </w:r>
    </w:p>
    <w:p>
      <w:pPr>
        <w:pStyle w:val="Heading3"/>
        <w:spacing w:lineRule="auto"/>
      </w:pPr>
      <w:r>
        <w:rPr/>
        <w:t xml:space="preserve">Parties and electoral mobilization</w:t>
      </w:r>
    </w:p>
    <w:p>
      <w:pPr>
        <w:spacing w:lineRule="auto"/>
      </w:pPr>
      <w:r>
        <w:rPr/>
        <w:t xml:space="preserve">Political parties function as mobilization structures through canvassing, recruitment, and electoral competition [19] [20]. Their capacity is institutionally variable: evidence indicates that more liberal and competitive Democratic parties increase lower-class turnout, especially in presidential elections [19] [20]. This supports the broader point that organizational form alone does not determine mobilizing strength; the surrounding party system and competitive environment matter [20].</w:t>
      </w:r>
    </w:p>
    <w:p>
      <w:pPr>
        <w:spacing w:lineRule="auto"/>
      </w:pPr>
      <w:r>
        <w:rPr/>
        <w:t xml:space="preserve">Movement-party relations can also reshape organizational architecture. In the Podemos case, anti-austerity mobilization strongly shaped the party’s founding choices and strategy, but horizontal movement practices translated only partially into final party structure [57]. This is a useful example of how mobilization structures can migrate across institutional arenas but change form in the process [57].</w:t>
      </w:r>
    </w:p>
    <w:p>
      <w:pPr>
        <w:pStyle w:val="Heading3"/>
        <w:spacing w:lineRule="auto"/>
      </w:pPr>
      <w:r>
        <w:rPr/>
        <w:t xml:space="preserve">NGOs, grassroots associations, and coalitions</w:t>
      </w:r>
    </w:p>
    <w:p>
      <w:pPr>
        <w:spacing w:lineRule="auto"/>
      </w:pPr>
      <w:r>
        <w:rPr/>
        <w:t xml:space="preserve">Grassroots coalitions mobilize effectively when they combine aligned interests, trust, strategy, and heterogeneous resources [21]. They can expand policy access and bottom-up participation pathways, but durability depends on coalition maintenance rather than simple issue agreement [21] [39]. Voluntary associations and informal ties likewise serve as major mobilizing spheres by creating trust, civic skills, information flow, and cooperative norms [6].</w:t>
      </w:r>
    </w:p>
    <w:p>
      <w:pPr>
        <w:spacing w:lineRule="auto"/>
      </w:pPr>
      <w:r>
        <w:rPr/>
        <w:t xml:space="preserve">Taken together, these findings suggest that NGOs and grassroots associations are most effective not when treated as isolated units, but when understood as parts of broader mobilizing ecologies that include local relationships and coalition ties [6] [21] [39].</w:t>
      </w:r>
      <w:r>
        <w:rPr/>
        <w:br w:type="textWrapping"/>
      </w:r>
      <w:r>
        <w:rPr>
          <w:b/>
        </w:rPr>
        <w:t xml:space="preserve">Confidence level: High</w:t>
      </w:r>
      <w:r>
        <w:rPr/>
        <w:t xml:space="preserve"> - evidence is consistent on the importance of associational infrastructure and coalition conditions [6] [21] [39].</w:t>
      </w:r>
    </w:p>
    <w:p>
      <w:pPr>
        <w:pStyle w:val="Heading3"/>
        <w:spacing w:lineRule="auto"/>
      </w:pPr>
      <w:r>
        <w:rPr/>
        <w:t xml:space="preserve">Organizational structure and network density</w:t>
      </w:r>
    </w:p>
    <w:p>
      <w:pPr>
        <w:spacing w:lineRule="auto"/>
      </w:pPr>
      <w:r>
        <w:rPr/>
        <w:t xml:space="preserve">Organizational density and specialization can strengthen local mobilization, but only if bridging ties connect subgroups [58]. The Ankara case found that specialized local organizations were densely connected internally yet lacked sufficient bridging ties, which limited broader social-change capacity [58]. This illustrates a recurring trade-off: dense trusted ties aid coordination, but insufficient cross-cutting connection constrains scale [13] [58].</w:t>
      </w:r>
    </w:p>
    <w:p>
      <w:pPr>
        <w:pStyle w:val="Heading2"/>
        <w:spacing w:lineRule="auto"/>
      </w:pPr>
      <w:r>
        <w:rPr/>
        <w:t xml:space="preserve">Networks, Brokerage, Recruitment, and Coordination</w:t>
      </w:r>
    </w:p>
    <w:p>
      <w:pPr>
        <w:pStyle w:val="Heading3"/>
        <w:spacing w:lineRule="auto"/>
      </w:pPr>
      <w:r>
        <w:rPr/>
        <w:t xml:space="preserve">Strong and weak ties in recruitment</w:t>
      </w:r>
    </w:p>
    <w:p>
      <w:pPr>
        <w:spacing w:lineRule="auto"/>
      </w:pPr>
      <w:r>
        <w:rPr/>
        <w:t xml:space="preserve">The evidence strongly supports a dual view of social ties. Strong ties - especially friends, colleagues, classmates, and prior direct contact - are important for recruitment and sustained engagement across the movement lifecycle [10] [11] [12] [52] [53]. Close ties are especially salient for high-risk or immersive actions [59].</w:t>
      </w:r>
    </w:p>
    <w:p>
      <w:pPr>
        <w:spacing w:lineRule="auto"/>
      </w:pPr>
      <w:r>
        <w:rPr/>
        <w:t xml:space="preserve">Weak ties, however, remain important because they bridge otherwise separate groups and disseminate information more broadly [10] [15]. Rather than replacing strong ties, they complement them by extending reach beyond dense local clusters [15]. This supports a breadth-versus-depth distinction in mobilization: strong ties deepen commitment, weak ties widen recruitment [10] [59].</w:t>
      </w:r>
      <w:r>
        <w:rPr/>
        <w:br w:type="textWrapping"/>
      </w:r>
      <w:r>
        <w:rPr>
          <w:b/>
        </w:rPr>
        <w:t xml:space="preserve">Confidence level: High</w:t>
      </w:r>
      <w:r>
        <w:rPr/>
        <w:t xml:space="preserve"> - this is one of the most consistently supported mechanisms in the evidence base [10] [15] [59].</w:t>
      </w:r>
    </w:p>
    <w:p>
      <w:pPr>
        <w:pStyle w:val="Heading3"/>
        <w:spacing w:lineRule="auto"/>
      </w:pPr>
      <w:r>
        <w:rPr/>
        <w:t xml:space="preserve">Brokerage and embedded social capital</w:t>
      </w:r>
    </w:p>
    <w:p>
      <w:pPr>
        <w:spacing w:lineRule="auto"/>
      </w:pPr>
      <w:r>
        <w:rPr/>
        <w:t xml:space="preserve">Prior cooperation speeds coalition formation because it builds trust, simplifies recruitment, and eases agreement on shared goals [13]. But the same reliance on familiar partners can exclude newcomers and reinforce path dependence [13] [60] [61]. Embedded settings and brokerage create the interaction occasions through which people meet, resources circulate, and social capital forms [14] [17].</w:t>
      </w:r>
    </w:p>
    <w:p>
      <w:pPr>
        <w:spacing w:lineRule="auto"/>
      </w:pPr>
      <w:r>
        <w:rPr/>
        <w:t xml:space="preserve">This means brokerage is not merely a network position; it is also a practical process of linking people, organizations, and resources across otherwise disconnected sites [14] [17]. Collective-action coalitions and resistance movements repeatedly use brokerage to connect groups across locations and sectors [62] [63].</w:t>
      </w:r>
    </w:p>
    <w:p>
      <w:pPr>
        <w:pStyle w:val="Heading3"/>
        <w:spacing w:lineRule="auto"/>
      </w:pPr>
      <w:r>
        <w:rPr/>
        <w:t xml:space="preserve">Centrality and inter-organizational coordination</w:t>
      </w:r>
    </w:p>
    <w:p>
      <w:pPr>
        <w:spacing w:lineRule="auto"/>
      </w:pPr>
      <w:r>
        <w:rPr/>
        <w:t xml:space="preserve">Centrality is associated with stronger coordination, and multi-sectoral event networks depend on multiple tie types and context-specific coordinators [16] [54]. At the inter-organizational level, familiar collaborators are often preferred, making coordination more efficient but potentially narrower in reach [60] [62].</w:t>
      </w:r>
    </w:p>
    <w:p>
      <w:pPr>
        <w:spacing w:lineRule="auto"/>
      </w:pPr>
      <w:r>
        <w:rPr/>
        <w:t xml:space="preserve">The broader implication is that mobilization structures are not just containers of activists; they are patterned networks whose topology affects how quickly information spreads, how reliably trust is sustained, and how well campaigns coordinate across sectors [16] [54] [64].</w:t>
      </w:r>
      <w:r>
        <w:rPr/>
        <w:br w:type="textWrapping"/>
      </w:r>
      <w:r>
        <w:rPr>
          <w:b/>
        </w:rPr>
        <w:t xml:space="preserve">Confidence level: High</w:t>
      </w:r>
      <w:r>
        <w:rPr/>
        <w:t xml:space="preserve"> - network mechanisms are supported across multiple designs and cases [13] [14] [16].</w:t>
      </w:r>
    </w:p>
    <w:p>
      <w:pPr>
        <w:pStyle w:val="Heading2"/>
        <w:spacing w:lineRule="auto"/>
      </w:pPr>
      <w:r>
        <w:rPr/>
        <w:t xml:space="preserve">Digital and Hybrid Mobilization Structures</w:t>
      </w:r>
    </w:p>
    <w:p>
      <w:pPr>
        <w:pStyle w:val="Heading3"/>
        <w:spacing w:lineRule="auto"/>
      </w:pPr>
      <w:r>
        <w:rPr/>
        <w:t xml:space="preserve">Digital platforms as mobilizing infrastructure</w:t>
      </w:r>
    </w:p>
    <w:p>
      <w:pPr>
        <w:spacing w:lineRule="auto"/>
      </w:pPr>
      <w:r>
        <w:rPr/>
        <w:t xml:space="preserve">Digital mobilization is best understood as medium-specific and usually hybrid [24]. Web-based mobilization may boost online participation without necessarily increasing offline action, whereas face-to-face mobilization has clearer offline effects [24]. At the same time, Twitter recruitment in Spain’s 2011 mobilizations shows that platforms can recruit through social influence and information cascades, with early seeds shaping wider diffusion [27].</w:t>
      </w:r>
    </w:p>
    <w:p>
      <w:pPr>
        <w:spacing w:lineRule="auto"/>
      </w:pPr>
      <w:r>
        <w:rPr/>
        <w:t xml:space="preserve">Digital advocacy organizations and grassroots platforms can mobilize online and offline, support microvolunteering, and coordinate local action through platform affordances [25] [65]. Petition platforms can also matter strategically: e-petitions can pressure firms when connectivity and velocity amplify reputational threat, while signing behavior may be driven more by information-sharing than persuasion or social support in semi-authoritarian settings [66] [67].</w:t>
      </w:r>
    </w:p>
    <w:p>
      <w:pPr>
        <w:pStyle w:val="Heading3"/>
        <w:spacing w:lineRule="auto"/>
      </w:pPr>
      <w:r>
        <w:rPr/>
        <w:t xml:space="preserve">Hybrid organization and scaling limits</w:t>
      </w:r>
    </w:p>
    <w:p>
      <w:pPr>
        <w:spacing w:lineRule="auto"/>
      </w:pPr>
      <w:r>
        <w:rPr/>
        <w:t xml:space="preserve">Several studies converge on the finding that digital structures can rapidly expand campaigns, but sustained mobilization typically requires further organization-building [26] [29]. Hybrid movement organization blends online and offline practices and can coordinate action without strong formal control [28] [68] [69]. Yet scaling has limits. Evidence from BLM points to strong localization, incomplete coverage of offline-only actors, and uncertainty about how far platform-based expansion generalizes [70] [71].</w:t>
      </w:r>
    </w:p>
    <w:p>
      <w:pPr>
        <w:spacing w:lineRule="auto"/>
      </w:pPr>
      <w:r>
        <w:rPr/>
        <w:t xml:space="preserve">Grassroots-oriented platforms appear better than top-down ones at fostering cross-engagement, but contemporary digital activism is also described as fragmented and organizationally uneven [65] [72] [73]. Taken together, these findings imply that digital mobilization broadens access and speed, but does not eliminate the need for organizational depth [26] [74].</w:t>
      </w:r>
      <w:r>
        <w:rPr/>
        <w:br w:type="textWrapping"/>
      </w:r>
      <w:r>
        <w:rPr>
          <w:b/>
        </w:rPr>
        <w:t xml:space="preserve">Confidence level: High</w:t>
      </w:r>
      <w:r>
        <w:rPr/>
        <w:t xml:space="preserve"> - strong convergence across digital mobilization studies [25] [26] [28] [70].</w:t>
      </w:r>
    </w:p>
    <w:p>
      <w:pPr>
        <w:pStyle w:val="Heading3"/>
        <w:spacing w:lineRule="auto"/>
      </w:pPr>
      <w:r>
        <w:rPr/>
        <w:t xml:space="preserve">Failure modes</w:t>
      </w:r>
    </w:p>
    <w:p>
      <w:pPr>
        <w:spacing w:lineRule="auto"/>
      </w:pPr>
      <w:r>
        <w:rPr/>
        <w:t xml:space="preserve">Internal conflict, fragmentation, professionalization, and depoliticization recur as failure modes in hybrid and platform-mediated activism [46] [75]. Rapid communicative reach can generate scale, but also strategic dilemmas and trial-and-error adaptation [47] [74] [76]. This reinforces the broader tension between inclusivity and cohesion [75].</w:t>
      </w:r>
    </w:p>
    <w:p>
      <w:pPr>
        <w:pStyle w:val="Heading2"/>
        <w:spacing w:lineRule="auto"/>
      </w:pPr>
      <w:r>
        <w:rPr/>
        <w:t xml:space="preserve">Political Opportunity, Repression, and Institutional Context</w:t>
      </w:r>
    </w:p>
    <w:p>
      <w:pPr>
        <w:spacing w:lineRule="auto"/>
      </w:pPr>
      <w:r>
        <w:rPr/>
        <w:t xml:space="preserve">Mobilization structures do not operate in a vacuum. In authoritarian settings, mobilization is shaped by elite divisions, repression shifts, media access, influential allies, and social networks; one QCA study identifies media access and social networks as sufficient conditions for mobilization under non-democracy [22]. More generally, open and democratic contexts mobilize more people, though organizational engagement itself also raises protest participation in African countries [48].</w:t>
      </w:r>
    </w:p>
    <w:p>
      <w:pPr>
        <w:spacing w:lineRule="auto"/>
      </w:pPr>
      <w:r>
        <w:rPr/>
        <w:t xml:space="preserve">Institutional mismatch can intensify protest. Where openings for protest exist without institutionalized participation channels, protest is more likely to become large and intense [23]. Dense networks and elite-citizen vertical ties can also structure success strongly, as shown in Japanese environmental protest where “breakaway bosses” were the strongest predictor of successful collective action [77].</w:t>
      </w:r>
    </w:p>
    <w:p>
      <w:pPr>
        <w:spacing w:lineRule="auto"/>
      </w:pPr>
      <w:r>
        <w:rPr/>
        <w:t xml:space="preserve">Repression shows no simple pattern. Fragmented or uneven state control can create openings, while repression, co-optation, and neglect generate uncertainty that pushes tactical adaptation [32] [33]. Participation may rise when repression is unexpectedly high or low relative to local baselines rather than declining monotonically [35]. Under harsh coercion, some cases show stronger dissent and norm formation, while others show suppression and strategic retreat [31] [34]. Digital activism is also directly shaped by surveillance risk, particularly in Russia and China-related cases [26] [30].</w:t>
      </w:r>
    </w:p>
    <w:p>
      <w:pPr>
        <w:spacing w:lineRule="auto"/>
      </w:pPr>
      <w:r>
        <w:rPr/>
        <w:t xml:space="preserve">Institutionalized protest and external certification can improve the odds of beneficent state responses such as concessions or inclusion, while stronger subnational bureaucratic capacity can reduce repression [40] [78].</w:t>
      </w:r>
      <w:r>
        <w:rPr/>
        <w:br w:type="textWrapping"/>
      </w:r>
      <w:r>
        <w:rPr>
          <w:b/>
        </w:rPr>
        <w:t xml:space="preserve">Confidence level: High</w:t>
      </w:r>
      <w:r>
        <w:rPr/>
        <w:t xml:space="preserve"> - the contextual conditionality of mobilization is one of the clearest cross-source findings [18] [22] [23] [35].</w:t>
      </w:r>
    </w:p>
    <w:p>
      <w:pPr>
        <w:pStyle w:val="Heading2"/>
        <w:spacing w:lineRule="auto"/>
      </w:pPr>
      <w:r>
        <w:rPr/>
        <w:t xml:space="preserve">Comparative Synthesis: What Mobilization Structures Actually Do</w:t>
      </w:r>
    </w:p>
    <w:p>
      <w:pPr>
        <w:spacing w:lineRule="auto"/>
      </w:pPr>
      <w:r>
        <w:rPr/>
        <w:t xml:space="preserve">Across the evidence, mobilization structures perform four recurring functions.</w:t>
      </w:r>
    </w:p>
    <w:p>
      <w:pPr>
        <w:numPr>
          <w:ilvl w:val="0"/>
          <w:numId w:val="2"/>
        </w:numPr>
        <w:spacing w:lineRule="auto"/>
      </w:pPr>
      <w:r>
        <w:rPr>
          <w:b/>
        </w:rPr>
        <w:t xml:space="preserve">Recruitment:</w:t>
      </w:r>
      <w:r>
        <w:rPr/>
        <w:t xml:space="preserve"> They connect potential participants to action through organizations, social ties, and communication channels [7] [10] [27].</w:t>
      </w:r>
    </w:p>
    <w:p>
      <w:pPr>
        <w:numPr>
          <w:ilvl w:val="0"/>
          <w:numId w:val="2"/>
        </w:numPr>
        <w:spacing w:lineRule="auto"/>
      </w:pPr>
      <w:r>
        <w:rPr>
          <w:b/>
        </w:rPr>
        <w:t xml:space="preserve">Coordination:</w:t>
      </w:r>
      <w:r>
        <w:rPr/>
        <w:t xml:space="preserve"> They align tactics, distribute information, and link actors across sites and sectors [16] [28] [54].</w:t>
      </w:r>
    </w:p>
    <w:p>
      <w:pPr>
        <w:numPr>
          <w:ilvl w:val="0"/>
          <w:numId w:val="2"/>
        </w:numPr>
        <w:spacing w:lineRule="auto"/>
      </w:pPr>
      <w:r>
        <w:rPr>
          <w:b/>
        </w:rPr>
        <w:t xml:space="preserve">Commitment-building:</w:t>
      </w:r>
      <w:r>
        <w:rPr/>
        <w:t xml:space="preserve"> They create trust, repeated interaction, and leadership pathways that sustain participation beyond one-off events [3] [5] [13].</w:t>
      </w:r>
    </w:p>
    <w:p>
      <w:pPr>
        <w:numPr>
          <w:ilvl w:val="0"/>
          <w:numId w:val="2"/>
        </w:numPr>
        <w:spacing w:lineRule="auto"/>
      </w:pPr>
      <w:r>
        <w:rPr>
          <w:b/>
        </w:rPr>
        <w:t xml:space="preserve">Institutional linkage:</w:t>
      </w:r>
      <w:r>
        <w:rPr/>
        <w:t xml:space="preserve"> They connect movements to parties, unions, media, allies, and policy venues, which affects both mobilization and outcomes [18] [22] [40] [57].</w:t>
      </w:r>
    </w:p>
    <w:p>
      <w:pPr>
        <w:spacing w:lineRule="auto"/>
      </w:pPr>
      <w:r>
        <w:rPr/>
        <w:t xml:space="preserve">A clear comparative pattern is the trade-off between </w:t>
      </w:r>
      <w:r>
        <w:rPr>
          <w:b/>
        </w:rPr>
        <w:t xml:space="preserve">cohesion and scale</w:t>
      </w:r>
      <w:r>
        <w:rPr/>
        <w:t xml:space="preserve">. Dense trusted networks and familiar collaborators support high-commitment action and reliable coordination, but they may exclude outsiders and limit spread [13] [58]. Weak ties and digital platforms broaden reach and speed diffusion, but often produce shallower commitment, fragmentation, or uneven control [59] [70] [75]. Inferred: the most effective mobilization structures may often be those that combine strong local cohesion with bridging and broadcast capacity, though the supplied evidence does not provide a single cross-case metric proving this universally [10] [15] [28].</w:t>
      </w:r>
      <w:r>
        <w:rPr/>
        <w:br w:type="textWrapping"/>
      </w:r>
      <w:r>
        <w:rPr>
          <w:b/>
        </w:rPr>
        <w:t xml:space="preserve">Confidence level: Medium</w:t>
      </w:r>
      <w:r>
        <w:rPr/>
        <w:t xml:space="preserve"> - the trade-off is strongly supported, but the “best combination” claim is a synthesis across studies rather than a direct universal finding [13] [15] [70].</w:t>
      </w:r>
    </w:p>
    <w:p>
      <w:pPr>
        <w:pStyle w:val="Heading2"/>
        <w:spacing w:lineRule="auto"/>
      </w:pPr>
      <w:r>
        <w:rPr/>
        <w:t xml:space="preserve">Practical Implications for Analysis</w:t>
      </w:r>
    </w:p>
    <w:p>
      <w:pPr>
        <w:spacing w:lineRule="auto"/>
      </w:pPr>
      <w:r>
        <w:rPr/>
        <w:t xml:space="preserve">For researchers or practitioners comparing mobilization structures, the evidence suggests asking:</w:t>
      </w:r>
    </w:p>
    <w:p>
      <w:pPr>
        <w:numPr>
          <w:ilvl w:val="0"/>
          <w:numId w:val="3"/>
        </w:numPr>
        <w:spacing w:lineRule="auto"/>
      </w:pPr>
      <w:r>
        <w:rPr>
          <w:b/>
        </w:rPr>
        <w:t xml:space="preserve">What are the primary recruitment channels?</w:t>
      </w:r>
      <w:r>
        <w:rPr/>
        <w:t xml:space="preserve"> Prior ties, associational membership, canvassing, digital cascades, or coalition outreach [7] [19] [27].</w:t>
      </w:r>
    </w:p>
    <w:p>
      <w:pPr>
        <w:numPr>
          <w:ilvl w:val="0"/>
          <w:numId w:val="3"/>
        </w:numPr>
        <w:spacing w:lineRule="auto"/>
      </w:pPr>
      <w:r>
        <w:rPr>
          <w:b/>
        </w:rPr>
        <w:t xml:space="preserve">How is coordination achieved?</w:t>
      </w:r>
      <w:r>
        <w:rPr/>
        <w:t xml:space="preserve"> Centralized leadership, brokerage, dense local networks, or hybrid platform-based communication [16] [28] [54].</w:t>
      </w:r>
    </w:p>
    <w:p>
      <w:pPr>
        <w:numPr>
          <w:ilvl w:val="0"/>
          <w:numId w:val="3"/>
        </w:numPr>
        <w:spacing w:lineRule="auto"/>
      </w:pPr>
      <w:r>
        <w:rPr>
          <w:b/>
        </w:rPr>
        <w:t xml:space="preserve">What kind of participation is being sought?</w:t>
      </w:r>
      <w:r>
        <w:rPr/>
        <w:t xml:space="preserve"> High-risk, high-commitment participation typically relies more on trusted ties than low-risk, low-cost engagement [10] [59].</w:t>
      </w:r>
    </w:p>
    <w:p>
      <w:pPr>
        <w:numPr>
          <w:ilvl w:val="0"/>
          <w:numId w:val="3"/>
        </w:numPr>
        <w:spacing w:lineRule="auto"/>
      </w:pPr>
      <w:r>
        <w:rPr>
          <w:b/>
        </w:rPr>
        <w:t xml:space="preserve">How does context shape effectiveness?</w:t>
      </w:r>
      <w:r>
        <w:rPr/>
        <w:t xml:space="preserve"> Regime type, institutional access, repression, and elite fragmentation alter what structures can do [18] [22] [32].</w:t>
      </w:r>
    </w:p>
    <w:p>
      <w:pPr>
        <w:numPr>
          <w:ilvl w:val="0"/>
          <w:numId w:val="3"/>
        </w:numPr>
        <w:spacing w:lineRule="auto"/>
      </w:pPr>
      <w:r>
        <w:rPr>
          <w:b/>
        </w:rPr>
        <w:t xml:space="preserve">What outcomes matter?</w:t>
      </w:r>
      <w:r>
        <w:rPr/>
        <w:t xml:space="preserve"> Protest counts, turnout, coalition durability, policy access, organizational survival, or broader political influence [36] [38] [40].</w:t>
      </w:r>
    </w:p>
    <w:p>
      <w:pPr>
        <w:pStyle w:val="Heading2"/>
        <w:spacing w:lineRule="auto"/>
      </w:pPr>
      <w:r>
        <w:rPr/>
        <w:t xml:space="preserve">Conclusion</w:t>
      </w:r>
    </w:p>
    <w:p>
      <w:pPr>
        <w:spacing w:lineRule="auto"/>
      </w:pPr>
      <w:r>
        <w:rPr/>
        <w:t xml:space="preserve">Mobilization structures are the </w:t>
      </w:r>
      <w:r>
        <w:rPr>
          <w:b/>
        </w:rPr>
        <w:t xml:space="preserve">organizational and relational infrastructures of collective action</w:t>
      </w:r>
      <w:r>
        <w:rPr/>
        <w:t xml:space="preserve"> [1] [2] [3] [6]. Their core importance lies not just in possessing resources, but in creating pathways through which people are recruited, trusted, coordinated, and linked to institutions [7] [8] [9] [17]. Formal organizations such as unions and parties remain powerful, but informal networks, coalitions, and digital platforms are equally central to understanding how contemporary movements operate [18] [19] [25] [28].</w:t>
      </w:r>
    </w:p>
    <w:p>
      <w:pPr>
        <w:spacing w:lineRule="auto"/>
      </w:pPr>
      <w:r>
        <w:rPr/>
        <w:t xml:space="preserve">The strongest overall conclusion is that </w:t>
      </w:r>
      <w:r>
        <w:rPr>
          <w:b/>
        </w:rPr>
        <w:t xml:space="preserve">no single mobilization structure is universally superior</w:t>
      </w:r>
      <w:r>
        <w:rPr/>
        <w:t xml:space="preserve">. Effectiveness depends on the fit between organizational form, network topology, and political context [22] [41] [42] [44]. Digital media have changed the speed and reach of mobilization, but the evidence does not support the idea that they have replaced the need for organizational depth and offline coordination [24] [26] [29]. The most robust lesson is therefore comparative: movements need structures that can balance recruitment breadth, coordination capacity, and durable commitment under specific institutional conditions [13] [15] [23] [74].</w:t>
      </w:r>
    </w:p>
    <w:p>
      <w:pPr>
        <w:spacing w:lineRule="auto"/>
      </w:pPr>
      <w:r>
        <w:rPr>
          <w:b/>
        </w:rPr>
        <w:t xml:space="preserve">Overall confidence level: High</w:t>
      </w:r>
      <w:r>
        <w:rPr/>
        <w:t xml:space="preserve"> - the report’s main conclusions are strongly grounded in convergent theoretical and empirical evidence, with remaining uncertainty concentrated in long-term comparative effectiveness and macro-political causal impact [36] [37] [41].</w:t>
      </w:r>
    </w:p>
    <w:p>
      <w:pPr>
        <w:pStyle w:val="Heading2"/>
        <w:spacing w:lineRule="auto"/>
      </w:pPr>
      <w:r>
        <w:rPr/>
        <w:t xml:space="preserve">References</w:t>
      </w:r>
    </w:p>
    <w:p>
      <w:pPr>
        <w:numPr>
          <w:ilvl w:val="0"/>
          <w:numId w:val="4"/>
        </w:numPr>
        <w:spacing w:lineRule="auto"/>
      </w:pPr>
      <w:r>
        <w:rPr/>
        <w:t xml:space="preserve">Morrill, C., Chiarello, E. (2013) Movements within Institutions/Organizations. </w:t>
      </w:r>
      <w:r>
        <w:rPr>
          <w:i/>
        </w:rPr>
        <w:t xml:space="preserve">The Wiley-Blackwell Encyclopedia of Social and Political Movements</w:t>
      </w:r>
      <w:r>
        <w:rPr/>
        <w:t xml:space="preserve">. </w:t>
      </w:r>
      <w:hyperlink r:id="rId6">
        <w:r>
          <w:rPr>
            <w:rStyle w:val="Hyperlink"/>
          </w:rPr>
          <w:t xml:space="preserve">https://doi.org/10.1002/9780470674871.wbespm136</w:t>
        </w:r>
      </w:hyperlink>
    </w:p>
    <w:p>
      <w:pPr>
        <w:numPr>
          <w:ilvl w:val="0"/>
          <w:numId w:val="4"/>
        </w:numPr>
        <w:spacing w:lineRule="auto"/>
      </w:pPr>
      <w:r>
        <w:rPr/>
        <w:t xml:space="preserve">Gale, R.P. (1986) Social movements and the state: The Environmental Movement, Countermovement, and Government Agencies. </w:t>
      </w:r>
      <w:r>
        <w:rPr>
          <w:i/>
        </w:rPr>
        <w:t xml:space="preserve">Sociological Perspectives</w:t>
      </w:r>
      <w:r>
        <w:rPr/>
        <w:t xml:space="preserve">. </w:t>
      </w:r>
      <w:hyperlink r:id="rId7">
        <w:r>
          <w:rPr>
            <w:rStyle w:val="Hyperlink"/>
          </w:rPr>
          <w:t xml:space="preserve">https://doi.org/10.2307/1388959</w:t>
        </w:r>
      </w:hyperlink>
    </w:p>
    <w:p>
      <w:pPr>
        <w:numPr>
          <w:ilvl w:val="0"/>
          <w:numId w:val="4"/>
        </w:numPr>
        <w:spacing w:lineRule="auto"/>
      </w:pPr>
      <w:r>
        <w:rPr/>
        <w:t xml:space="preserve">Marullo, S. (1988) LEADERSHIP AND MEMBERSHIP IN THE NUCLEAR FREEZE MOVEMENT: A Specification of Resource Mobilization Theory. </w:t>
      </w:r>
      <w:r>
        <w:rPr>
          <w:i/>
        </w:rPr>
        <w:t xml:space="preserve">Sociological Quarterly</w:t>
      </w:r>
      <w:r>
        <w:rPr/>
        <w:t xml:space="preserve">. </w:t>
      </w:r>
      <w:hyperlink r:id="rId8">
        <w:r>
          <w:rPr>
            <w:rStyle w:val="Hyperlink"/>
          </w:rPr>
          <w:t xml:space="preserve">https://doi.org/10.1111/j.1533-8525.1988.tb01261.x</w:t>
        </w:r>
      </w:hyperlink>
    </w:p>
    <w:p>
      <w:pPr>
        <w:numPr>
          <w:ilvl w:val="0"/>
          <w:numId w:val="4"/>
        </w:numPr>
        <w:spacing w:lineRule="auto"/>
      </w:pPr>
      <w:r>
        <w:rPr/>
        <w:t xml:space="preserve">Chenoweth, E. (2015) Political mobilization and institutions. </w:t>
      </w:r>
      <w:r>
        <w:rPr>
          <w:i/>
        </w:rPr>
        <w:t xml:space="preserve">Routledge Handbook of Comparative Political Institutions</w:t>
      </w:r>
      <w:r>
        <w:rPr/>
        <w:t xml:space="preserve">. </w:t>
      </w:r>
      <w:hyperlink r:id="rId9">
        <w:r>
          <w:rPr>
            <w:rStyle w:val="Hyperlink"/>
          </w:rPr>
          <w:t xml:space="preserve">https://doi.org/10.4324/9781315731377-34</w:t>
        </w:r>
      </w:hyperlink>
    </w:p>
    <w:p>
      <w:pPr>
        <w:numPr>
          <w:ilvl w:val="0"/>
          <w:numId w:val="4"/>
        </w:numPr>
        <w:spacing w:lineRule="auto"/>
      </w:pPr>
      <w:r>
        <w:rPr/>
        <w:t xml:space="preserve">Caniglia, B.S., Carmin, J. (2005) Scholarship on social movement organziations: Classic views and emerging trends. </w:t>
      </w:r>
      <w:r>
        <w:rPr>
          <w:i/>
        </w:rPr>
        <w:t xml:space="preserve">Mobilization</w:t>
      </w:r>
      <w:r>
        <w:rPr/>
        <w:t xml:space="preserve">. </w:t>
      </w:r>
      <w:hyperlink r:id="rId10">
        <w:r>
          <w:rPr>
            <w:rStyle w:val="Hyperlink"/>
          </w:rPr>
          <w:t xml:space="preserve">https://doi.org/10.17813/maiq.10.2.q848h37832857t5j</w:t>
        </w:r>
      </w:hyperlink>
    </w:p>
    <w:p>
      <w:pPr>
        <w:numPr>
          <w:ilvl w:val="0"/>
          <w:numId w:val="4"/>
        </w:numPr>
        <w:spacing w:lineRule="auto"/>
      </w:pPr>
      <w:r>
        <w:rPr/>
        <w:t xml:space="preserve">Bridgman, A., Stolle, D. (2022) Mobilization and political participation. </w:t>
      </w:r>
      <w:r>
        <w:rPr>
          <w:i/>
        </w:rPr>
        <w:t xml:space="preserve">The Oxford Handbook of Political Participation</w:t>
      </w:r>
      <w:r>
        <w:rPr/>
        <w:t xml:space="preserve">. </w:t>
      </w:r>
      <w:hyperlink r:id="rId11">
        <w:r>
          <w:rPr>
            <w:rStyle w:val="Hyperlink"/>
          </w:rPr>
          <w:t xml:space="preserve">https://doi.org/10.1093/oxfordhb/9780198861126.013.41</w:t>
        </w:r>
      </w:hyperlink>
    </w:p>
    <w:p>
      <w:pPr>
        <w:numPr>
          <w:ilvl w:val="0"/>
          <w:numId w:val="4"/>
        </w:numPr>
        <w:spacing w:lineRule="auto"/>
      </w:pPr>
      <w:r>
        <w:rPr/>
        <w:t xml:space="preserve">Ferree, M.M., Miller, F.D. (1985) Mobilization and Meaning: Toward an Integration of Social Psychological and Resource Perspectives on Social Movements. </w:t>
      </w:r>
      <w:r>
        <w:rPr>
          <w:i/>
        </w:rPr>
        <w:t xml:space="preserve">Sociological Inquiry</w:t>
      </w:r>
      <w:r>
        <w:rPr/>
        <w:t xml:space="preserve">. </w:t>
      </w:r>
      <w:hyperlink r:id="rId12">
        <w:r>
          <w:rPr>
            <w:rStyle w:val="Hyperlink"/>
          </w:rPr>
          <w:t xml:space="preserve">https://doi.org/10.1111/j.1475-682X.1985.tb00850.x</w:t>
        </w:r>
      </w:hyperlink>
    </w:p>
    <w:p>
      <w:pPr>
        <w:numPr>
          <w:ilvl w:val="0"/>
          <w:numId w:val="4"/>
        </w:numPr>
        <w:spacing w:lineRule="auto"/>
      </w:pPr>
      <w:r>
        <w:rPr/>
        <w:t xml:space="preserve">McAdam, D. (2003) Beyond Structural Analysis: Toward a More Dynamic Understanding of Social Movements. </w:t>
      </w:r>
      <w:r>
        <w:rPr>
          <w:i/>
        </w:rPr>
        <w:t xml:space="preserve">Social Movements and Networks: Relational Approaches to Collective Action</w:t>
      </w:r>
      <w:r>
        <w:rPr/>
        <w:t xml:space="preserve">. </w:t>
      </w:r>
      <w:hyperlink r:id="rId13">
        <w:r>
          <w:rPr>
            <w:rStyle w:val="Hyperlink"/>
          </w:rPr>
          <w:t xml:space="preserve">https://doi.org/10.1093/0199251789.003.0012</w:t>
        </w:r>
      </w:hyperlink>
    </w:p>
    <w:p>
      <w:pPr>
        <w:numPr>
          <w:ilvl w:val="0"/>
          <w:numId w:val="4"/>
        </w:numPr>
        <w:spacing w:lineRule="auto"/>
      </w:pPr>
      <w:r>
        <w:rPr/>
        <w:t xml:space="preserve">Guthrie, D.J. (1995) Political theater and student organizations in the 1989 Chinese movement: A multivariate analysis of Tiananmen. </w:t>
      </w:r>
      <w:r>
        <w:rPr>
          <w:i/>
        </w:rPr>
        <w:t xml:space="preserve">Sociological Forum</w:t>
      </w:r>
      <w:r>
        <w:rPr/>
        <w:t xml:space="preserve">. </w:t>
      </w:r>
      <w:hyperlink r:id="rId14">
        <w:r>
          <w:rPr>
            <w:rStyle w:val="Hyperlink"/>
          </w:rPr>
          <w:t xml:space="preserve">https://doi.org/10.1007/BF02095829</w:t>
        </w:r>
      </w:hyperlink>
    </w:p>
    <w:p>
      <w:pPr>
        <w:numPr>
          <w:ilvl w:val="0"/>
          <w:numId w:val="4"/>
        </w:numPr>
        <w:spacing w:lineRule="auto"/>
      </w:pPr>
      <w:r>
        <w:rPr/>
        <w:t xml:space="preserve">Spier, Shaked (2017) The Social Network. </w:t>
      </w:r>
      <w:r>
        <w:rPr>
          <w:i/>
        </w:rPr>
        <w:t xml:space="preserve">Collective Action 2.0</w:t>
      </w:r>
      <w:r>
        <w:rPr/>
        <w:t xml:space="preserve">. </w:t>
      </w:r>
      <w:hyperlink r:id="rId15">
        <w:r>
          <w:rPr>
            <w:rStyle w:val="Hyperlink"/>
          </w:rPr>
          <w:t xml:space="preserve">https://doi.org/10.1016/B978-0-08-100567-5.00005-0</w:t>
        </w:r>
      </w:hyperlink>
    </w:p>
    <w:p>
      <w:pPr>
        <w:numPr>
          <w:ilvl w:val="0"/>
          <w:numId w:val="4"/>
        </w:numPr>
        <w:spacing w:lineRule="auto"/>
      </w:pPr>
      <w:r>
        <w:rPr/>
        <w:t xml:space="preserve">Polyakova, A. (2014) From the provinces to the parliament: How the Ukrainian radical right mobilized in Galicia. </w:t>
      </w:r>
      <w:r>
        <w:rPr>
          <w:i/>
        </w:rPr>
        <w:t xml:space="preserve">Communist and Post-Communist Studies</w:t>
      </w:r>
      <w:r>
        <w:rPr/>
        <w:t xml:space="preserve">. </w:t>
      </w:r>
      <w:hyperlink r:id="rId16">
        <w:r>
          <w:rPr>
            <w:rStyle w:val="Hyperlink"/>
          </w:rPr>
          <w:t xml:space="preserve">https://doi.org/10.1016/j.postcomstud.2014.04.012</w:t>
        </w:r>
      </w:hyperlink>
    </w:p>
    <w:p>
      <w:pPr>
        <w:numPr>
          <w:ilvl w:val="0"/>
          <w:numId w:val="4"/>
        </w:numPr>
        <w:spacing w:lineRule="auto"/>
      </w:pPr>
      <w:r>
        <w:rPr/>
        <w:t xml:space="preserve">Goedkoop, F., Dijkstra, J., Flache, A. (2022) A social network perspective on involvement in community energy initiatives: The role of direct and extended social ties to initiators. </w:t>
      </w:r>
      <w:r>
        <w:rPr>
          <w:i/>
        </w:rPr>
        <w:t xml:space="preserve">Energy Policy</w:t>
      </w:r>
      <w:r>
        <w:rPr/>
        <w:t xml:space="preserve">. </w:t>
      </w:r>
      <w:hyperlink r:id="rId17">
        <w:r>
          <w:rPr>
            <w:rStyle w:val="Hyperlink"/>
          </w:rPr>
          <w:t xml:space="preserve">https://doi.org/10.1016/j.enpol.2022.113260</w:t>
        </w:r>
      </w:hyperlink>
    </w:p>
    <w:p>
      <w:pPr>
        <w:numPr>
          <w:ilvl w:val="0"/>
          <w:numId w:val="4"/>
        </w:numPr>
        <w:spacing w:lineRule="auto"/>
      </w:pPr>
      <w:r>
        <w:rPr/>
        <w:t xml:space="preserve">Ekumah, B. (2025) Counter-Hegemonic Struggles for Seed Sovereignty in Ghana: “The government only listens when you take action and block the roads”. </w:t>
      </w:r>
      <w:r>
        <w:rPr>
          <w:i/>
        </w:rPr>
        <w:t xml:space="preserve">Geoforum</w:t>
      </w:r>
      <w:r>
        <w:rPr/>
        <w:t xml:space="preserve">. </w:t>
      </w:r>
      <w:hyperlink r:id="rId18">
        <w:r>
          <w:rPr>
            <w:rStyle w:val="Hyperlink"/>
          </w:rPr>
          <w:t xml:space="preserve">https://doi.org/10.1016/j.geoforum.2025.104460</w:t>
        </w:r>
      </w:hyperlink>
    </w:p>
    <w:p>
      <w:pPr>
        <w:numPr>
          <w:ilvl w:val="0"/>
          <w:numId w:val="4"/>
        </w:numPr>
        <w:spacing w:lineRule="auto"/>
      </w:pPr>
      <w:r>
        <w:rPr/>
        <w:t xml:space="preserve">Fung, K.-Y., Chan, W.-S. (2025) Building a social support network for informal caregivers of older adults: A case study of Carer Cafés in Hong Kong. </w:t>
      </w:r>
      <w:r>
        <w:rPr>
          <w:i/>
        </w:rPr>
        <w:t xml:space="preserve">Journal of Aging Studies</w:t>
      </w:r>
      <w:r>
        <w:rPr/>
        <w:t xml:space="preserve">. </w:t>
      </w:r>
      <w:hyperlink r:id="rId19">
        <w:r>
          <w:rPr>
            <w:rStyle w:val="Hyperlink"/>
          </w:rPr>
          <w:t xml:space="preserve">https://doi.org/10.1016/j.jaging.2025.101310</w:t>
        </w:r>
      </w:hyperlink>
    </w:p>
    <w:p>
      <w:pPr>
        <w:numPr>
          <w:ilvl w:val="0"/>
          <w:numId w:val="4"/>
        </w:numPr>
        <w:spacing w:lineRule="auto"/>
      </w:pPr>
      <w:r>
        <w:rPr/>
        <w:t xml:space="preserve">Chiovaro, Megan, Windsor, Leah C., Windsor, Alistair, Paxton, Alexandra (2021) Online social cohesion reflects real-world group action in Syria during the Arab Spring. </w:t>
      </w:r>
      <w:r>
        <w:rPr>
          <w:i/>
        </w:rPr>
        <w:t xml:space="preserve">PLoS ONE</w:t>
      </w:r>
      <w:r>
        <w:rPr/>
        <w:t xml:space="preserve">. </w:t>
      </w:r>
      <w:hyperlink r:id="rId20">
        <w:r>
          <w:rPr>
            <w:rStyle w:val="Hyperlink"/>
          </w:rPr>
          <w:t xml:space="preserve">https://doi.org/10.1371/journal.pone.0254087</w:t>
        </w:r>
      </w:hyperlink>
    </w:p>
    <w:p>
      <w:pPr>
        <w:numPr>
          <w:ilvl w:val="0"/>
          <w:numId w:val="4"/>
        </w:numPr>
        <w:spacing w:lineRule="auto"/>
      </w:pPr>
      <w:r>
        <w:rPr/>
        <w:t xml:space="preserve">Hossain, L., Wu, A. (2009) Communications network centrality correlates to organisational coordination. </w:t>
      </w:r>
      <w:r>
        <w:rPr>
          <w:i/>
        </w:rPr>
        <w:t xml:space="preserve">International Journal of Project Management</w:t>
      </w:r>
      <w:r>
        <w:rPr/>
        <w:t xml:space="preserve">. </w:t>
      </w:r>
      <w:hyperlink r:id="rId21">
        <w:r>
          <w:rPr>
            <w:rStyle w:val="Hyperlink"/>
          </w:rPr>
          <w:t xml:space="preserve">https://doi.org/10.1016/j.ijproman.2009.02.003</w:t>
        </w:r>
      </w:hyperlink>
    </w:p>
    <w:p>
      <w:pPr>
        <w:numPr>
          <w:ilvl w:val="0"/>
          <w:numId w:val="4"/>
        </w:numPr>
        <w:spacing w:lineRule="auto"/>
      </w:pPr>
      <w:r>
        <w:rPr/>
        <w:t xml:space="preserve">Gibbs, B.G., Erickson, L.D., Dufur, M.J., Miles, A. (2015) Extracurricular associations and college enrollment. </w:t>
      </w:r>
      <w:r>
        <w:rPr>
          <w:i/>
        </w:rPr>
        <w:t xml:space="preserve">Social Science Research</w:t>
      </w:r>
      <w:r>
        <w:rPr/>
        <w:t xml:space="preserve">. </w:t>
      </w:r>
      <w:hyperlink r:id="rId22">
        <w:r>
          <w:rPr>
            <w:rStyle w:val="Hyperlink"/>
          </w:rPr>
          <w:t xml:space="preserve">https://doi.org/10.1016/j.ssresearch.2014.08.013</w:t>
        </w:r>
      </w:hyperlink>
    </w:p>
    <w:p>
      <w:pPr>
        <w:numPr>
          <w:ilvl w:val="0"/>
          <w:numId w:val="4"/>
        </w:numPr>
        <w:spacing w:lineRule="auto"/>
      </w:pPr>
      <w:r>
        <w:rPr/>
        <w:t xml:space="preserve">Kerrissey, J., Schofer, E. (2018) Labor Unions and political participation in comparative perspective. </w:t>
      </w:r>
      <w:r>
        <w:rPr>
          <w:i/>
        </w:rPr>
        <w:t xml:space="preserve">Social Forces</w:t>
      </w:r>
      <w:r>
        <w:rPr/>
        <w:t xml:space="preserve">. </w:t>
      </w:r>
      <w:hyperlink r:id="rId23">
        <w:r>
          <w:rPr>
            <w:rStyle w:val="Hyperlink"/>
          </w:rPr>
          <w:t xml:space="preserve">https://doi.org/10.1093/SF/SOY044</w:t>
        </w:r>
      </w:hyperlink>
    </w:p>
    <w:p>
      <w:pPr>
        <w:numPr>
          <w:ilvl w:val="0"/>
          <w:numId w:val="4"/>
        </w:numPr>
        <w:spacing w:lineRule="auto"/>
      </w:pPr>
      <w:r>
        <w:rPr/>
        <w:t xml:space="preserve">Huckfeldt, R., Sprague, J. (1992) Political Parties and Electoral Mobilization: Political Structure, Social Structure, and the Party Canvass. </w:t>
      </w:r>
      <w:r>
        <w:rPr>
          <w:i/>
        </w:rPr>
        <w:t xml:space="preserve">American Political Science Review</w:t>
      </w:r>
      <w:r>
        <w:rPr/>
        <w:t xml:space="preserve">. </w:t>
      </w:r>
      <w:hyperlink r:id="rId24">
        <w:r>
          <w:rPr>
            <w:rStyle w:val="Hyperlink"/>
          </w:rPr>
          <w:t xml:space="preserve">https://doi.org/10.2307/1964016</w:t>
        </w:r>
      </w:hyperlink>
    </w:p>
    <w:p>
      <w:pPr>
        <w:numPr>
          <w:ilvl w:val="0"/>
          <w:numId w:val="4"/>
        </w:numPr>
        <w:spacing w:lineRule="auto"/>
      </w:pPr>
      <w:r>
        <w:rPr/>
        <w:t xml:space="preserve">Hill, K.Q., Leighley, J.E. (1996) Political parties and class mobilization in contemporary United States election. </w:t>
      </w:r>
      <w:r>
        <w:rPr>
          <w:i/>
        </w:rPr>
        <w:t xml:space="preserve">American Journal of Political Science</w:t>
      </w:r>
      <w:r>
        <w:rPr/>
        <w:t xml:space="preserve">. </w:t>
      </w:r>
      <w:hyperlink r:id="rId25">
        <w:r>
          <w:rPr>
            <w:rStyle w:val="Hyperlink"/>
          </w:rPr>
          <w:t xml:space="preserve">https://doi.org/10.2307/2111795</w:t>
        </w:r>
      </w:hyperlink>
    </w:p>
    <w:p>
      <w:pPr>
        <w:numPr>
          <w:ilvl w:val="0"/>
          <w:numId w:val="4"/>
        </w:numPr>
        <w:spacing w:lineRule="auto"/>
      </w:pPr>
      <w:r>
        <w:rPr/>
        <w:t xml:space="preserve">Post, M.A. (2015) Multi-organizational Alliances and Policy Change: Understanding the Mobilization and Impact of Grassroots Coalitions. </w:t>
      </w:r>
      <w:r>
        <w:rPr>
          <w:i/>
        </w:rPr>
        <w:t xml:space="preserve">Nonprofit Policy Forum</w:t>
      </w:r>
      <w:r>
        <w:rPr/>
        <w:t xml:space="preserve">. </w:t>
      </w:r>
      <w:hyperlink r:id="rId26">
        <w:r>
          <w:rPr>
            <w:rStyle w:val="Hyperlink"/>
          </w:rPr>
          <w:t xml:space="preserve">https://doi.org/10.1515/npf-2014-0030</w:t>
        </w:r>
      </w:hyperlink>
    </w:p>
    <w:p>
      <w:pPr>
        <w:numPr>
          <w:ilvl w:val="0"/>
          <w:numId w:val="4"/>
        </w:numPr>
        <w:spacing w:lineRule="auto"/>
      </w:pPr>
      <w:r>
        <w:rPr/>
        <w:t xml:space="preserve">Osa, M., Corduneanu-Huci, C. (2003) Running uphill: Political opportunity in non-democracies. </w:t>
      </w:r>
      <w:r>
        <w:rPr>
          <w:i/>
        </w:rPr>
        <w:t xml:space="preserve">Comparative Sociology</w:t>
      </w:r>
      <w:r>
        <w:rPr/>
        <w:t xml:space="preserve">. </w:t>
      </w:r>
      <w:hyperlink r:id="rId27">
        <w:r>
          <w:rPr>
            <w:rStyle w:val="Hyperlink"/>
          </w:rPr>
          <w:t xml:space="preserve">https://doi.org/10.1163/156913303322661883</w:t>
        </w:r>
      </w:hyperlink>
    </w:p>
    <w:p>
      <w:pPr>
        <w:numPr>
          <w:ilvl w:val="0"/>
          <w:numId w:val="4"/>
        </w:numPr>
        <w:spacing w:lineRule="auto"/>
      </w:pPr>
      <w:r>
        <w:rPr/>
        <w:t xml:space="preserve">Evans, A.D. (2023) Exploring Local Political Opportunity Structures: Protest and Social Control in Russia’s Provinces. </w:t>
      </w:r>
      <w:r>
        <w:rPr>
          <w:i/>
        </w:rPr>
        <w:t xml:space="preserve">Russian Politics</w:t>
      </w:r>
      <w:r>
        <w:rPr/>
        <w:t xml:space="preserve">. </w:t>
      </w:r>
      <w:hyperlink r:id="rId28">
        <w:r>
          <w:rPr>
            <w:rStyle w:val="Hyperlink"/>
          </w:rPr>
          <w:t xml:space="preserve">https://doi.org/10.30965/24518921-00803008</w:t>
        </w:r>
      </w:hyperlink>
    </w:p>
    <w:p>
      <w:pPr>
        <w:numPr>
          <w:ilvl w:val="0"/>
          <w:numId w:val="4"/>
        </w:numPr>
        <w:spacing w:lineRule="auto"/>
      </w:pPr>
      <w:r>
        <w:rPr/>
        <w:t xml:space="preserve">Vissers, S., Hooghe, M., Stolle, D., Mahéo, V.-A. (2012) The impact of mobilization media on off-line and online participation: Are mobilization effects medium-specific?. </w:t>
      </w:r>
      <w:r>
        <w:rPr>
          <w:i/>
        </w:rPr>
        <w:t xml:space="preserve">Social Science Computer Review</w:t>
      </w:r>
      <w:r>
        <w:rPr/>
        <w:t xml:space="preserve">. </w:t>
      </w:r>
      <w:hyperlink r:id="rId29">
        <w:r>
          <w:rPr>
            <w:rStyle w:val="Hyperlink"/>
          </w:rPr>
          <w:t xml:space="preserve">https://doi.org/10.1177/0894439310396485</w:t>
        </w:r>
      </w:hyperlink>
    </w:p>
    <w:p>
      <w:pPr>
        <w:numPr>
          <w:ilvl w:val="0"/>
          <w:numId w:val="4"/>
        </w:numPr>
        <w:spacing w:lineRule="auto"/>
      </w:pPr>
      <w:r>
        <w:rPr/>
        <w:t xml:space="preserve">Hall, N. (2019) Norm contestation in the digital era: Campaigning for refugee rights. </w:t>
      </w:r>
      <w:r>
        <w:rPr>
          <w:i/>
        </w:rPr>
        <w:t xml:space="preserve">International Affairs</w:t>
      </w:r>
      <w:r>
        <w:rPr/>
        <w:t xml:space="preserve">. </w:t>
      </w:r>
      <w:hyperlink r:id="rId30">
        <w:r>
          <w:rPr>
            <w:rStyle w:val="Hyperlink"/>
          </w:rPr>
          <w:t xml:space="preserve">https://doi.org/10.1093/ia/iiz021</w:t>
        </w:r>
      </w:hyperlink>
    </w:p>
    <w:p>
      <w:pPr>
        <w:numPr>
          <w:ilvl w:val="0"/>
          <w:numId w:val="4"/>
        </w:numPr>
        <w:spacing w:lineRule="auto"/>
      </w:pPr>
      <w:r>
        <w:rPr/>
        <w:t xml:space="preserve">Bu, Y. (2017) From online to offline: The formation of collective action and its contributing factors: A case study of a food waste treatment facility location protest. </w:t>
      </w:r>
      <w:r>
        <w:rPr>
          <w:i/>
        </w:rPr>
        <w:t xml:space="preserve">Chinese Journal of Sociology</w:t>
      </w:r>
      <w:r>
        <w:rPr/>
        <w:t xml:space="preserve">. </w:t>
      </w:r>
      <w:hyperlink r:id="rId31">
        <w:r>
          <w:rPr>
            <w:rStyle w:val="Hyperlink"/>
          </w:rPr>
          <w:t xml:space="preserve">https://doi.org/10.1177/2057150X17700044</w:t>
        </w:r>
      </w:hyperlink>
    </w:p>
    <w:p>
      <w:pPr>
        <w:numPr>
          <w:ilvl w:val="0"/>
          <w:numId w:val="4"/>
        </w:numPr>
        <w:spacing w:lineRule="auto"/>
      </w:pPr>
      <w:r>
        <w:rPr/>
        <w:t xml:space="preserve">González-Bailõn, S., Borge-Holthoefer, J., Rivero, A., Moreno, Y. (2011) The dynamics of protest recruitment through an online network. </w:t>
      </w:r>
      <w:r>
        <w:rPr>
          <w:i/>
        </w:rPr>
        <w:t xml:space="preserve">Scientific Reports</w:t>
      </w:r>
      <w:r>
        <w:rPr/>
        <w:t xml:space="preserve">. </w:t>
      </w:r>
      <w:hyperlink r:id="rId32">
        <w:r>
          <w:rPr>
            <w:rStyle w:val="Hyperlink"/>
          </w:rPr>
          <w:t xml:space="preserve">https://doi.org/10.1038/srep00197</w:t>
        </w:r>
      </w:hyperlink>
    </w:p>
    <w:p>
      <w:pPr>
        <w:numPr>
          <w:ilvl w:val="0"/>
          <w:numId w:val="4"/>
        </w:numPr>
        <w:spacing w:lineRule="auto"/>
      </w:pPr>
      <w:r>
        <w:rPr/>
        <w:t xml:space="preserve">Danesh, Afsane, Athari, Seyyed Hossein (2024) Cyber Activism in Iran: A Case Study. </w:t>
      </w:r>
      <w:r>
        <w:rPr>
          <w:i/>
        </w:rPr>
        <w:t xml:space="preserve">Social Media + Society</w:t>
      </w:r>
      <w:r>
        <w:rPr/>
        <w:t xml:space="preserve">. </w:t>
      </w:r>
      <w:hyperlink r:id="rId33">
        <w:r>
          <w:rPr>
            <w:rStyle w:val="Hyperlink"/>
          </w:rPr>
          <w:t xml:space="preserve">https://doi.org/10.1177/20563051241279258</w:t>
        </w:r>
      </w:hyperlink>
    </w:p>
    <w:p>
      <w:pPr>
        <w:numPr>
          <w:ilvl w:val="0"/>
          <w:numId w:val="4"/>
        </w:numPr>
        <w:spacing w:lineRule="auto"/>
      </w:pPr>
      <w:r>
        <w:rPr/>
        <w:t xml:space="preserve">Boykoff, Jules (2022) Mass Media and Dissent. </w:t>
      </w:r>
      <w:r>
        <w:rPr>
          <w:i/>
        </w:rPr>
        <w:t xml:space="preserve">Encyclopedia of Violence, Peace, &amp; Conflict</w:t>
      </w:r>
      <w:r>
        <w:rPr/>
        <w:t xml:space="preserve">. </w:t>
      </w:r>
      <w:hyperlink r:id="rId34">
        <w:r>
          <w:rPr>
            <w:rStyle w:val="Hyperlink"/>
          </w:rPr>
          <w:t xml:space="preserve">https://doi.org/10.1016/B978-0-12-820195-4.00031-5</w:t>
        </w:r>
      </w:hyperlink>
    </w:p>
    <w:p>
      <w:pPr>
        <w:numPr>
          <w:ilvl w:val="0"/>
          <w:numId w:val="4"/>
        </w:numPr>
        <w:spacing w:lineRule="auto"/>
      </w:pPr>
      <w:r>
        <w:rPr/>
        <w:t xml:space="preserve">Bederson, V., Chernysheva, L., Semenov, A. (2025) Local Activism Goes Digital in Authoritarian Setting: The Use of Digital Platforms in Place-Based Conflicts in Russia. </w:t>
      </w:r>
      <w:r>
        <w:rPr>
          <w:i/>
        </w:rPr>
        <w:t xml:space="preserve">Social Media and Society</w:t>
      </w:r>
      <w:r>
        <w:rPr/>
        <w:t xml:space="preserve">. </w:t>
      </w:r>
      <w:hyperlink r:id="rId35">
        <w:r>
          <w:rPr>
            <w:rStyle w:val="Hyperlink"/>
          </w:rPr>
          <w:t xml:space="preserve">https://doi.org/10.1177/20563051251344455</w:t>
        </w:r>
      </w:hyperlink>
    </w:p>
    <w:p>
      <w:pPr>
        <w:numPr>
          <w:ilvl w:val="0"/>
          <w:numId w:val="4"/>
        </w:numPr>
        <w:spacing w:lineRule="auto"/>
      </w:pPr>
      <w:r>
        <w:rPr/>
        <w:t xml:space="preserve">Surdea-Hernea, V., Plopeanu, A.-P. (2026) The Repression-Dissent Nexus in High-Threat Environments: Evidence From the Romanian Gulag. </w:t>
      </w:r>
      <w:r>
        <w:rPr>
          <w:i/>
        </w:rPr>
        <w:t xml:space="preserve">Comparative Political Studies</w:t>
      </w:r>
      <w:r>
        <w:rPr/>
        <w:t xml:space="preserve">. </w:t>
      </w:r>
      <w:hyperlink r:id="rId36">
        <w:r>
          <w:rPr>
            <w:rStyle w:val="Hyperlink"/>
          </w:rPr>
          <w:t xml:space="preserve">https://doi.org/10.1177/00104140251381752</w:t>
        </w:r>
      </w:hyperlink>
    </w:p>
    <w:p>
      <w:pPr>
        <w:numPr>
          <w:ilvl w:val="0"/>
          <w:numId w:val="4"/>
        </w:numPr>
        <w:spacing w:lineRule="auto"/>
      </w:pPr>
      <w:r>
        <w:rPr/>
        <w:t xml:space="preserve">Fu, D. (2017) Fragmented control: Governing contentious labor organizations in China. </w:t>
      </w:r>
      <w:r>
        <w:rPr>
          <w:i/>
        </w:rPr>
        <w:t xml:space="preserve">Governance</w:t>
      </w:r>
      <w:r>
        <w:rPr/>
        <w:t xml:space="preserve">. </w:t>
      </w:r>
      <w:hyperlink r:id="rId37">
        <w:r>
          <w:rPr>
            <w:rStyle w:val="Hyperlink"/>
          </w:rPr>
          <w:t xml:space="preserve">https://doi.org/10.1111/gove.12248</w:t>
        </w:r>
      </w:hyperlink>
    </w:p>
    <w:p>
      <w:pPr>
        <w:numPr>
          <w:ilvl w:val="0"/>
          <w:numId w:val="4"/>
        </w:numPr>
        <w:spacing w:lineRule="auto"/>
      </w:pPr>
      <w:r>
        <w:rPr/>
        <w:t xml:space="preserve">Johnston, H. (2012) State violence and oppositional protest in high-capacity authoritarian regimes. </w:t>
      </w:r>
      <w:r>
        <w:rPr>
          <w:i/>
        </w:rPr>
        <w:t xml:space="preserve">International Journal of Conflict and Violence</w:t>
      </w:r>
      <w:r>
        <w:rPr/>
        <w:t xml:space="preserve">. </w:t>
      </w:r>
      <w:hyperlink r:id="rId38">
        <w:r>
          <w:rPr>
            <w:rStyle w:val="Hyperlink"/>
          </w:rPr>
          <w:t xml:space="preserve">https://www.scopus.com/pages/publications/84864100954</w:t>
        </w:r>
      </w:hyperlink>
    </w:p>
    <w:p>
      <w:pPr>
        <w:numPr>
          <w:ilvl w:val="0"/>
          <w:numId w:val="4"/>
        </w:numPr>
        <w:spacing w:lineRule="auto"/>
      </w:pPr>
      <w:r>
        <w:rPr/>
        <w:t xml:space="preserve">Ferrara, F. (2003) Why regimes create disorder: Hobbes's dilemma during a Rangoon summer. </w:t>
      </w:r>
      <w:r>
        <w:rPr>
          <w:i/>
        </w:rPr>
        <w:t xml:space="preserve">Journal of Conflict Resolution</w:t>
      </w:r>
      <w:r>
        <w:rPr/>
        <w:t xml:space="preserve">. </w:t>
      </w:r>
      <w:hyperlink r:id="rId39">
        <w:r>
          <w:rPr>
            <w:rStyle w:val="Hyperlink"/>
          </w:rPr>
          <w:t xml:space="preserve">https://doi.org/10.1177/0022002703047003003</w:t>
        </w:r>
      </w:hyperlink>
    </w:p>
    <w:p>
      <w:pPr>
        <w:numPr>
          <w:ilvl w:val="0"/>
          <w:numId w:val="4"/>
        </w:numPr>
        <w:spacing w:lineRule="auto"/>
      </w:pPr>
      <w:r>
        <w:rPr/>
        <w:t xml:space="preserve">Kwak, H. (2025) When repression surprises: Contextual deviations and protest mobilization. </w:t>
      </w:r>
      <w:r>
        <w:rPr>
          <w:i/>
        </w:rPr>
        <w:t xml:space="preserve">Research and Politics</w:t>
      </w:r>
      <w:r>
        <w:rPr/>
        <w:t xml:space="preserve">. </w:t>
      </w:r>
      <w:hyperlink r:id="rId40">
        <w:r>
          <w:rPr>
            <w:rStyle w:val="Hyperlink"/>
          </w:rPr>
          <w:t xml:space="preserve">https://doi.org/10.1177/20531680251381521</w:t>
        </w:r>
      </w:hyperlink>
    </w:p>
    <w:p>
      <w:pPr>
        <w:numPr>
          <w:ilvl w:val="0"/>
          <w:numId w:val="4"/>
        </w:numPr>
        <w:spacing w:lineRule="auto"/>
      </w:pPr>
      <w:r>
        <w:rPr/>
        <w:t xml:space="preserve">Cable, S., Degutis, B. (1997) Movement Outcomes and Dimensions of Social Change: The Multiple Effects of Local Mobilizations. </w:t>
      </w:r>
      <w:r>
        <w:rPr>
          <w:i/>
        </w:rPr>
        <w:t xml:space="preserve">Current Sociology</w:t>
      </w:r>
      <w:r>
        <w:rPr/>
        <w:t xml:space="preserve">. </w:t>
      </w:r>
      <w:hyperlink r:id="rId41">
        <w:r>
          <w:rPr>
            <w:rStyle w:val="Hyperlink"/>
          </w:rPr>
          <w:t xml:space="preserve">https://doi.org/10.1177/001139297045003007</w:t>
        </w:r>
      </w:hyperlink>
    </w:p>
    <w:p>
      <w:pPr>
        <w:numPr>
          <w:ilvl w:val="0"/>
          <w:numId w:val="4"/>
        </w:numPr>
        <w:spacing w:lineRule="auto"/>
      </w:pPr>
      <w:r>
        <w:rPr/>
        <w:t xml:space="preserve">Cress, D.M., Snow, D.A. (2000) The outcomes of homeless mobilization: The influence of organization, disruption, political mediation, and framing. </w:t>
      </w:r>
      <w:r>
        <w:rPr>
          <w:i/>
        </w:rPr>
        <w:t xml:space="preserve">American Journal of Sociology</w:t>
      </w:r>
      <w:r>
        <w:rPr/>
        <w:t xml:space="preserve">. </w:t>
      </w:r>
      <w:hyperlink r:id="rId42">
        <w:r>
          <w:rPr>
            <w:rStyle w:val="Hyperlink"/>
          </w:rPr>
          <w:t xml:space="preserve">https://doi.org/10.1086/210399</w:t>
        </w:r>
      </w:hyperlink>
    </w:p>
    <w:p>
      <w:pPr>
        <w:numPr>
          <w:ilvl w:val="0"/>
          <w:numId w:val="4"/>
        </w:numPr>
        <w:spacing w:lineRule="auto"/>
      </w:pPr>
      <w:r>
        <w:rPr/>
        <w:t xml:space="preserve">Giugni, M.G. (1998) Was it worth the effort? The Outcomes and Consequences of Social Movements. </w:t>
      </w:r>
      <w:r>
        <w:rPr>
          <w:i/>
        </w:rPr>
        <w:t xml:space="preserve">Annual Review of Sociology</w:t>
      </w:r>
      <w:r>
        <w:rPr/>
        <w:t xml:space="preserve">. </w:t>
      </w:r>
      <w:hyperlink r:id="rId43">
        <w:r>
          <w:rPr>
            <w:rStyle w:val="Hyperlink"/>
          </w:rPr>
          <w:t xml:space="preserve">https://doi.org/10.1146/annurev.soc.24.1.371</w:t>
        </w:r>
      </w:hyperlink>
    </w:p>
    <w:p>
      <w:pPr>
        <w:numPr>
          <w:ilvl w:val="0"/>
          <w:numId w:val="4"/>
        </w:numPr>
        <w:spacing w:lineRule="auto"/>
      </w:pPr>
      <w:r>
        <w:rPr/>
        <w:t xml:space="preserve">Kalb, Z. (2019) Corporatist coalitions as agents of civil society: The politics of student and labour unions in Iran. </w:t>
      </w:r>
      <w:r>
        <w:rPr>
          <w:i/>
        </w:rPr>
        <w:t xml:space="preserve">Mediterranean Politics</w:t>
      </w:r>
      <w:r>
        <w:rPr/>
        <w:t xml:space="preserve">. </w:t>
      </w:r>
      <w:hyperlink r:id="rId44">
        <w:r>
          <w:rPr>
            <w:rStyle w:val="Hyperlink"/>
          </w:rPr>
          <w:t xml:space="preserve">https://doi.org/10.1080/13629395.2019.1639021</w:t>
        </w:r>
      </w:hyperlink>
    </w:p>
    <w:p>
      <w:pPr>
        <w:numPr>
          <w:ilvl w:val="0"/>
          <w:numId w:val="4"/>
        </w:numPr>
        <w:spacing w:lineRule="auto"/>
      </w:pPr>
      <w:r>
        <w:rPr/>
        <w:t xml:space="preserve">Thyen, K. (2017) Managing contention: Divergent government responses to youth protests in the Arab world. </w:t>
      </w:r>
      <w:r>
        <w:rPr>
          <w:i/>
        </w:rPr>
        <w:t xml:space="preserve">Middle East Law and Governance</w:t>
      </w:r>
      <w:r>
        <w:rPr/>
        <w:t xml:space="preserve">. </w:t>
      </w:r>
      <w:hyperlink r:id="rId45">
        <w:r>
          <w:rPr>
            <w:rStyle w:val="Hyperlink"/>
          </w:rPr>
          <w:t xml:space="preserve">https://doi.org/10.1163/18763375-01001003</w:t>
        </w:r>
      </w:hyperlink>
    </w:p>
    <w:p>
      <w:pPr>
        <w:numPr>
          <w:ilvl w:val="0"/>
          <w:numId w:val="4"/>
        </w:numPr>
        <w:spacing w:lineRule="auto"/>
      </w:pPr>
      <w:r>
        <w:rPr/>
        <w:t xml:space="preserve">Yeh, E.T. (2012) Transnational environmentalism and entanglements of sovereignty: The tiger campaign across the Himalayas. </w:t>
      </w:r>
      <w:r>
        <w:rPr>
          <w:i/>
        </w:rPr>
        <w:t xml:space="preserve">Political Geography</w:t>
      </w:r>
      <w:r>
        <w:rPr/>
        <w:t xml:space="preserve">. </w:t>
      </w:r>
      <w:hyperlink r:id="rId46">
        <w:r>
          <w:rPr>
            <w:rStyle w:val="Hyperlink"/>
          </w:rPr>
          <w:t xml:space="preserve">https://doi.org/10.1016/j.polgeo.2012.06.003</w:t>
        </w:r>
      </w:hyperlink>
    </w:p>
    <w:p>
      <w:pPr>
        <w:numPr>
          <w:ilvl w:val="0"/>
          <w:numId w:val="4"/>
        </w:numPr>
        <w:spacing w:lineRule="auto"/>
      </w:pPr>
      <w:r>
        <w:rPr/>
        <w:t xml:space="preserve">Gladwin, M. (1994) The Theory and Politics of Contemporary Social Movements. </w:t>
      </w:r>
      <w:r>
        <w:rPr>
          <w:i/>
        </w:rPr>
        <w:t xml:space="preserve">Politics</w:t>
      </w:r>
      <w:r>
        <w:rPr/>
        <w:t xml:space="preserve">. </w:t>
      </w:r>
      <w:hyperlink r:id="rId47">
        <w:r>
          <w:rPr>
            <w:rStyle w:val="Hyperlink"/>
          </w:rPr>
          <w:t xml:space="preserve">https://doi.org/10.1111/j.1467-9256.1994.tb00118.x</w:t>
        </w:r>
      </w:hyperlink>
    </w:p>
    <w:p>
      <w:pPr>
        <w:numPr>
          <w:ilvl w:val="0"/>
          <w:numId w:val="4"/>
        </w:numPr>
        <w:spacing w:lineRule="auto"/>
      </w:pPr>
      <w:r>
        <w:rPr/>
        <w:t xml:space="preserve">Klandermans, B. (1993) A theoretical framework for comparisons of social movement participation. </w:t>
      </w:r>
      <w:r>
        <w:rPr>
          <w:i/>
        </w:rPr>
        <w:t xml:space="preserve">Sociological Forum</w:t>
      </w:r>
      <w:r>
        <w:rPr/>
        <w:t xml:space="preserve">. </w:t>
      </w:r>
      <w:hyperlink r:id="rId48">
        <w:r>
          <w:rPr>
            <w:rStyle w:val="Hyperlink"/>
          </w:rPr>
          <w:t xml:space="preserve">https://doi.org/10.1007/BF01115051</w:t>
        </w:r>
      </w:hyperlink>
    </w:p>
    <w:p>
      <w:pPr>
        <w:numPr>
          <w:ilvl w:val="0"/>
          <w:numId w:val="4"/>
        </w:numPr>
        <w:spacing w:lineRule="auto"/>
      </w:pPr>
      <w:r>
        <w:rPr/>
        <w:t xml:space="preserve">Pichardo, N.A. (1988) RESOURCE MOBILIZATION: AN ANALYSIS OF CONFLICTING THEORETICAL VARIATIONS. </w:t>
      </w:r>
      <w:r>
        <w:rPr>
          <w:i/>
        </w:rPr>
        <w:t xml:space="preserve">Sociological Quarterly</w:t>
      </w:r>
      <w:r>
        <w:rPr/>
        <w:t xml:space="preserve">. </w:t>
      </w:r>
      <w:hyperlink r:id="rId49">
        <w:r>
          <w:rPr>
            <w:rStyle w:val="Hyperlink"/>
          </w:rPr>
          <w:t xml:space="preserve">https://doi.org/10.1111/j.1533-8525.1988.tb01245.x</w:t>
        </w:r>
      </w:hyperlink>
    </w:p>
    <w:p>
      <w:pPr>
        <w:numPr>
          <w:ilvl w:val="0"/>
          <w:numId w:val="4"/>
        </w:numPr>
        <w:spacing w:lineRule="auto"/>
      </w:pPr>
      <w:r>
        <w:rPr/>
        <w:t xml:space="preserve">Zald, M.N., Ash, R. (1966) Social movement organizations: Growth, decay and change. </w:t>
      </w:r>
      <w:r>
        <w:rPr>
          <w:i/>
        </w:rPr>
        <w:t xml:space="preserve">Social Forces</w:t>
      </w:r>
      <w:r>
        <w:rPr/>
        <w:t xml:space="preserve">. </w:t>
      </w:r>
      <w:hyperlink r:id="rId50">
        <w:r>
          <w:rPr>
            <w:rStyle w:val="Hyperlink"/>
          </w:rPr>
          <w:t xml:space="preserve">https://doi.org/10.1093/sf/44.3.327</w:t>
        </w:r>
      </w:hyperlink>
    </w:p>
    <w:p>
      <w:pPr>
        <w:numPr>
          <w:ilvl w:val="0"/>
          <w:numId w:val="4"/>
        </w:numPr>
        <w:spacing w:lineRule="auto"/>
      </w:pPr>
      <w:r>
        <w:rPr/>
        <w:t xml:space="preserve">Borbach, Christoph, Chun, Wendy Hui Kyong, Thielmann, Tristan (2025) Images of protest in movement parties’ social media communication. </w:t>
      </w:r>
      <w:r>
        <w:rPr>
          <w:i/>
        </w:rPr>
        <w:t xml:space="preserve">New Media &amp; Society</w:t>
      </w:r>
      <w:r>
        <w:rPr/>
        <w:t xml:space="preserve">. </w:t>
      </w:r>
      <w:hyperlink r:id="rId51">
        <w:r>
          <w:rPr>
            <w:rStyle w:val="Hyperlink"/>
          </w:rPr>
          <w:t xml:space="preserve">https://doi.org/10.1177/14614448241243352</w:t>
        </w:r>
      </w:hyperlink>
    </w:p>
    <w:p>
      <w:pPr>
        <w:numPr>
          <w:ilvl w:val="0"/>
          <w:numId w:val="4"/>
        </w:numPr>
        <w:spacing w:lineRule="auto"/>
      </w:pPr>
      <w:r>
        <w:rPr/>
        <w:t xml:space="preserve">Agur, Colin, Frisch, Nicholas (2019) Digital Disobedience and the Limits of Persuasion: Social Media Activism in Hong Kong’s 2014 Umbrella Movement. </w:t>
      </w:r>
      <w:r>
        <w:rPr>
          <w:i/>
        </w:rPr>
        <w:t xml:space="preserve">Social Media + Society</w:t>
      </w:r>
      <w:r>
        <w:rPr/>
        <w:t xml:space="preserve">. </w:t>
      </w:r>
      <w:hyperlink r:id="rId52">
        <w:r>
          <w:rPr>
            <w:rStyle w:val="Hyperlink"/>
          </w:rPr>
          <w:t xml:space="preserve">https://doi.org/10.1177/2056305119827002</w:t>
        </w:r>
      </w:hyperlink>
    </w:p>
    <w:p>
      <w:pPr>
        <w:numPr>
          <w:ilvl w:val="0"/>
          <w:numId w:val="4"/>
        </w:numPr>
        <w:spacing w:lineRule="auto"/>
      </w:pPr>
      <w:r>
        <w:rPr/>
        <w:t xml:space="preserve">Pilati, K. (2011) Political context, organizational engagement, and protest in African countries. </w:t>
      </w:r>
      <w:r>
        <w:rPr>
          <w:i/>
        </w:rPr>
        <w:t xml:space="preserve">Mobilization</w:t>
      </w:r>
      <w:r>
        <w:rPr/>
        <w:t xml:space="preserve">. </w:t>
      </w:r>
      <w:hyperlink r:id="rId53">
        <w:r>
          <w:rPr>
            <w:rStyle w:val="Hyperlink"/>
          </w:rPr>
          <w:t xml:space="preserve">https://www.scopus.com/pages/publications/84856415150</w:t>
        </w:r>
      </w:hyperlink>
    </w:p>
    <w:p>
      <w:pPr>
        <w:numPr>
          <w:ilvl w:val="0"/>
          <w:numId w:val="4"/>
        </w:numPr>
        <w:spacing w:lineRule="auto"/>
      </w:pPr>
      <w:r>
        <w:rPr/>
        <w:t xml:space="preserve">Sommerfeldt, E.J. (2013) Online Power Resource Management: Activist Resource Mobilization, Communication Strategy, and Organizational Structure. </w:t>
      </w:r>
      <w:r>
        <w:rPr>
          <w:i/>
        </w:rPr>
        <w:t xml:space="preserve">Journal of Public Relations Research</w:t>
      </w:r>
      <w:r>
        <w:rPr/>
        <w:t xml:space="preserve">. </w:t>
      </w:r>
      <w:hyperlink r:id="rId54">
        <w:r>
          <w:rPr>
            <w:rStyle w:val="Hyperlink"/>
          </w:rPr>
          <w:t xml:space="preserve">https://doi.org/10.1080/1062726X.2013.806871</w:t>
        </w:r>
      </w:hyperlink>
    </w:p>
    <w:p>
      <w:pPr>
        <w:numPr>
          <w:ilvl w:val="0"/>
          <w:numId w:val="4"/>
        </w:numPr>
        <w:spacing w:lineRule="auto"/>
      </w:pPr>
      <w:r>
        <w:rPr/>
        <w:t xml:space="preserve">Sommerfeldt, E. (2011) Activist online resource mobilization: Relationship building features that fulfill resource dependencies. </w:t>
      </w:r>
      <w:r>
        <w:rPr>
          <w:i/>
        </w:rPr>
        <w:t xml:space="preserve">Public Relations Review</w:t>
      </w:r>
      <w:r>
        <w:rPr/>
        <w:t xml:space="preserve">. </w:t>
      </w:r>
      <w:hyperlink r:id="rId55">
        <w:r>
          <w:rPr>
            <w:rStyle w:val="Hyperlink"/>
          </w:rPr>
          <w:t xml:space="preserve">https://doi.org/10.1016/j.pubrev.2011.03.003</w:t>
        </w:r>
      </w:hyperlink>
    </w:p>
    <w:p>
      <w:pPr>
        <w:numPr>
          <w:ilvl w:val="0"/>
          <w:numId w:val="4"/>
        </w:numPr>
        <w:spacing w:lineRule="auto"/>
      </w:pPr>
      <w:r>
        <w:rPr/>
        <w:t xml:space="preserve">Fuchs, C. (2006) The self-organization of social movements. </w:t>
      </w:r>
      <w:r>
        <w:rPr>
          <w:i/>
        </w:rPr>
        <w:t xml:space="preserve">Systemic Practice and Action Research</w:t>
      </w:r>
      <w:r>
        <w:rPr/>
        <w:t xml:space="preserve">. </w:t>
      </w:r>
      <w:hyperlink r:id="rId56">
        <w:r>
          <w:rPr>
            <w:rStyle w:val="Hyperlink"/>
          </w:rPr>
          <w:t xml:space="preserve">https://doi.org/10.1007/s11213-005-9006-0</w:t>
        </w:r>
      </w:hyperlink>
    </w:p>
    <w:p>
      <w:pPr>
        <w:numPr>
          <w:ilvl w:val="0"/>
          <w:numId w:val="4"/>
        </w:numPr>
        <w:spacing w:lineRule="auto"/>
      </w:pPr>
      <w:r>
        <w:rPr/>
        <w:t xml:space="preserve">Wood, J.L. (2001) Collective Behavior, Sociology of. </w:t>
      </w:r>
      <w:r>
        <w:rPr>
          <w:i/>
        </w:rPr>
        <w:t xml:space="preserve">International Encyclopedia of the Social &amp; Behavioral Sciences</w:t>
      </w:r>
      <w:r>
        <w:rPr/>
        <w:t xml:space="preserve">. </w:t>
      </w:r>
      <w:hyperlink r:id="rId57">
        <w:r>
          <w:rPr>
            <w:rStyle w:val="Hyperlink"/>
          </w:rPr>
          <w:t xml:space="preserve">https://doi.org/10.1016/B0-08-043076-7/01868-4</w:t>
        </w:r>
      </w:hyperlink>
    </w:p>
    <w:p>
      <w:pPr>
        <w:numPr>
          <w:ilvl w:val="0"/>
          <w:numId w:val="4"/>
        </w:numPr>
        <w:spacing w:lineRule="auto"/>
      </w:pPr>
      <w:r>
        <w:rPr/>
        <w:t xml:space="preserve">McGehee, N. (2002) Alternative tourism and social movements. </w:t>
      </w:r>
      <w:r>
        <w:rPr>
          <w:i/>
        </w:rPr>
        <w:t xml:space="preserve">Annals of Tourism Research</w:t>
      </w:r>
      <w:r>
        <w:rPr/>
        <w:t xml:space="preserve">. </w:t>
      </w:r>
      <w:hyperlink r:id="rId58">
        <w:r>
          <w:rPr>
            <w:rStyle w:val="Hyperlink"/>
          </w:rPr>
          <w:t xml:space="preserve">https://doi.org/10.1016/S0160-7383(01)00027-5</w:t>
        </w:r>
      </w:hyperlink>
    </w:p>
    <w:p>
      <w:pPr>
        <w:numPr>
          <w:ilvl w:val="0"/>
          <w:numId w:val="4"/>
        </w:numPr>
        <w:spacing w:lineRule="auto"/>
      </w:pPr>
      <w:r>
        <w:rPr/>
        <w:t xml:space="preserve">Parent, M.M., Rouillard, C., Naraine, M.L. (2017) Network governance of a multi-level, multi-sectoral sport event: Differences in coordinating ties and actors. </w:t>
      </w:r>
      <w:r>
        <w:rPr>
          <w:i/>
        </w:rPr>
        <w:t xml:space="preserve">Sport Management Review</w:t>
      </w:r>
      <w:r>
        <w:rPr/>
        <w:t xml:space="preserve">. </w:t>
      </w:r>
      <w:hyperlink r:id="rId59">
        <w:r>
          <w:rPr>
            <w:rStyle w:val="Hyperlink"/>
          </w:rPr>
          <w:t xml:space="preserve">https://doi.org/10.1016/j.smr.2017.02.001</w:t>
        </w:r>
      </w:hyperlink>
    </w:p>
    <w:p>
      <w:pPr>
        <w:numPr>
          <w:ilvl w:val="0"/>
          <w:numId w:val="4"/>
        </w:numPr>
        <w:spacing w:lineRule="auto"/>
      </w:pPr>
      <w:r>
        <w:rPr/>
        <w:t xml:space="preserve">Kerrissey, J., Schofer, E. (2013) Union membership and political participation in the United States. </w:t>
      </w:r>
      <w:r>
        <w:rPr>
          <w:i/>
        </w:rPr>
        <w:t xml:space="preserve">Social Forces</w:t>
      </w:r>
      <w:r>
        <w:rPr/>
        <w:t xml:space="preserve">. </w:t>
      </w:r>
      <w:hyperlink r:id="rId60">
        <w:r>
          <w:rPr>
            <w:rStyle w:val="Hyperlink"/>
          </w:rPr>
          <w:t xml:space="preserve">https://doi.org/10.1093/sf/sos187</w:t>
        </w:r>
      </w:hyperlink>
    </w:p>
    <w:p>
      <w:pPr>
        <w:numPr>
          <w:ilvl w:val="0"/>
          <w:numId w:val="4"/>
        </w:numPr>
        <w:spacing w:lineRule="auto"/>
      </w:pPr>
      <w:r>
        <w:rPr/>
        <w:t xml:space="preserve">Lyon, G., Schaffner, B.F. (2021) Labor Unions and Non-member Political Protest Mobilization in the United States. </w:t>
      </w:r>
      <w:r>
        <w:rPr>
          <w:i/>
        </w:rPr>
        <w:t xml:space="preserve">Political Research Quarterly</w:t>
      </w:r>
      <w:r>
        <w:rPr/>
        <w:t xml:space="preserve">. </w:t>
      </w:r>
      <w:hyperlink r:id="rId61">
        <w:r>
          <w:rPr>
            <w:rStyle w:val="Hyperlink"/>
          </w:rPr>
          <w:t xml:space="preserve">https://doi.org/10.1177/1065912920950826</w:t>
        </w:r>
      </w:hyperlink>
    </w:p>
    <w:p>
      <w:pPr>
        <w:numPr>
          <w:ilvl w:val="0"/>
          <w:numId w:val="4"/>
        </w:numPr>
        <w:spacing w:lineRule="auto"/>
      </w:pPr>
      <w:r>
        <w:rPr/>
        <w:t xml:space="preserve">Chironi, D., Fittipaldi, R. (2017) Social movements and new forms of political organization: Po-demos as a hybrid party. </w:t>
      </w:r>
      <w:r>
        <w:rPr>
          <w:i/>
        </w:rPr>
        <w:t xml:space="preserve">Partecipazione e Conflitto</w:t>
      </w:r>
      <w:r>
        <w:rPr/>
        <w:t xml:space="preserve">. </w:t>
      </w:r>
      <w:hyperlink r:id="rId62">
        <w:r>
          <w:rPr>
            <w:rStyle w:val="Hyperlink"/>
          </w:rPr>
          <w:t xml:space="preserve">https://doi.org/10.1285/i20356609v10i1p275</w:t>
        </w:r>
      </w:hyperlink>
    </w:p>
    <w:p>
      <w:pPr>
        <w:numPr>
          <w:ilvl w:val="0"/>
          <w:numId w:val="4"/>
        </w:numPr>
        <w:spacing w:lineRule="auto"/>
      </w:pPr>
      <w:r>
        <w:rPr/>
        <w:t xml:space="preserve">Ertan, G. (2023) Anatomy of an urban mobilization network. </w:t>
      </w:r>
      <w:r>
        <w:rPr>
          <w:i/>
        </w:rPr>
        <w:t xml:space="preserve">Cities</w:t>
      </w:r>
      <w:r>
        <w:rPr/>
        <w:t xml:space="preserve">. </w:t>
      </w:r>
      <w:hyperlink r:id="rId63">
        <w:r>
          <w:rPr>
            <w:rStyle w:val="Hyperlink"/>
          </w:rPr>
          <w:t xml:space="preserve">https://doi.org/10.1016/j.cities.2023.104362</w:t>
        </w:r>
      </w:hyperlink>
    </w:p>
    <w:p>
      <w:pPr>
        <w:numPr>
          <w:ilvl w:val="0"/>
          <w:numId w:val="4"/>
        </w:numPr>
        <w:spacing w:lineRule="auto"/>
      </w:pPr>
      <w:r>
        <w:rPr/>
        <w:t xml:space="preserve">Saunders, C. (2022) SOCIAL NETWORKS AND RECRUITMENT FOR ENVIRONMENTAL MOVEMENTS. </w:t>
      </w:r>
      <w:r>
        <w:rPr>
          <w:i/>
        </w:rPr>
        <w:t xml:space="preserve">The Routledge Handbook of Environmental Movements</w:t>
      </w:r>
      <w:r>
        <w:rPr/>
        <w:t xml:space="preserve">. </w:t>
      </w:r>
      <w:hyperlink r:id="rId64">
        <w:r>
          <w:rPr>
            <w:rStyle w:val="Hyperlink"/>
          </w:rPr>
          <w:t xml:space="preserve">https://doi.org/10.4324/9780367855680-30</w:t>
        </w:r>
      </w:hyperlink>
    </w:p>
    <w:p>
      <w:pPr>
        <w:numPr>
          <w:ilvl w:val="0"/>
          <w:numId w:val="4"/>
        </w:numPr>
        <w:spacing w:lineRule="auto"/>
      </w:pPr>
      <w:r>
        <w:rPr/>
        <w:t xml:space="preserve">Yankova, Dima, D’Este, Pablo, García-Melón, Mónica (2024) Does repetition equal more of the same? tie strength and thematic orientation in R&amp;D networks. </w:t>
      </w:r>
      <w:r>
        <w:rPr>
          <w:i/>
        </w:rPr>
        <w:t xml:space="preserve">PLoS ONE</w:t>
      </w:r>
      <w:r>
        <w:rPr/>
        <w:t xml:space="preserve">. </w:t>
      </w:r>
      <w:hyperlink r:id="rId65">
        <w:r>
          <w:rPr>
            <w:rStyle w:val="Hyperlink"/>
          </w:rPr>
          <w:t xml:space="preserve">https://doi.org/10.1371/journal.pone.0303912</w:t>
        </w:r>
      </w:hyperlink>
    </w:p>
    <w:p>
      <w:pPr>
        <w:numPr>
          <w:ilvl w:val="0"/>
          <w:numId w:val="4"/>
        </w:numPr>
        <w:spacing w:lineRule="auto"/>
      </w:pPr>
      <w:r>
        <w:rPr/>
        <w:t xml:space="preserve">Mandják, T., Szalkai, Z., Neumann-Bódi, E., (...), Simon, J. (2016) Trigger issues in emerging relationships. </w:t>
      </w:r>
      <w:r>
        <w:rPr>
          <w:i/>
        </w:rPr>
        <w:t xml:space="preserve">Industrial Marketing Management</w:t>
      </w:r>
      <w:r>
        <w:rPr/>
        <w:t xml:space="preserve">. </w:t>
      </w:r>
      <w:hyperlink r:id="rId66">
        <w:r>
          <w:rPr>
            <w:rStyle w:val="Hyperlink"/>
          </w:rPr>
          <w:t xml:space="preserve">https://doi.org/10.1016/j.indmarman.2016.05.021</w:t>
        </w:r>
      </w:hyperlink>
    </w:p>
    <w:p>
      <w:pPr>
        <w:numPr>
          <w:ilvl w:val="0"/>
          <w:numId w:val="4"/>
        </w:numPr>
        <w:spacing w:lineRule="auto"/>
      </w:pPr>
      <w:r>
        <w:rPr/>
        <w:t xml:space="preserve">Wang, Xiao (2023) Longitudinal multiplexity and structural constraints of online emergency collaborative networks: A tale of two Chinese societies. </w:t>
      </w:r>
      <w:r>
        <w:rPr>
          <w:i/>
        </w:rPr>
        <w:t xml:space="preserve">PLoS ONE</w:t>
      </w:r>
      <w:r>
        <w:rPr/>
        <w:t xml:space="preserve">. </w:t>
      </w:r>
      <w:hyperlink r:id="rId67">
        <w:r>
          <w:rPr>
            <w:rStyle w:val="Hyperlink"/>
          </w:rPr>
          <w:t xml:space="preserve">https://doi.org/10.1371/journal.pone.0289277</w:t>
        </w:r>
      </w:hyperlink>
    </w:p>
    <w:p>
      <w:pPr>
        <w:numPr>
          <w:ilvl w:val="0"/>
          <w:numId w:val="4"/>
        </w:numPr>
        <w:spacing w:lineRule="auto"/>
      </w:pPr>
      <w:r>
        <w:rPr/>
        <w:t xml:space="preserve">Vrieze, P. (2024) Movement escalation and mobilization for resistance: From anti-coup protest to ‘People's War’ in Myanmar. </w:t>
      </w:r>
      <w:r>
        <w:rPr>
          <w:i/>
        </w:rPr>
        <w:t xml:space="preserve">Political Geography</w:t>
      </w:r>
      <w:r>
        <w:rPr/>
        <w:t xml:space="preserve">. </w:t>
      </w:r>
      <w:hyperlink r:id="rId68">
        <w:r>
          <w:rPr>
            <w:rStyle w:val="Hyperlink"/>
          </w:rPr>
          <w:t xml:space="preserve">https://doi.org/10.1016/j.polgeo.2024.103165</w:t>
        </w:r>
      </w:hyperlink>
    </w:p>
    <w:p>
      <w:pPr>
        <w:numPr>
          <w:ilvl w:val="0"/>
          <w:numId w:val="4"/>
        </w:numPr>
        <w:spacing w:lineRule="auto"/>
      </w:pPr>
      <w:r>
        <w:rPr/>
        <w:t xml:space="preserve">Leong, C., Faik, I., Tan, F.T.C., (...), Khoo, Y.H. (2020) Digital organizing of a global social movement: From connective to collective action. </w:t>
      </w:r>
      <w:r>
        <w:rPr>
          <w:i/>
        </w:rPr>
        <w:t xml:space="preserve">Information and Organization</w:t>
      </w:r>
      <w:r>
        <w:rPr/>
        <w:t xml:space="preserve">. </w:t>
      </w:r>
      <w:hyperlink r:id="rId69">
        <w:r>
          <w:rPr>
            <w:rStyle w:val="Hyperlink"/>
          </w:rPr>
          <w:t xml:space="preserve">https://doi.org/10.1016/j.infoandorg.2020.100324</w:t>
        </w:r>
      </w:hyperlink>
    </w:p>
    <w:p>
      <w:pPr>
        <w:numPr>
          <w:ilvl w:val="0"/>
          <w:numId w:val="4"/>
        </w:numPr>
        <w:spacing w:lineRule="auto"/>
      </w:pPr>
      <w:r>
        <w:rPr/>
        <w:t xml:space="preserve">Ilten, C. (2015) “Use Your Skills to Solve This Challenge!”: The Platform Affordances and Politics of Digital Microvolunteering. </w:t>
      </w:r>
      <w:r>
        <w:rPr>
          <w:i/>
        </w:rPr>
        <w:t xml:space="preserve">Social Media and Society</w:t>
      </w:r>
      <w:r>
        <w:rPr/>
        <w:t xml:space="preserve">. </w:t>
      </w:r>
      <w:hyperlink r:id="rId70">
        <w:r>
          <w:rPr>
            <w:rStyle w:val="Hyperlink"/>
          </w:rPr>
          <w:t xml:space="preserve">https://doi.org/10.1177/2056305115604175</w:t>
        </w:r>
      </w:hyperlink>
    </w:p>
    <w:p>
      <w:pPr>
        <w:numPr>
          <w:ilvl w:val="0"/>
          <w:numId w:val="4"/>
        </w:numPr>
        <w:spacing w:lineRule="auto"/>
      </w:pPr>
      <w:r>
        <w:rPr/>
        <w:t xml:space="preserve">Leonel, R., Rehbein, K., Westermann-Behaylo, M., Perrault, E. (2024) Firms’ Response to Slacktivism: When and Why are E-Petitions Effective?. </w:t>
      </w:r>
      <w:r>
        <w:rPr>
          <w:i/>
        </w:rPr>
        <w:t xml:space="preserve">Journal of Management Studies</w:t>
      </w:r>
      <w:r>
        <w:rPr/>
        <w:t xml:space="preserve">. </w:t>
      </w:r>
      <w:hyperlink r:id="rId71">
        <w:r>
          <w:rPr>
            <w:rStyle w:val="Hyperlink"/>
          </w:rPr>
          <w:t xml:space="preserve">https://doi.org/10.1111/joms.13010</w:t>
        </w:r>
      </w:hyperlink>
    </w:p>
    <w:p>
      <w:pPr>
        <w:numPr>
          <w:ilvl w:val="0"/>
          <w:numId w:val="4"/>
        </w:numPr>
        <w:spacing w:lineRule="auto"/>
      </w:pPr>
      <w:r>
        <w:rPr/>
        <w:t xml:space="preserve">Kopacheva, E. (2025) Online mobilisation strategies: Increasing political participation in semi-authoritarian regimes. </w:t>
      </w:r>
      <w:r>
        <w:rPr>
          <w:i/>
        </w:rPr>
        <w:t xml:space="preserve">Journal of Information Technology and Politics</w:t>
      </w:r>
      <w:r>
        <w:rPr/>
        <w:t xml:space="preserve">. </w:t>
      </w:r>
      <w:hyperlink r:id="rId72">
        <w:r>
          <w:rPr>
            <w:rStyle w:val="Hyperlink"/>
          </w:rPr>
          <w:t xml:space="preserve">https://doi.org/10.1080/19331681.2023.2202647</w:t>
        </w:r>
      </w:hyperlink>
    </w:p>
    <w:p>
      <w:pPr>
        <w:numPr>
          <w:ilvl w:val="0"/>
          <w:numId w:val="4"/>
        </w:numPr>
        <w:spacing w:lineRule="auto"/>
      </w:pPr>
      <w:r>
        <w:rPr/>
        <w:t xml:space="preserve">Agojo, K.N.M., Bravo, M.F.J., Reyes, J.A.C., (...), Santillan, A.M.A. (2023) Activism beyond the streets: Examining social media usage and youth activism in the Philippines. </w:t>
      </w:r>
      <w:r>
        <w:rPr>
          <w:i/>
        </w:rPr>
        <w:t xml:space="preserve">Asian Journal of Social Science</w:t>
      </w:r>
      <w:r>
        <w:rPr/>
        <w:t xml:space="preserve">. </w:t>
      </w:r>
      <w:hyperlink r:id="rId73">
        <w:r>
          <w:rPr>
            <w:rStyle w:val="Hyperlink"/>
          </w:rPr>
          <w:t xml:space="preserve">https://doi.org/10.1016/j.ajss.2023.04.006</w:t>
        </w:r>
      </w:hyperlink>
    </w:p>
    <w:p>
      <w:pPr>
        <w:numPr>
          <w:ilvl w:val="0"/>
          <w:numId w:val="4"/>
        </w:numPr>
        <w:spacing w:lineRule="auto"/>
      </w:pPr>
      <w:r>
        <w:rPr/>
        <w:t xml:space="preserve">Stewart, M., Schultze, U. (2019) Producing solidarity in social media activism: The case of My Stealthy Freedom. </w:t>
      </w:r>
      <w:r>
        <w:rPr>
          <w:i/>
        </w:rPr>
        <w:t xml:space="preserve">Information and Organization</w:t>
      </w:r>
      <w:r>
        <w:rPr/>
        <w:t xml:space="preserve">. </w:t>
      </w:r>
      <w:hyperlink r:id="rId74">
        <w:r>
          <w:rPr>
            <w:rStyle w:val="Hyperlink"/>
          </w:rPr>
          <w:t xml:space="preserve">https://doi.org/10.1016/j.infoandorg.2019.04.003</w:t>
        </w:r>
      </w:hyperlink>
    </w:p>
    <w:p>
      <w:pPr>
        <w:numPr>
          <w:ilvl w:val="0"/>
          <w:numId w:val="4"/>
        </w:numPr>
        <w:spacing w:lineRule="auto"/>
      </w:pPr>
      <w:r>
        <w:rPr/>
        <w:t xml:space="preserve">Mundt, Marcia, Ross, Karen, Burnett, Charla M (2018) Scaling Social Movements Through Social Media: The Case of Black Lives Matter. </w:t>
      </w:r>
      <w:r>
        <w:rPr>
          <w:i/>
        </w:rPr>
        <w:t xml:space="preserve">Social Media + Society</w:t>
      </w:r>
      <w:r>
        <w:rPr/>
        <w:t xml:space="preserve">. </w:t>
      </w:r>
      <w:hyperlink r:id="rId75">
        <w:r>
          <w:rPr>
            <w:rStyle w:val="Hyperlink"/>
          </w:rPr>
          <w:t xml:space="preserve">https://doi.org/10.1177/2056305118807911</w:t>
        </w:r>
      </w:hyperlink>
    </w:p>
    <w:p>
      <w:pPr>
        <w:numPr>
          <w:ilvl w:val="0"/>
          <w:numId w:val="4"/>
        </w:numPr>
        <w:spacing w:lineRule="auto"/>
      </w:pPr>
      <w:r>
        <w:rPr/>
        <w:t xml:space="preserve">Yang, Aimei, Taylor, Maureen (2021) From Organizational-Centric Engagement to Network-Centric Engagement: The Role of Autonomous Public Communities in a Mediated Public Policy Advocacy Network. </w:t>
      </w:r>
      <w:r>
        <w:rPr>
          <w:i/>
        </w:rPr>
        <w:t xml:space="preserve">Social Media + Society</w:t>
      </w:r>
      <w:r>
        <w:rPr/>
        <w:t xml:space="preserve">. </w:t>
      </w:r>
      <w:hyperlink r:id="rId76">
        <w:r>
          <w:rPr>
            <w:rStyle w:val="Hyperlink"/>
          </w:rPr>
          <w:t xml:space="preserve">https://doi.org/10.1177/20563051211038262</w:t>
        </w:r>
      </w:hyperlink>
    </w:p>
    <w:p>
      <w:pPr>
        <w:numPr>
          <w:ilvl w:val="0"/>
          <w:numId w:val="4"/>
        </w:numPr>
        <w:spacing w:lineRule="auto"/>
      </w:pPr>
      <w:r>
        <w:rPr/>
        <w:t xml:space="preserve">Marolla, F., Miotto, M., Cassani, G., Bailo, F. (2026) Affording Fragmented Audiences: Multi-Platform Deliberation within the Five Star Movement. </w:t>
      </w:r>
      <w:r>
        <w:rPr>
          <w:i/>
        </w:rPr>
        <w:t xml:space="preserve">Political Communication</w:t>
      </w:r>
      <w:r>
        <w:rPr/>
        <w:t xml:space="preserve">. </w:t>
      </w:r>
      <w:hyperlink r:id="rId77">
        <w:r>
          <w:rPr>
            <w:rStyle w:val="Hyperlink"/>
          </w:rPr>
          <w:t xml:space="preserve">https://doi.org/10.1080/10584609.2025.2548288</w:t>
        </w:r>
      </w:hyperlink>
    </w:p>
    <w:p>
      <w:pPr>
        <w:numPr>
          <w:ilvl w:val="0"/>
          <w:numId w:val="4"/>
        </w:numPr>
        <w:spacing w:lineRule="auto"/>
      </w:pPr>
      <w:r>
        <w:rPr/>
        <w:t xml:space="preserve">Mercea, D., Funk, A. (2016) The social media overture of the pan-European Stop-ACTA protest. </w:t>
      </w:r>
      <w:r>
        <w:rPr>
          <w:i/>
        </w:rPr>
        <w:t xml:space="preserve">Convergence</w:t>
      </w:r>
      <w:r>
        <w:rPr/>
        <w:t xml:space="preserve">. </w:t>
      </w:r>
      <w:hyperlink r:id="rId78">
        <w:r>
          <w:rPr>
            <w:rStyle w:val="Hyperlink"/>
          </w:rPr>
          <w:t xml:space="preserve">https://doi.org/10.1177/1354856514563663</w:t>
        </w:r>
      </w:hyperlink>
    </w:p>
    <w:p>
      <w:pPr>
        <w:numPr>
          <w:ilvl w:val="0"/>
          <w:numId w:val="4"/>
        </w:numPr>
        <w:spacing w:lineRule="auto"/>
      </w:pPr>
      <w:r>
        <w:rPr/>
        <w:t xml:space="preserve">Cheng, Edmund W, Lui, Elizabeth, Fu, King-wa (2024) The power of digital activism for transnational advocacy: Leadership, engagement, and affordance. </w:t>
      </w:r>
      <w:r>
        <w:rPr>
          <w:i/>
        </w:rPr>
        <w:t xml:space="preserve">New Media &amp; Society</w:t>
      </w:r>
      <w:r>
        <w:rPr/>
        <w:t xml:space="preserve">. </w:t>
      </w:r>
      <w:hyperlink r:id="rId79">
        <w:r>
          <w:rPr>
            <w:rStyle w:val="Hyperlink"/>
          </w:rPr>
          <w:t xml:space="preserve">https://doi.org/10.1177/14614448231155376</w:t>
        </w:r>
      </w:hyperlink>
    </w:p>
    <w:p>
      <w:pPr>
        <w:numPr>
          <w:ilvl w:val="0"/>
          <w:numId w:val="4"/>
        </w:numPr>
        <w:spacing w:lineRule="auto"/>
      </w:pPr>
      <w:r>
        <w:rPr/>
        <w:t xml:space="preserve">Vedel, J.B., Hasselbalch, J., Borrás, S., (...), Simoneit, V. (2025) Organizing transformative innovation: Advancing an organizational research agenda within Transformative Innovation Policy. </w:t>
      </w:r>
      <w:r>
        <w:rPr>
          <w:i/>
        </w:rPr>
        <w:t xml:space="preserve">Research Policy</w:t>
      </w:r>
      <w:r>
        <w:rPr/>
        <w:t xml:space="preserve">. </w:t>
      </w:r>
      <w:hyperlink r:id="rId80">
        <w:r>
          <w:rPr>
            <w:rStyle w:val="Hyperlink"/>
          </w:rPr>
          <w:t xml:space="preserve">https://doi.org/10.1016/j.respol.2025.105292</w:t>
        </w:r>
      </w:hyperlink>
    </w:p>
    <w:p>
      <w:pPr>
        <w:numPr>
          <w:ilvl w:val="0"/>
          <w:numId w:val="4"/>
        </w:numPr>
        <w:spacing w:lineRule="auto"/>
      </w:pPr>
      <w:r>
        <w:rPr/>
        <w:t xml:space="preserve">Just, Sine Nørholm, Christensen, Jannick Friis, Schwarzkopf, Stefan (2025) Disconnective action: Online activism against a corporate sponsorship at WorldPride 2021. </w:t>
      </w:r>
      <w:r>
        <w:rPr>
          <w:i/>
        </w:rPr>
        <w:t xml:space="preserve">New Media &amp; Society</w:t>
      </w:r>
      <w:r>
        <w:rPr/>
        <w:t xml:space="preserve">. </w:t>
      </w:r>
      <w:hyperlink r:id="rId81">
        <w:r>
          <w:rPr>
            <w:rStyle w:val="Hyperlink"/>
          </w:rPr>
          <w:t xml:space="preserve">https://doi.org/10.1177/14614448231178775</w:t>
        </w:r>
      </w:hyperlink>
    </w:p>
    <w:p>
      <w:pPr>
        <w:numPr>
          <w:ilvl w:val="0"/>
          <w:numId w:val="4"/>
        </w:numPr>
        <w:spacing w:lineRule="auto"/>
      </w:pPr>
      <w:r>
        <w:rPr/>
        <w:t xml:space="preserve">Broadbent, J. (2003) Movement in Context: Thick Networks and Japanese Environmental Protest. </w:t>
      </w:r>
      <w:r>
        <w:rPr>
          <w:i/>
        </w:rPr>
        <w:t xml:space="preserve">Social Movements and Networks: Relational Approaches to Collective Action</w:t>
      </w:r>
      <w:r>
        <w:rPr/>
        <w:t xml:space="preserve">. </w:t>
      </w:r>
      <w:hyperlink r:id="rId82">
        <w:r>
          <w:rPr>
            <w:rStyle w:val="Hyperlink"/>
          </w:rPr>
          <w:t xml:space="preserve">https://doi.org/10.1093/0199251789.003.0009</w:t>
        </w:r>
      </w:hyperlink>
    </w:p>
    <w:p>
      <w:pPr>
        <w:numPr>
          <w:ilvl w:val="0"/>
          <w:numId w:val="4"/>
        </w:numPr>
        <w:spacing w:lineRule="auto"/>
      </w:pPr>
      <w:r>
        <w:rPr/>
        <w:t xml:space="preserve">Sullivan, H. (2021) Subnational State Capacity and the Repression of Protest: Evidence from Mexico. </w:t>
      </w:r>
      <w:r>
        <w:rPr>
          <w:i/>
        </w:rPr>
        <w:t xml:space="preserve">Political Research Quarterly</w:t>
      </w:r>
      <w:r>
        <w:rPr/>
        <w:t xml:space="preserve">. </w:t>
      </w:r>
      <w:hyperlink r:id="rId83">
        <w:r>
          <w:rPr>
            <w:rStyle w:val="Hyperlink"/>
          </w:rPr>
          <w:t xml:space="preserve">https://doi.org/10.1177/1065912920919494</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002/9780470674871.wbespm136" TargetMode="External"/>
  <Relationship Id="rId7" Type="http://schemas.openxmlformats.org/officeDocument/2006/relationships/hyperlink" Target="https://doi.org/10.2307/1388959" TargetMode="External"/>
  <Relationship Id="rId8" Type="http://schemas.openxmlformats.org/officeDocument/2006/relationships/hyperlink" Target="https://doi.org/10.1111/j.1533-8525.1988.tb01261.x" TargetMode="External"/>
  <Relationship Id="rId9" Type="http://schemas.openxmlformats.org/officeDocument/2006/relationships/hyperlink" Target="https://doi.org/10.4324/9781315731377-34" TargetMode="External"/>
  <Relationship Id="rId10" Type="http://schemas.openxmlformats.org/officeDocument/2006/relationships/hyperlink" Target="https://doi.org/10.17813/maiq.10.2.q848h37832857t5j" TargetMode="External"/>
  <Relationship Id="rId11" Type="http://schemas.openxmlformats.org/officeDocument/2006/relationships/hyperlink" Target="https://doi.org/10.1093/oxfordhb/9780198861126.013.41" TargetMode="External"/>
  <Relationship Id="rId12" Type="http://schemas.openxmlformats.org/officeDocument/2006/relationships/hyperlink" Target="https://doi.org/10.1111/j.1475-682X.1985.tb00850.x" TargetMode="External"/>
  <Relationship Id="rId13" Type="http://schemas.openxmlformats.org/officeDocument/2006/relationships/hyperlink" Target="https://doi.org/10.1093/0199251789.003.0012" TargetMode="External"/>
  <Relationship Id="rId14" Type="http://schemas.openxmlformats.org/officeDocument/2006/relationships/hyperlink" Target="https://doi.org/10.1007/BF02095829" TargetMode="External"/>
  <Relationship Id="rId15" Type="http://schemas.openxmlformats.org/officeDocument/2006/relationships/hyperlink" Target="https://doi.org/10.1016/B978-0-08-100567-5.00005-0" TargetMode="External"/>
  <Relationship Id="rId16" Type="http://schemas.openxmlformats.org/officeDocument/2006/relationships/hyperlink" Target="https://doi.org/10.1016/j.postcomstud.2014.04.012" TargetMode="External"/>
  <Relationship Id="rId17" Type="http://schemas.openxmlformats.org/officeDocument/2006/relationships/hyperlink" Target="https://doi.org/10.1016/j.enpol.2022.113260" TargetMode="External"/>
  <Relationship Id="rId18" Type="http://schemas.openxmlformats.org/officeDocument/2006/relationships/hyperlink" Target="https://doi.org/10.1016/j.geoforum.2025.104460" TargetMode="External"/>
  <Relationship Id="rId19" Type="http://schemas.openxmlformats.org/officeDocument/2006/relationships/hyperlink" Target="https://doi.org/10.1016/j.jaging.2025.101310" TargetMode="External"/>
  <Relationship Id="rId20" Type="http://schemas.openxmlformats.org/officeDocument/2006/relationships/hyperlink" Target="https://doi.org/10.1371/journal.pone.0254087" TargetMode="External"/>
  <Relationship Id="rId21" Type="http://schemas.openxmlformats.org/officeDocument/2006/relationships/hyperlink" Target="https://doi.org/10.1016/j.ijproman.2009.02.003" TargetMode="External"/>
  <Relationship Id="rId22" Type="http://schemas.openxmlformats.org/officeDocument/2006/relationships/hyperlink" Target="https://doi.org/10.1016/j.ssresearch.2014.08.013" TargetMode="External"/>
  <Relationship Id="rId23" Type="http://schemas.openxmlformats.org/officeDocument/2006/relationships/hyperlink" Target="https://doi.org/10.1093/SF/SOY044" TargetMode="External"/>
  <Relationship Id="rId24" Type="http://schemas.openxmlformats.org/officeDocument/2006/relationships/hyperlink" Target="https://doi.org/10.2307/1964016" TargetMode="External"/>
  <Relationship Id="rId25" Type="http://schemas.openxmlformats.org/officeDocument/2006/relationships/hyperlink" Target="https://doi.org/10.2307/2111795" TargetMode="External"/>
  <Relationship Id="rId26" Type="http://schemas.openxmlformats.org/officeDocument/2006/relationships/hyperlink" Target="https://doi.org/10.1515/npf-2014-0030" TargetMode="External"/>
  <Relationship Id="rId27" Type="http://schemas.openxmlformats.org/officeDocument/2006/relationships/hyperlink" Target="https://doi.org/10.1163/156913303322661883" TargetMode="External"/>
  <Relationship Id="rId28" Type="http://schemas.openxmlformats.org/officeDocument/2006/relationships/hyperlink" Target="https://doi.org/10.30965/24518921-00803008" TargetMode="External"/>
  <Relationship Id="rId29" Type="http://schemas.openxmlformats.org/officeDocument/2006/relationships/hyperlink" Target="https://doi.org/10.1177/0894439310396485" TargetMode="External"/>
  <Relationship Id="rId30" Type="http://schemas.openxmlformats.org/officeDocument/2006/relationships/hyperlink" Target="https://doi.org/10.1093/ia/iiz021" TargetMode="External"/>
  <Relationship Id="rId31" Type="http://schemas.openxmlformats.org/officeDocument/2006/relationships/hyperlink" Target="https://doi.org/10.1177/2057150X17700044" TargetMode="External"/>
  <Relationship Id="rId32" Type="http://schemas.openxmlformats.org/officeDocument/2006/relationships/hyperlink" Target="https://doi.org/10.1038/srep00197" TargetMode="External"/>
  <Relationship Id="rId33" Type="http://schemas.openxmlformats.org/officeDocument/2006/relationships/hyperlink" Target="https://doi.org/10.1177/20563051241279258" TargetMode="External"/>
  <Relationship Id="rId34" Type="http://schemas.openxmlformats.org/officeDocument/2006/relationships/hyperlink" Target="https://doi.org/10.1016/B978-0-12-820195-4.00031-5" TargetMode="External"/>
  <Relationship Id="rId35" Type="http://schemas.openxmlformats.org/officeDocument/2006/relationships/hyperlink" Target="https://doi.org/10.1177/20563051251344455" TargetMode="External"/>
  <Relationship Id="rId36" Type="http://schemas.openxmlformats.org/officeDocument/2006/relationships/hyperlink" Target="https://doi.org/10.1177/00104140251381752" TargetMode="External"/>
  <Relationship Id="rId37" Type="http://schemas.openxmlformats.org/officeDocument/2006/relationships/hyperlink" Target="https://doi.org/10.1111/gove.12248" TargetMode="External"/>
  <Relationship Id="rId38" Type="http://schemas.openxmlformats.org/officeDocument/2006/relationships/hyperlink" Target="https://www.scopus.com/pages/publications/84864100954" TargetMode="External"/>
  <Relationship Id="rId39" Type="http://schemas.openxmlformats.org/officeDocument/2006/relationships/hyperlink" Target="https://doi.org/10.1177/0022002703047003003" TargetMode="External"/>
  <Relationship Id="rId40" Type="http://schemas.openxmlformats.org/officeDocument/2006/relationships/hyperlink" Target="https://doi.org/10.1177/20531680251381521" TargetMode="External"/>
  <Relationship Id="rId41" Type="http://schemas.openxmlformats.org/officeDocument/2006/relationships/hyperlink" Target="https://doi.org/10.1177/001139297045003007" TargetMode="External"/>
  <Relationship Id="rId42" Type="http://schemas.openxmlformats.org/officeDocument/2006/relationships/hyperlink" Target="https://doi.org/10.1086/210399" TargetMode="External"/>
  <Relationship Id="rId43" Type="http://schemas.openxmlformats.org/officeDocument/2006/relationships/hyperlink" Target="https://doi.org/10.1146/annurev.soc.24.1.371" TargetMode="External"/>
  <Relationship Id="rId44" Type="http://schemas.openxmlformats.org/officeDocument/2006/relationships/hyperlink" Target="https://doi.org/10.1080/13629395.2019.1639021" TargetMode="External"/>
  <Relationship Id="rId45" Type="http://schemas.openxmlformats.org/officeDocument/2006/relationships/hyperlink" Target="https://doi.org/10.1163/18763375-01001003" TargetMode="External"/>
  <Relationship Id="rId46" Type="http://schemas.openxmlformats.org/officeDocument/2006/relationships/hyperlink" Target="https://doi.org/10.1016/j.polgeo.2012.06.003" TargetMode="External"/>
  <Relationship Id="rId47" Type="http://schemas.openxmlformats.org/officeDocument/2006/relationships/hyperlink" Target="https://doi.org/10.1111/j.1467-9256.1994.tb00118.x" TargetMode="External"/>
  <Relationship Id="rId48" Type="http://schemas.openxmlformats.org/officeDocument/2006/relationships/hyperlink" Target="https://doi.org/10.1007/BF01115051" TargetMode="External"/>
  <Relationship Id="rId49" Type="http://schemas.openxmlformats.org/officeDocument/2006/relationships/hyperlink" Target="https://doi.org/10.1111/j.1533-8525.1988.tb01245.x" TargetMode="External"/>
  <Relationship Id="rId50" Type="http://schemas.openxmlformats.org/officeDocument/2006/relationships/hyperlink" Target="https://doi.org/10.1093/sf/44.3.327" TargetMode="External"/>
  <Relationship Id="rId51" Type="http://schemas.openxmlformats.org/officeDocument/2006/relationships/hyperlink" Target="https://doi.org/10.1177/14614448241243352" TargetMode="External"/>
  <Relationship Id="rId52" Type="http://schemas.openxmlformats.org/officeDocument/2006/relationships/hyperlink" Target="https://doi.org/10.1177/2056305119827002" TargetMode="External"/>
  <Relationship Id="rId53" Type="http://schemas.openxmlformats.org/officeDocument/2006/relationships/hyperlink" Target="https://www.scopus.com/pages/publications/84856415150" TargetMode="External"/>
  <Relationship Id="rId54" Type="http://schemas.openxmlformats.org/officeDocument/2006/relationships/hyperlink" Target="https://doi.org/10.1080/1062726X.2013.806871" TargetMode="External"/>
  <Relationship Id="rId55" Type="http://schemas.openxmlformats.org/officeDocument/2006/relationships/hyperlink" Target="https://doi.org/10.1016/j.pubrev.2011.03.003" TargetMode="External"/>
  <Relationship Id="rId56" Type="http://schemas.openxmlformats.org/officeDocument/2006/relationships/hyperlink" Target="https://doi.org/10.1007/s11213-005-9006-0" TargetMode="External"/>
  <Relationship Id="rId57" Type="http://schemas.openxmlformats.org/officeDocument/2006/relationships/hyperlink" Target="https://doi.org/10.1016/B0-08-043076-7/01868-4" TargetMode="External"/>
  <Relationship Id="rId58" Type="http://schemas.openxmlformats.org/officeDocument/2006/relationships/hyperlink" Target="https://doi.org/10.1016/S0160-7383(01)00027-5" TargetMode="External"/>
  <Relationship Id="rId59" Type="http://schemas.openxmlformats.org/officeDocument/2006/relationships/hyperlink" Target="https://doi.org/10.1016/j.smr.2017.02.001" TargetMode="External"/>
  <Relationship Id="rId60" Type="http://schemas.openxmlformats.org/officeDocument/2006/relationships/hyperlink" Target="https://doi.org/10.1093/sf/sos187" TargetMode="External"/>
  <Relationship Id="rId61" Type="http://schemas.openxmlformats.org/officeDocument/2006/relationships/hyperlink" Target="https://doi.org/10.1177/1065912920950826" TargetMode="External"/>
  <Relationship Id="rId62" Type="http://schemas.openxmlformats.org/officeDocument/2006/relationships/hyperlink" Target="https://doi.org/10.1285/i20356609v10i1p275" TargetMode="External"/>
  <Relationship Id="rId63" Type="http://schemas.openxmlformats.org/officeDocument/2006/relationships/hyperlink" Target="https://doi.org/10.1016/j.cities.2023.104362" TargetMode="External"/>
  <Relationship Id="rId64" Type="http://schemas.openxmlformats.org/officeDocument/2006/relationships/hyperlink" Target="https://doi.org/10.4324/9780367855680-30" TargetMode="External"/>
  <Relationship Id="rId65" Type="http://schemas.openxmlformats.org/officeDocument/2006/relationships/hyperlink" Target="https://doi.org/10.1371/journal.pone.0303912" TargetMode="External"/>
  <Relationship Id="rId66" Type="http://schemas.openxmlformats.org/officeDocument/2006/relationships/hyperlink" Target="https://doi.org/10.1016/j.indmarman.2016.05.021" TargetMode="External"/>
  <Relationship Id="rId67" Type="http://schemas.openxmlformats.org/officeDocument/2006/relationships/hyperlink" Target="https://doi.org/10.1371/journal.pone.0289277" TargetMode="External"/>
  <Relationship Id="rId68" Type="http://schemas.openxmlformats.org/officeDocument/2006/relationships/hyperlink" Target="https://doi.org/10.1016/j.polgeo.2024.103165" TargetMode="External"/>
  <Relationship Id="rId69" Type="http://schemas.openxmlformats.org/officeDocument/2006/relationships/hyperlink" Target="https://doi.org/10.1016/j.infoandorg.2020.100324" TargetMode="External"/>
  <Relationship Id="rId70" Type="http://schemas.openxmlformats.org/officeDocument/2006/relationships/hyperlink" Target="https://doi.org/10.1177/2056305115604175" TargetMode="External"/>
  <Relationship Id="rId71" Type="http://schemas.openxmlformats.org/officeDocument/2006/relationships/hyperlink" Target="https://doi.org/10.1111/joms.13010" TargetMode="External"/>
  <Relationship Id="rId72" Type="http://schemas.openxmlformats.org/officeDocument/2006/relationships/hyperlink" Target="https://doi.org/10.1080/19331681.2023.2202647" TargetMode="External"/>
  <Relationship Id="rId73" Type="http://schemas.openxmlformats.org/officeDocument/2006/relationships/hyperlink" Target="https://doi.org/10.1016/j.ajss.2023.04.006" TargetMode="External"/>
  <Relationship Id="rId74" Type="http://schemas.openxmlformats.org/officeDocument/2006/relationships/hyperlink" Target="https://doi.org/10.1016/j.infoandorg.2019.04.003" TargetMode="External"/>
  <Relationship Id="rId75" Type="http://schemas.openxmlformats.org/officeDocument/2006/relationships/hyperlink" Target="https://doi.org/10.1177/2056305118807911" TargetMode="External"/>
  <Relationship Id="rId76" Type="http://schemas.openxmlformats.org/officeDocument/2006/relationships/hyperlink" Target="https://doi.org/10.1177/20563051211038262" TargetMode="External"/>
  <Relationship Id="rId77" Type="http://schemas.openxmlformats.org/officeDocument/2006/relationships/hyperlink" Target="https://doi.org/10.1080/10584609.2025.2548288" TargetMode="External"/>
  <Relationship Id="rId78" Type="http://schemas.openxmlformats.org/officeDocument/2006/relationships/hyperlink" Target="https://doi.org/10.1177/1354856514563663" TargetMode="External"/>
  <Relationship Id="rId79" Type="http://schemas.openxmlformats.org/officeDocument/2006/relationships/hyperlink" Target="https://doi.org/10.1177/14614448231155376" TargetMode="External"/>
  <Relationship Id="rId80" Type="http://schemas.openxmlformats.org/officeDocument/2006/relationships/hyperlink" Target="https://doi.org/10.1016/j.respol.2025.105292" TargetMode="External"/>
  <Relationship Id="rId81" Type="http://schemas.openxmlformats.org/officeDocument/2006/relationships/hyperlink" Target="https://doi.org/10.1177/14614448231178775" TargetMode="External"/>
  <Relationship Id="rId82" Type="http://schemas.openxmlformats.org/officeDocument/2006/relationships/hyperlink" Target="https://doi.org/10.1093/0199251789.003.0009" TargetMode="External"/>
  <Relationship Id="rId83" Type="http://schemas.openxmlformats.org/officeDocument/2006/relationships/hyperlink" Target="https://doi.org/10.1177/1065912920919494" TargetMode="External"/>
  <Relationship Id="rId84" Type="http://schemas.openxmlformats.org/officeDocument/2006/relationships/footer" Target="footer1.xml" TargetMode="Internal"/>
  <Relationship Id="rId8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2026-08-16T23:03:36.018Z</dcterms:created>
  <dcterms:modified xsi:type="dcterms:W3CDTF">2026-08-16T23:03:36.018Z</dcterms:modified>
</cp:coreProperties>
</file>