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964" w:right="964" w:bottom="964" w:left="964" w:header="720" w:footer="720" w:gutter="0"/>
      <w:footerReference r:id="rId59" w:type="default"/>
    </w:sectPr>
    <w:p>
      <w:pPr>
        <w:pStyle w:val="Heading1"/>
        <w:spacing w:lineRule="auto"/>
      </w:pPr>
      <w:r>
        <w:rPr/>
        <w:t xml:space="preserve">Political and discursive opportunities</w:t>
      </w:r>
    </w:p>
    <w:p>
      <w:pPr>
        <w:spacing w:lineRule="auto"/>
      </w:pPr>
      <w:r>
        <w:rPr/>
      </w:r>
    </w:p>
    <w:p>
      <w:pPr>
        <w:spacing w:lineRule="auto"/>
      </w:pPr>
      <w:r>
        <w:rPr/>
        <w:t xml:space="preserve">"political oppotunities and discursive opportunities" </w:t>
      </w:r>
    </w:p>
    <w:p>
      <w:pPr>
        <w:spacing w:lineRule="auto"/>
      </w:pPr>
      <w:r>
        <w:rPr>
          <w:i/>
        </w:rPr>
        <w:t xml:space="preserve">Generated by LeapSpace</w:t>
      </w:r>
    </w:p>
    <w:p>
      <w:pPr>
        <w:spacing w:lineRule="auto"/>
      </w:pPr>
      <w:r>
        <w:rPr/>
      </w:r>
    </w:p>
    <w:p>
      <w:pPr>
        <w:pStyle w:val="Heading2"/>
        <w:spacing w:lineRule="auto"/>
      </w:pPr>
      <w:r>
        <w:rPr/>
        <w:t xml:space="preserve">Political Opportunities and Discursive Opportunities at a Glance</w:t>
      </w:r>
    </w:p>
    <w:p>
      <w:pPr>
        <w:pStyle w:val="Heading3"/>
        <w:spacing w:lineRule="auto"/>
      </w:pPr>
      <w:r>
        <w:rPr/>
        <w:t xml:space="preserve">Key Findings Table</w:t>
      </w:r>
    </w:p>
    <w:tbl>
      <w:tblPr>
        <w:tblBorders>
          <w:top w:val="single" w:sz="4" w:space="0" w:color="000000"/>
          <w:bottom w:val="single" w:sz="4" w:space="0" w:color="000000"/>
          <w:left w:val="single" w:sz="4" w:space="0" w:color="000000"/>
          <w:right w:val="single" w:sz="4" w:space="0" w:color="000000"/>
        </w:tblBorders>
        <w:tblCellMar>
          <w:top w:type="dxa" w:w="80"/>
          <w:bottom w:type="dxa" w:w="80"/>
          <w:left w:type="dxa" w:w="160"/>
          <w:right w:type="dxa" w:w="160"/>
        </w:tblCellMar>
        <w:jc w:val="center"/>
      </w:tblPr>
      <w:tblGrid>
        <w:gridCol w:w="2494.5"/>
        <w:gridCol w:w="2494.5"/>
        <w:gridCol w:w="2494.5"/>
        <w:gridCol w:w="2494.5"/>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Key finding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What it means in practice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Main contexts/evidence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Citations</w:t>
            </w:r>
          </w:p>
        </w:tc>
      </w:tr>
      <w:tblGrid>
        <w:gridCol w:w="2494.5"/>
        <w:gridCol w:w="2494.5"/>
        <w:gridCol w:w="2494.5"/>
        <w:gridCol w:w="2494.5"/>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b/>
              </w:rPr>
              <w:t xml:space="preserve">Political opportunity structures (POS) and discursive opportunity structures (DOS) are usually complementary</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POS explains institutional access, elite alignments, and repression; DOS explains whether claims appear legitimate, realistic, and resonant in public discourse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Social movement theory, framing studies, media-centered contention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 [2] [3] [4]</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b/>
              </w:rPr>
              <w:t xml:space="preserve">POS is widely criticized for conceptual stretching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“Opportunity” is often defined too broadly, so many studies now disaggregate it into specific dimensions rather than treating it as a single variable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Comparative protest research, EU opportunity-structure debates, authoritarian settings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[5] [6] [7] [8] [9] [10] [11]</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b/>
              </w:rPr>
              <w:t xml:space="preserve">Institutional openness alone does not explain mobilization well</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Protest also depends on visibility, framing resonance, policy discourse, and whether grievances become emotionally and publicly actionable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Aircraft noise, unemployment claim-making, school desegregation, anti-GM campaigns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[12] [13] [14] [15]</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b/>
              </w:rPr>
              <w:t xml:space="preserve">A central debate is whether opportunities are external or produced through interaction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Some scholars treat opportunities as exogenous constraints; others argue activists help create opportunities through discourse, interpretation, and action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Theoretical reviews and interpretive critiques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[6] [16] [17] [18] [19] [20]</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b/>
              </w:rPr>
              <w:t xml:space="preserve">Media environments increasingly function as opportunity structures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Visibility, press access, self-mediation, platform affordances, and counter-narratives shape protest chances in both offline and online arenas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Mediation opportunity structure and digital protest studies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[3] [4] [21] [22] [23] [24]</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b/>
              </w:rPr>
              <w:t xml:space="preserve">Regime type matters, but media and elite dynamics mediate its effects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Open institutions and elite divisions usually facilitate mobilization; repression and censorship constrain it, but media exposure, networks, and allies can still amplify protest under authoritarian rule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Democratic and authoritarian comparative studies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[25] [26] [27] [28] [29] [30] [31]</w:t>
            </w:r>
          </w:p>
        </w:tc>
      </w:tr>
    </w:tbl>
    <w:p>
      <w:pPr>
        <w:spacing w:lineRule="auto"/>
      </w:pPr>
      <w:r>
        <w:rPr/>
      </w:r>
    </w:p>
    <w:p>
      <w:pPr>
        <w:pStyle w:val="Heading3"/>
        <w:spacing w:lineRule="auto"/>
      </w:pPr>
      <w:r>
        <w:rPr/>
        <w:t xml:space="preserve">Direct Answer</w:t>
      </w:r>
    </w:p>
    <w:p>
      <w:pPr>
        <w:spacing w:lineRule="auto"/>
      </w:pPr>
      <w:r>
        <w:rPr>
          <w:b/>
        </w:rPr>
        <w:t xml:space="preserve">Political opportunities and discursive opportunities are best understood as linked but distinct concepts in social movement research.</w:t>
      </w:r>
      <w:r>
        <w:rPr/>
        <w:t xml:space="preserve"> Political opportunity structures refer mainly to institutional openings and constraints such as access to institutions, elite divisions, repression, and regime structure, while discursive opportunity structures refer to the public-cultural conditions that make movement claims visible, legitimate, sensible, and resonant [1] [2].</w:t>
      </w:r>
    </w:p>
    <w:p>
      <w:pPr>
        <w:spacing w:lineRule="auto"/>
      </w:pPr>
      <w:r>
        <w:rPr/>
        <w:t xml:space="preserve">The literature reviewed here generally treats DOS as an </w:t>
      </w:r>
      <w:r>
        <w:rPr>
          <w:b/>
        </w:rPr>
        <w:t xml:space="preserve">extension or complement</w:t>
      </w:r>
      <w:r>
        <w:rPr/>
        <w:t xml:space="preserve"> to POS rather than a replacement for it [1] [2] [3]. The main reason is empirical: institutional openings by themselves do not reliably explain when people mobilize or why some frames gain traction, whereas discourse, media visibility, feeling rules, and framing resonance help explain that conversion from structural conditions to action [12] [13] [14] [15].</w:t>
      </w:r>
    </w:p>
    <w:p>
      <w:pPr>
        <w:spacing w:lineRule="auto"/>
      </w:pPr>
      <w:r>
        <w:rPr/>
        <w:t xml:space="preserve">A useful synthesis from the evidence is: </w:t>
      </w:r>
      <w:r>
        <w:rPr>
          <w:b/>
        </w:rPr>
        <w:t xml:space="preserve">POS shapes who can access power; DOS shapes which claims can sound credible; mediation opportunities shape what becomes visible and circulates widely</w:t>
      </w:r>
      <w:r>
        <w:rPr/>
        <w:t xml:space="preserve"> [3] [4].</w:t>
      </w:r>
    </w:p>
    <w:p>
      <w:pPr>
        <w:spacing w:lineRule="auto"/>
      </w:pPr>
      <w:r>
        <w:rPr>
          <w:b/>
        </w:rPr>
        <w:t xml:space="preserve">Confidence level: High</w:t>
      </w:r>
      <w:r>
        <w:rPr/>
        <w:t xml:space="preserve"> - this conclusion is directly supported by multiple convergent sources across theory and empirical studies [1] [2] [3].</w:t>
      </w:r>
    </w:p>
    <w:p>
      <w:pPr>
        <w:pStyle w:val="Heading3"/>
        <w:spacing w:lineRule="auto"/>
      </w:pPr>
      <w:r>
        <w:rPr/>
        <w:t xml:space="preserve">Study Scope</w:t>
      </w:r>
    </w:p>
    <w:p>
      <w:pPr>
        <w:spacing w:lineRule="auto"/>
      </w:pPr>
      <w:r>
        <w:rPr/>
        <w:t xml:space="preserve">This report synthesizes scholarship on social movements and contentious politics covering:</w:t>
      </w:r>
    </w:p>
    <w:p>
      <w:pPr>
        <w:numPr>
          <w:ilvl w:val="0"/>
          <w:numId w:val="1"/>
        </w:numPr>
        <w:spacing w:lineRule="auto"/>
      </w:pPr>
      <w:r>
        <w:rPr>
          <w:b/>
        </w:rPr>
        <w:t xml:space="preserve">Conceptual debates</w:t>
      </w:r>
      <w:r>
        <w:rPr/>
        <w:t xml:space="preserve"> over POS and DOS definitions, boundaries, and critiques [1] [2] [5] [6] [12].</w:t>
      </w:r>
    </w:p>
    <w:p>
      <w:pPr>
        <w:numPr>
          <w:ilvl w:val="0"/>
          <w:numId w:val="1"/>
        </w:numPr>
        <w:spacing w:lineRule="auto"/>
      </w:pPr>
      <w:r>
        <w:rPr>
          <w:b/>
        </w:rPr>
        <w:t xml:space="preserve">Empirical operationalization</w:t>
      </w:r>
      <w:r>
        <w:rPr/>
        <w:t xml:space="preserve"> of political and discursive opportunities through institutional openness, elite divisions, repression, media access, policy discourse, and framing resonance [7] [9] [10] [11] [12] [13] [14] [15].</w:t>
      </w:r>
    </w:p>
    <w:p>
      <w:pPr>
        <w:numPr>
          <w:ilvl w:val="0"/>
          <w:numId w:val="1"/>
        </w:numPr>
        <w:spacing w:lineRule="auto"/>
      </w:pPr>
      <w:r>
        <w:rPr>
          <w:b/>
        </w:rPr>
        <w:t xml:space="preserve">Comparative evidence</w:t>
      </w:r>
      <w:r>
        <w:rPr/>
        <w:t xml:space="preserve"> across democratic and authoritarian settings and across offline and digital media environments [4] [21] [24] [26] [27] [32].</w:t>
      </w:r>
    </w:p>
    <w:p>
      <w:pPr>
        <w:pStyle w:val="Heading3"/>
        <w:spacing w:lineRule="auto"/>
      </w:pPr>
      <w:r>
        <w:rPr/>
        <w:t xml:space="preserve">Assumptions &amp; Limitations</w:t>
      </w:r>
    </w:p>
    <w:p>
      <w:pPr>
        <w:numPr>
          <w:ilvl w:val="0"/>
          <w:numId w:val="2"/>
        </w:numPr>
        <w:spacing w:lineRule="auto"/>
      </w:pPr>
      <w:r>
        <w:rPr/>
        <w:t xml:space="preserve">The evidence strongly supports a </w:t>
      </w:r>
      <w:r>
        <w:rPr>
          <w:b/>
        </w:rPr>
        <w:t xml:space="preserve">complementary POS-DOS reading</w:t>
      </w:r>
      <w:r>
        <w:rPr/>
        <w:t xml:space="preserve">, but the retrieved material does </w:t>
      </w:r>
      <w:r>
        <w:rPr>
          <w:b/>
        </w:rPr>
        <w:t xml:space="preserve">not</w:t>
      </w:r>
      <w:r>
        <w:rPr/>
        <w:t xml:space="preserve"> provide a comprehensive inventory of all studies that jointly model both in one formal causal design [1] [2] [33].</w:t>
      </w:r>
    </w:p>
    <w:p>
      <w:pPr>
        <w:numPr>
          <w:ilvl w:val="0"/>
          <w:numId w:val="2"/>
        </w:numPr>
        <w:spacing w:lineRule="auto"/>
      </w:pPr>
      <w:r>
        <w:rPr/>
        <w:t xml:space="preserve">The literature is methodologically rich but often relies on </w:t>
      </w:r>
      <w:r>
        <w:rPr>
          <w:b/>
        </w:rPr>
        <w:t xml:space="preserve">case studies, discourse analysis, content analysis, and disaggregated indicators</w:t>
      </w:r>
      <w:r>
        <w:rPr/>
        <w:t xml:space="preserve">, which can limit standardization across contexts [7] [9] [10] [16] [17] [34].</w:t>
      </w:r>
    </w:p>
    <w:p>
      <w:pPr>
        <w:numPr>
          <w:ilvl w:val="0"/>
          <w:numId w:val="2"/>
        </w:numPr>
        <w:spacing w:lineRule="auto"/>
      </w:pPr>
      <w:r>
        <w:rPr/>
        <w:t xml:space="preserve">Evidence is thinner on </w:t>
      </w:r>
      <w:r>
        <w:rPr>
          <w:b/>
        </w:rPr>
        <w:t xml:space="preserve">fully comparable multilevel models</w:t>
      </w:r>
      <w:r>
        <w:rPr/>
        <w:t xml:space="preserve"> linking local, national, and transnational opportunity structures in the same analysis [35] [36] [37] [38] [39] [40] [41].</w:t>
      </w:r>
    </w:p>
    <w:p>
      <w:pPr>
        <w:pStyle w:val="Heading3"/>
        <w:spacing w:lineRule="auto"/>
      </w:pPr>
      <w:r>
        <w:rPr/>
        <w:t xml:space="preserve">Suggested Further Research</w:t>
      </w:r>
    </w:p>
    <w:p>
      <w:pPr>
        <w:numPr>
          <w:ilvl w:val="0"/>
          <w:numId w:val="3"/>
        </w:numPr>
        <w:spacing w:lineRule="auto"/>
      </w:pPr>
      <w:r>
        <w:rPr/>
        <w:t xml:space="preserve">Test explicit </w:t>
      </w:r>
      <w:r>
        <w:rPr>
          <w:b/>
        </w:rPr>
        <w:t xml:space="preserve">causal sequences</w:t>
      </w:r>
      <w:r>
        <w:rPr/>
        <w:t xml:space="preserve"> from political opportunity to discursive opportunity to mobilization outcomes [33] [41].</w:t>
      </w:r>
    </w:p>
    <w:p>
      <w:pPr>
        <w:numPr>
          <w:ilvl w:val="0"/>
          <w:numId w:val="3"/>
        </w:numPr>
        <w:spacing w:lineRule="auto"/>
      </w:pPr>
      <w:r>
        <w:rPr/>
        <w:t xml:space="preserve">Build </w:t>
      </w:r>
      <w:r>
        <w:rPr>
          <w:b/>
        </w:rPr>
        <w:t xml:space="preserve">standardized cross-regime measures</w:t>
      </w:r>
      <w:r>
        <w:rPr/>
        <w:t xml:space="preserve"> combining openness, repression, censorship, media visibility, and framing resonance [22] [26] [27].</w:t>
      </w:r>
    </w:p>
    <w:p>
      <w:pPr>
        <w:numPr>
          <w:ilvl w:val="0"/>
          <w:numId w:val="3"/>
        </w:numPr>
        <w:spacing w:lineRule="auto"/>
      </w:pPr>
      <w:r>
        <w:rPr/>
        <w:t xml:space="preserve">Compare </w:t>
      </w:r>
      <w:r>
        <w:rPr>
          <w:b/>
        </w:rPr>
        <w:t xml:space="preserve">online and offline DOS</w:t>
      </w:r>
      <w:r>
        <w:rPr/>
        <w:t xml:space="preserve"> within the same campaigns rather than in separate literatures [21] [23] [24] [42].</w:t>
      </w:r>
    </w:p>
    <w:p>
      <w:pPr>
        <w:numPr>
          <w:ilvl w:val="0"/>
          <w:numId w:val="3"/>
        </w:numPr>
        <w:spacing w:lineRule="auto"/>
      </w:pPr>
      <w:r>
        <w:rPr/>
        <w:t xml:space="preserve">Integrate </w:t>
      </w:r>
      <w:r>
        <w:rPr>
          <w:b/>
        </w:rPr>
        <w:t xml:space="preserve">emotion, subjectivity, and activist interpretation</w:t>
      </w:r>
      <w:r>
        <w:rPr/>
        <w:t xml:space="preserve"> more systematically into opportunity models [12] [16] [17] [43].</w:t>
      </w:r>
    </w:p>
    <w:p>
      <w:pPr>
        <w:numPr>
          <w:ilvl w:val="0"/>
          <w:numId w:val="3"/>
        </w:numPr>
        <w:spacing w:lineRule="auto"/>
      </w:pPr>
      <w:r>
        <w:rPr/>
        <w:t xml:space="preserve">Clarify conceptual boundaries among </w:t>
      </w:r>
      <w:r>
        <w:rPr>
          <w:b/>
        </w:rPr>
        <w:t xml:space="preserve">political, discursive, mediation, and political-economic opportunity structures</w:t>
      </w:r>
      <w:r>
        <w:rPr/>
        <w:t xml:space="preserve"> [3] [6] [11] [44].</w:t>
      </w:r>
    </w:p>
    <w:p>
      <w:pPr>
        <w:pStyle w:val="Heading2"/>
        <w:spacing w:lineRule="auto"/>
      </w:pPr>
      <w:r>
        <w:rPr/>
        <w:t xml:space="preserve">Full Report</w:t>
      </w:r>
    </w:p>
    <w:p>
      <w:pPr>
        <w:pStyle w:val="Heading2"/>
        <w:spacing w:lineRule="auto"/>
      </w:pPr>
      <w:r>
        <w:rPr/>
        <w:t xml:space="preserve">Foundational Context</w:t>
      </w:r>
    </w:p>
    <w:p>
      <w:pPr>
        <w:spacing w:lineRule="auto"/>
      </w:pPr>
      <w:r>
        <w:rPr/>
        <w:t xml:space="preserve">In this literature, an “opportunity structure” is a way of explaining why some movements mobilize, expand, or succeed in some contexts but not others [6] [19]. The classic political opportunity approach focuses on the external political environment: how open institutions are, whether elites are divided, how much repression the state uses, and whether challengers can access allies or decision-making venues [7] [8] [26] [32].</w:t>
      </w:r>
    </w:p>
    <w:p>
      <w:pPr>
        <w:spacing w:lineRule="auto"/>
      </w:pPr>
      <w:r>
        <w:rPr/>
        <w:t xml:space="preserve">Discursive opportunity approaches start from the observation that </w:t>
      </w:r>
      <w:r>
        <w:rPr>
          <w:b/>
        </w:rPr>
        <w:t xml:space="preserve">open institutions do not automatically produce protest</w:t>
      </w:r>
      <w:r>
        <w:rPr/>
        <w:t xml:space="preserve"> [1] [2] [12]. Movements also need claims that can be publicly heard, understood, and treated as legitimate or realistic by relevant audiences [1] [2]. DOS therefore shifts attention toward public discourse, media visibility, policy language, cultural repertoires, and emotional framing conditions [12] [13] [14] [15].</w:t>
      </w:r>
    </w:p>
    <w:p>
      <w:pPr>
        <w:spacing w:lineRule="auto"/>
      </w:pPr>
      <w:r>
        <w:rPr/>
        <w:t xml:space="preserve">Taken together, these traditions ask two different but connected questions:</w:t>
      </w:r>
    </w:p>
    <w:p>
      <w:pPr>
        <w:numPr>
          <w:ilvl w:val="0"/>
          <w:numId w:val="4"/>
        </w:numPr>
        <w:spacing w:lineRule="auto"/>
      </w:pPr>
      <w:r>
        <w:rPr>
          <w:b/>
        </w:rPr>
        <w:t xml:space="preserve">What openings and constraints exist in institutions and power relations?</w:t>
      </w:r>
      <w:r>
        <w:rPr/>
        <w:t xml:space="preserve"> [27] [32] [45]</w:t>
      </w:r>
    </w:p>
    <w:p>
      <w:pPr>
        <w:numPr>
          <w:ilvl w:val="0"/>
          <w:numId w:val="4"/>
        </w:numPr>
        <w:spacing w:lineRule="auto"/>
      </w:pPr>
      <w:r>
        <w:rPr>
          <w:b/>
        </w:rPr>
        <w:t xml:space="preserve">What openings and constraints exist in public meaning-making and communication?</w:t>
      </w:r>
      <w:r>
        <w:rPr/>
        <w:t xml:space="preserve"> [1] [2] [12]</w:t>
      </w:r>
    </w:p>
    <w:p>
      <w:pPr>
        <w:spacing w:lineRule="auto"/>
      </w:pPr>
      <w:r>
        <w:rPr>
          <w:b/>
        </w:rPr>
        <w:t xml:space="preserve">Confidence level: High</w:t>
      </w:r>
      <w:r>
        <w:rPr/>
        <w:t xml:space="preserve"> - the distinction is consistently reproduced across the retrieved conceptual and empirical material [1] [2].</w:t>
      </w:r>
    </w:p>
    <w:p>
      <w:pPr>
        <w:pStyle w:val="Heading2"/>
        <w:spacing w:lineRule="auto"/>
      </w:pPr>
      <w:r>
        <w:rPr/>
        <w:t xml:space="preserve">Conceptual Foundations and Theoretical Debates</w:t>
      </w:r>
    </w:p>
    <w:p>
      <w:pPr>
        <w:pStyle w:val="Heading3"/>
        <w:spacing w:lineRule="auto"/>
      </w:pPr>
      <w:r>
        <w:rPr/>
        <w:t xml:space="preserve">Political opportunity structures: core definitions and boundary problems</w:t>
      </w:r>
    </w:p>
    <w:p>
      <w:pPr>
        <w:spacing w:lineRule="auto"/>
      </w:pPr>
      <w:r>
        <w:rPr/>
        <w:t xml:space="preserve">POS research has been influential because it links mobilization to institutional configurations rather than treating protest as purely spontaneous or grievance-driven [19] [33]. In comparative work, POS is commonly operationalized through variables such as party-system fragmentation, openness to new challengers, parliamentary versus presidential arrangements, repression, and elite divisions [27] [32] [45] [46].</w:t>
      </w:r>
    </w:p>
    <w:p>
      <w:pPr>
        <w:spacing w:lineRule="auto"/>
      </w:pPr>
      <w:r>
        <w:rPr/>
        <w:t xml:space="preserve">But the same literature repeatedly criticizes POS for being </w:t>
      </w:r>
      <w:r>
        <w:rPr>
          <w:b/>
        </w:rPr>
        <w:t xml:space="preserve">too broad and elastic</w:t>
      </w:r>
      <w:r>
        <w:rPr/>
        <w:t xml:space="preserve"> [5] [6] [7] [8]. One study argues that political opportunity timing did not determine peasant uprisings in 19th-century Japan, with economic structural change explaining more [5]. Reviews of EU-focused opportunity-structure research similarly distinguish between exogenous understandings of opportunity as fixed external constraint and endogenous understandings in which opportunity emerges through ongoing political processes [6].</w:t>
      </w:r>
    </w:p>
    <w:p>
      <w:pPr>
        <w:spacing w:lineRule="auto"/>
      </w:pPr>
      <w:r>
        <w:rPr/>
        <w:t xml:space="preserve">A common response is </w:t>
      </w:r>
      <w:r>
        <w:rPr>
          <w:b/>
        </w:rPr>
        <w:t xml:space="preserve">disaggregation</w:t>
      </w:r>
      <w:r>
        <w:rPr/>
        <w:t xml:space="preserve">. Rather than using POS as a single umbrella term, scholars split it into dimensions such as constitutional rules, elite control, repression, formal rights, input/output structures, and autonomy within the polity [7] [8] [9] [10] [11]. This move improves analytic precision, though it also fragments the concept into many subtypes [9] [10].</w:t>
      </w:r>
    </w:p>
    <w:p>
      <w:pPr>
        <w:spacing w:lineRule="auto"/>
      </w:pPr>
      <w:r>
        <w:rPr>
          <w:b/>
        </w:rPr>
        <w:t xml:space="preserve">Confidence level: High</w:t>
      </w:r>
      <w:r>
        <w:rPr/>
        <w:t xml:space="preserve"> - multiple sources directly converge on ambiguity and disaggregation as central POS debates [5] [6] [7] [8] [9] [10] [11].</w:t>
      </w:r>
    </w:p>
    <w:p>
      <w:pPr>
        <w:pStyle w:val="Heading3"/>
        <w:spacing w:lineRule="auto"/>
      </w:pPr>
      <w:r>
        <w:rPr/>
        <w:t xml:space="preserve">Discursive opportunity structures as a complementary framework</w:t>
      </w:r>
    </w:p>
    <w:p>
      <w:pPr>
        <w:spacing w:lineRule="auto"/>
      </w:pPr>
      <w:r>
        <w:rPr/>
        <w:t xml:space="preserve">DOS is most often presented not as an alternative to POS but as an effort to explain what POS misses: </w:t>
      </w:r>
      <w:r>
        <w:rPr>
          <w:b/>
        </w:rPr>
        <w:t xml:space="preserve">why some movement frames resonate while others fail</w:t>
      </w:r>
      <w:r>
        <w:rPr/>
        <w:t xml:space="preserve"> [1] [2]. In this framework, opportunities are partly discursive: the public sphere and policy field provide conditions under which claims can appear sensible, legitimate, realistic, or worthy of attention [1] [2].</w:t>
      </w:r>
    </w:p>
    <w:p>
      <w:pPr>
        <w:spacing w:lineRule="auto"/>
      </w:pPr>
      <w:r>
        <w:rPr/>
        <w:t xml:space="preserve">This extension is important because movements operate not only in institutions but also in interpretive environments [1] [2]. DOS research therefore studies policy discourse, cultural repertoires, public conversation tone, risk framing, media structure, and issue-field definitions as factors that facilitate or constrain mobilization [12] [13] [14] [15].</w:t>
      </w:r>
    </w:p>
    <w:p>
      <w:pPr>
        <w:spacing w:lineRule="auto"/>
      </w:pPr>
      <w:r>
        <w:rPr/>
        <w:t xml:space="preserve">Taken together, these findings suggest that POS tells us whether actors can </w:t>
      </w:r>
      <w:r>
        <w:rPr>
          <w:b/>
        </w:rPr>
        <w:t xml:space="preserve">enter</w:t>
      </w:r>
      <w:r>
        <w:rPr/>
        <w:t xml:space="preserve"> political arenas, while DOS helps explain whether their claims can </w:t>
      </w:r>
      <w:r>
        <w:rPr>
          <w:b/>
        </w:rPr>
        <w:t xml:space="preserve">travel</w:t>
      </w:r>
      <w:r>
        <w:rPr/>
        <w:t xml:space="preserve"> within those arenas and beyond them [1] [2]. This is an inference from the retrieved evidence rather than a quoted formulation.</w:t>
      </w:r>
    </w:p>
    <w:p>
      <w:pPr>
        <w:spacing w:lineRule="auto"/>
      </w:pPr>
      <w:r>
        <w:rPr>
          <w:b/>
        </w:rPr>
        <w:t xml:space="preserve">Confidence level: High</w:t>
      </w:r>
      <w:r>
        <w:rPr/>
        <w:t xml:space="preserve"> - the complementarity claim is directly evidenced; the “enter/travel” phrasing is an inference grounded in that evidence [1] [2].</w:t>
      </w:r>
    </w:p>
    <w:p>
      <w:pPr>
        <w:pStyle w:val="Heading3"/>
        <w:spacing w:lineRule="auto"/>
      </w:pPr>
      <w:r>
        <w:rPr/>
        <w:t xml:space="preserve">Critiques: opportunity, discourse, emotions, and subjectivity</w:t>
      </w:r>
    </w:p>
    <w:p>
      <w:pPr>
        <w:spacing w:lineRule="auto"/>
      </w:pPr>
      <w:r>
        <w:rPr/>
        <w:t xml:space="preserve">A major critique of both POS and DOS is that neither is sufficient if scholars ignore how activists </w:t>
      </w:r>
      <w:r>
        <w:rPr>
          <w:b/>
        </w:rPr>
        <w:t xml:space="preserve">perceive, feel, and interpret</w:t>
      </w:r>
      <w:r>
        <w:rPr/>
        <w:t xml:space="preserve"> opportunity [12] [16] [17]. One study argues that policy discourse can prepare the ground for protest by shaping activist subjectivity and feeling rules, not just by signaling objective openings [12]. Related critiques say mobilization depends on how dissent becomes emotionally actionable, not only on the existence of formal openings [16] [17].</w:t>
      </w:r>
    </w:p>
    <w:p>
      <w:pPr>
        <w:spacing w:lineRule="auto"/>
      </w:pPr>
      <w:r>
        <w:rPr/>
        <w:t xml:space="preserve">Another strand goes further and argues that opportunities are not simply external conditions to be measured; they may be </w:t>
      </w:r>
      <w:r>
        <w:rPr>
          <w:b/>
        </w:rPr>
        <w:t xml:space="preserve">produced through discourse itself</w:t>
      </w:r>
      <w:r>
        <w:rPr/>
        <w:t xml:space="preserve"> [17] [18]. On this view, hegemonic and movement discourse can construct what counts as a mobilizable situation, even in settings that appear politically closed [17] [18].</w:t>
      </w:r>
    </w:p>
    <w:p>
      <w:pPr>
        <w:spacing w:lineRule="auto"/>
      </w:pPr>
      <w:r>
        <w:rPr/>
        <w:t xml:space="preserve">There is also a broader criticism that opportunity models must incorporate gendered, social, and socioeconomic structures because those shape activist subjectivities and political work [43]. This does not necessarily reject POS or DOS, but it argues they are incomplete if treated as detached from lived social positioning [43].</w:t>
      </w:r>
    </w:p>
    <w:p>
      <w:pPr>
        <w:spacing w:lineRule="auto"/>
      </w:pPr>
      <w:r>
        <w:rPr>
          <w:b/>
        </w:rPr>
        <w:t xml:space="preserve">Confidence level: Medium-High</w:t>
      </w:r>
      <w:r>
        <w:rPr/>
        <w:t xml:space="preserve"> - the critique is strongly supported, though the literature is more interpretive than standardized in how it integrates subjectivity [12] [16] [17] [18] [43].</w:t>
      </w:r>
    </w:p>
    <w:p>
      <w:pPr>
        <w:pStyle w:val="Heading3"/>
        <w:spacing w:lineRule="auto"/>
      </w:pPr>
      <w:r>
        <w:rPr/>
        <w:t xml:space="preserve">Related extensions and competing syntheses</w:t>
      </w:r>
    </w:p>
    <w:p>
      <w:pPr>
        <w:spacing w:lineRule="auto"/>
      </w:pPr>
      <w:r>
        <w:rPr/>
        <w:t xml:space="preserve">The literature has expanded beyond POS and DOS into adjacent concepts. A notable extension is the </w:t>
      </w:r>
      <w:r>
        <w:rPr>
          <w:b/>
        </w:rPr>
        <w:t xml:space="preserve">mediation opportunity structure</w:t>
      </w:r>
      <w:r>
        <w:rPr/>
        <w:t xml:space="preserve">, which treats media and communication as structural resources and constraints for protest, integrating political opportunities with visibility and communication logics [3] [4]. Another is the </w:t>
      </w:r>
      <w:r>
        <w:rPr>
          <w:b/>
        </w:rPr>
        <w:t xml:space="preserve">political economic opportunity structure</w:t>
      </w:r>
      <w:r>
        <w:rPr/>
        <w:t xml:space="preserve">, proposed to capture the economic institutions movements must confront alongside political ones [44].</w:t>
      </w:r>
    </w:p>
    <w:p>
      <w:pPr>
        <w:spacing w:lineRule="auto"/>
      </w:pPr>
      <w:r>
        <w:rPr/>
        <w:t xml:space="preserve">There are also attempts to synthesize opportunity-based approaches with work on </w:t>
      </w:r>
      <w:r>
        <w:rPr>
          <w:b/>
        </w:rPr>
        <w:t xml:space="preserve">nonviolent action</w:t>
      </w:r>
      <w:r>
        <w:rPr/>
        <w:t xml:space="preserve">, arguing that the two frameworks are partly competing but can be joined around the dynamics of contention cycles [47].</w:t>
      </w:r>
    </w:p>
    <w:p>
      <w:pPr>
        <w:spacing w:lineRule="auto"/>
      </w:pPr>
      <w:r>
        <w:rPr/>
        <w:t xml:space="preserve">This proliferation shows the vitality of the opportunity concept, but also reinforces concerns about conceptual inflation [6] [11].</w:t>
      </w:r>
    </w:p>
    <w:p>
      <w:pPr>
        <w:spacing w:lineRule="auto"/>
      </w:pPr>
      <w:r>
        <w:rPr>
          <w:b/>
        </w:rPr>
        <w:t xml:space="preserve">Confidence level: Medium-High</w:t>
      </w:r>
      <w:r>
        <w:rPr/>
        <w:t xml:space="preserve"> - the extensions are directly evidenced, but their comparative standing relative to POS/DOS is less systematically tested in the retrieved material [3] [44] [47].</w:t>
      </w:r>
    </w:p>
    <w:p>
      <w:pPr>
        <w:pStyle w:val="Heading2"/>
        <w:spacing w:lineRule="auto"/>
      </w:pPr>
      <w:r>
        <w:rPr/>
        <w:t xml:space="preserve">Operationalization, Mechanisms, and Comparative Evidence</w:t>
      </w:r>
    </w:p>
    <w:p>
      <w:pPr>
        <w:pStyle w:val="Heading3"/>
        <w:spacing w:lineRule="auto"/>
      </w:pPr>
      <w:r>
        <w:rPr/>
        <w:t xml:space="preserve">Measuring political opportunities in democratic and authoritarian settings</w:t>
      </w:r>
    </w:p>
    <w:p>
      <w:pPr>
        <w:spacing w:lineRule="auto"/>
      </w:pPr>
      <w:r>
        <w:rPr/>
        <w:t xml:space="preserve">Across comparative studies, POS is usually measured through institutional and regime variables [32] [45] [46]. In democratic settings, common indicators include party-system fragmentation, openness to new challengers, and institutional design such as parliamentary versus presidential systems [32] [45] [46].</w:t>
      </w:r>
    </w:p>
    <w:p>
      <w:pPr>
        <w:spacing w:lineRule="auto"/>
      </w:pPr>
      <w:r>
        <w:rPr/>
        <w:t xml:space="preserve">In authoritarian settings, measures more often emphasize repression, state violence, censorship, civil liberties, elite divisions, social networks, and access to allies [26] [27] [48]. Some studies explicitly use Human Rights Protection Scores and V-Dem civil liberties measures as operational indicators [48].</w:t>
      </w:r>
    </w:p>
    <w:p>
      <w:pPr>
        <w:spacing w:lineRule="auto"/>
      </w:pPr>
      <w:r>
        <w:rPr/>
        <w:t xml:space="preserve">More broadly, the field often prefers disaggregated indicators over a single POS measure, splitting opportunity into formal rights, elite control, repression capacity, and input/output channels [7] [9] [10] [11].</w:t>
      </w:r>
    </w:p>
    <w:p>
      <w:pPr>
        <w:spacing w:lineRule="auto"/>
      </w:pPr>
      <w:r>
        <w:rPr>
          <w:b/>
        </w:rPr>
        <w:t xml:space="preserve">Confidence level: High</w:t>
      </w:r>
      <w:r>
        <w:rPr/>
        <w:t xml:space="preserve"> - the measurement pattern is directly and repeatedly supported across the operationalization literature [7] [9] [10] [11] [26] [27] [32] [45] [46] [48].</w:t>
      </w:r>
    </w:p>
    <w:p>
      <w:pPr>
        <w:pStyle w:val="Heading3"/>
        <w:spacing w:lineRule="auto"/>
      </w:pPr>
      <w:r>
        <w:rPr/>
        <w:t xml:space="preserve">Mechanisms linking POS to mobilization, diffusion, and outcomes</w:t>
      </w:r>
    </w:p>
    <w:p>
      <w:pPr>
        <w:spacing w:lineRule="auto"/>
      </w:pPr>
      <w:r>
        <w:rPr/>
        <w:t xml:space="preserve">The evidence broadly shows that </w:t>
      </w:r>
      <w:r>
        <w:rPr>
          <w:b/>
        </w:rPr>
        <w:t xml:space="preserve">more open institutions and elite divisions tend to facilitate mobilization</w:t>
      </w:r>
      <w:r>
        <w:rPr/>
        <w:t xml:space="preserve">, while more repressive environments reduce participation [25] [26] [28]. In authoritarian settings especially, protest is lower and more constrained overall [26] [28].</w:t>
      </w:r>
    </w:p>
    <w:p>
      <w:pPr>
        <w:spacing w:lineRule="auto"/>
      </w:pPr>
      <w:r>
        <w:rPr/>
        <w:t xml:space="preserve">However, repression does not end the story. Media access, social networks, and prior protest activity can help generate new mobilization, while regional diffusion helps explain riots and demonstrations under dictatorships [26] [30]. Protest outcomes are also shaped jointly by political and media context: a study on China finds that media exposure and favorable political conditions together increase protest success, with elite support especially important for large protests [29]. Where elite support is absent, more disruptive tactics can matter more [29].</w:t>
      </w:r>
    </w:p>
    <w:p>
      <w:pPr>
        <w:spacing w:lineRule="auto"/>
      </w:pPr>
      <w:r>
        <w:rPr/>
        <w:t xml:space="preserve">Institutional openness can also redirect movements toward electoral contestation or concessions, whereas narrowing opportunities and rising repression may push contention toward more disruptive or violent forms [46] [49] [50]. Some authoritarian protest campaigns can even contribute to regime crisis or change [31].</w:t>
      </w:r>
    </w:p>
    <w:p>
      <w:pPr>
        <w:spacing w:lineRule="auto"/>
      </w:pPr>
      <w:r>
        <w:rPr>
          <w:b/>
        </w:rPr>
        <w:t xml:space="preserve">Confidence level: High</w:t>
      </w:r>
      <w:r>
        <w:rPr/>
        <w:t xml:space="preserve"> - these mechanisms are directly supported across multiple comparative studies [25] [26] [28] [29] [30] [31] [46] [49] [50].</w:t>
      </w:r>
    </w:p>
    <w:p>
      <w:pPr>
        <w:pStyle w:val="Heading3"/>
        <w:spacing w:lineRule="auto"/>
      </w:pPr>
      <w:r>
        <w:rPr/>
        <w:t xml:space="preserve">Operationalizing discursive opportunities and framing resonance</w:t>
      </w:r>
    </w:p>
    <w:p>
      <w:pPr>
        <w:spacing w:lineRule="auto"/>
      </w:pPr>
      <w:r>
        <w:rPr/>
        <w:t xml:space="preserve">DOS is operationalized through measures that capture how claims are received and structured in public discourse [12] [13] [14] [15]. A two-country aircraft-noise study measures framing resonance via </w:t>
      </w:r>
      <w:r>
        <w:rPr>
          <w:b/>
        </w:rPr>
        <w:t xml:space="preserve">feeling rules</w:t>
      </w:r>
      <w:r>
        <w:rPr/>
        <w:t xml:space="preserve"> and whether policy discourse makes annoyance politically actionable [12]. A six-country European study of unemployment claim-making treats the </w:t>
      </w:r>
      <w:r>
        <w:rPr>
          <w:b/>
        </w:rPr>
        <w:t xml:space="preserve">discursive context of the issue field</w:t>
      </w:r>
      <w:r>
        <w:rPr/>
        <w:t xml:space="preserve"> as a specific opportunity that shapes mobilization [13]. A U.S. school desegregation study uses the </w:t>
      </w:r>
      <w:r>
        <w:rPr>
          <w:b/>
        </w:rPr>
        <w:t xml:space="preserve">tone and balance of public conversation</w:t>
      </w:r>
      <w:r>
        <w:rPr/>
        <w:t xml:space="preserve">, operationalized through newspaper coverage and related records, to show discourse becoming increasingly negative and constraining over time [14]. Anti-GM campaign research measures </w:t>
      </w:r>
      <w:r>
        <w:rPr>
          <w:b/>
        </w:rPr>
        <w:t xml:space="preserve">risk framing in newspapers</w:t>
      </w:r>
      <w:r>
        <w:rPr/>
        <w:t xml:space="preserve"> and links national variation to policy discourse, media structure, and media culture [15].</w:t>
      </w:r>
    </w:p>
    <w:p>
      <w:pPr>
        <w:spacing w:lineRule="auto"/>
      </w:pPr>
      <w:r>
        <w:rPr/>
        <w:t xml:space="preserve">These studies collectively show that DOS is often measured through content analysis of news, policy discourse, issue-field definitions, and public tone rather than through institutional variables alone [12] [13] [14] [15].</w:t>
      </w:r>
    </w:p>
    <w:p>
      <w:pPr>
        <w:spacing w:lineRule="auto"/>
      </w:pPr>
      <w:r>
        <w:rPr/>
        <w:t xml:space="preserve">Taken together, these findings suggest that DOS works empirically by capturing whether grievances are translated into publicly intelligible and legitimate claims [12] [13] [14]. This is an inference from the operationalizations reported.</w:t>
      </w:r>
    </w:p>
    <w:p>
      <w:pPr>
        <w:spacing w:lineRule="auto"/>
      </w:pPr>
      <w:r>
        <w:rPr>
          <w:b/>
        </w:rPr>
        <w:t xml:space="preserve">Confidence level: High</w:t>
      </w:r>
      <w:r>
        <w:rPr/>
        <w:t xml:space="preserve"> - the operational indicators are directly documented in multiple comparative studies [12] [13] [14] [15].</w:t>
      </w:r>
    </w:p>
    <w:p>
      <w:pPr>
        <w:pStyle w:val="Heading3"/>
        <w:spacing w:lineRule="auto"/>
      </w:pPr>
      <w:r>
        <w:rPr/>
        <w:t xml:space="preserve">Media-centered contention and mediation opportunity structures</w:t>
      </w:r>
    </w:p>
    <w:p>
      <w:pPr>
        <w:spacing w:lineRule="auto"/>
      </w:pPr>
      <w:r>
        <w:rPr/>
        <w:t xml:space="preserve">Media-centered scholarship argues that visibility is not a secondary outcome of protest but part of its opportunity environment [3] [4]. Mediation opportunity structure is commonly divided into </w:t>
      </w:r>
      <w:r>
        <w:rPr>
          <w:b/>
        </w:rPr>
        <w:t xml:space="preserve">media opportunities</w:t>
      </w:r>
      <w:r>
        <w:rPr/>
        <w:t xml:space="preserve">, </w:t>
      </w:r>
      <w:r>
        <w:rPr>
          <w:b/>
        </w:rPr>
        <w:t xml:space="preserve">discursive opportunities</w:t>
      </w:r>
      <w:r>
        <w:rPr/>
        <w:t xml:space="preserve">, and </w:t>
      </w:r>
      <w:r>
        <w:rPr>
          <w:b/>
        </w:rPr>
        <w:t xml:space="preserve">networked opportunities</w:t>
      </w:r>
      <w:r>
        <w:rPr/>
        <w:t xml:space="preserve"> [4] [21] [22]. This expands earlier POS/DOS models into hybrid communication environments [4] [21].</w:t>
      </w:r>
    </w:p>
    <w:p>
      <w:pPr>
        <w:spacing w:lineRule="auto"/>
      </w:pPr>
      <w:r>
        <w:rPr/>
        <w:t xml:space="preserve">Empirical work measures these opportunities through mainstream media attention, the ability to sustain press coverage, self-mediation, counter-narratives outside legacy media, and platform-specific affordances [21] [22] [23] [24]. Studies comparing Facebook and Twitter examine long-form posting, comments, likes, visuals, page curation, groups, events, character limits, and spontaneous information sharing to explain differences in campaign visibility, scalability, and protest narration [23] [24].</w:t>
      </w:r>
    </w:p>
    <w:p>
      <w:pPr>
        <w:spacing w:lineRule="auto"/>
      </w:pPr>
      <w:r>
        <w:rPr/>
        <w:t xml:space="preserve">Some work further shows that activists may adopt disruptive or spectacular tactics to secure media visibility, even when those tactics carry legitimacy costs [22] [51]. Exposure to political activity on social media can also translate into offline participation, and multi-platform news use can support civic participation through civic talk and attitudes [42] [52].</w:t>
      </w:r>
    </w:p>
    <w:p>
      <w:pPr>
        <w:spacing w:lineRule="auto"/>
      </w:pPr>
      <w:r>
        <w:rPr>
          <w:b/>
        </w:rPr>
        <w:t xml:space="preserve">Confidence level: High</w:t>
      </w:r>
      <w:r>
        <w:rPr/>
        <w:t xml:space="preserve"> - the hybrid opportunity argument is strongly evidenced across mediation and digital protest studies [3] [4] [21] [22] [23] [24] [42].</w:t>
      </w:r>
    </w:p>
    <w:p>
      <w:pPr>
        <w:pStyle w:val="Heading3"/>
        <w:spacing w:lineRule="auto"/>
      </w:pPr>
      <w:r>
        <w:rPr/>
        <w:t xml:space="preserve">Comparative and multi-level findings across regions and issue fields</w:t>
      </w:r>
    </w:p>
    <w:p>
      <w:pPr>
        <w:spacing w:lineRule="auto"/>
      </w:pPr>
      <w:r>
        <w:rPr/>
        <w:t xml:space="preserve">The retrieved literature covers a wide range of issue fields and regions, including Europe, North America, transnational anti-GM campaigns, unemployment politics, school desegregation, environmental contention, and aircraft-noise protest [6] [12] [13] [14] [15] [41] [53]. Across these studies, opportunities are consistently shown to be </w:t>
      </w:r>
      <w:r>
        <w:rPr>
          <w:b/>
        </w:rPr>
        <w:t xml:space="preserve">context-specific</w:t>
      </w:r>
      <w:r>
        <w:rPr/>
        <w:t xml:space="preserve"> rather than uniform across all claims and arenas [6] [15] [33] [41] [53].</w:t>
      </w:r>
    </w:p>
    <w:p>
      <w:pPr>
        <w:spacing w:lineRule="auto"/>
      </w:pPr>
      <w:r>
        <w:rPr/>
        <w:t xml:space="preserve">The evidence supports issue-field specificity especially well: unemployment claim-making and school desegregation research show that discursive conditions can vary sharply across domains and over time, even within the same broad political system [13] [14]. Anti-GM mobilization likewise varies across countries due to differences in policy discourse, media structure, and media culture [15].</w:t>
      </w:r>
    </w:p>
    <w:p>
      <w:pPr>
        <w:spacing w:lineRule="auto"/>
      </w:pPr>
      <w:r>
        <w:rPr/>
        <w:t xml:space="preserve">At the same time, the retrieved material does </w:t>
      </w:r>
      <w:r>
        <w:rPr>
          <w:b/>
        </w:rPr>
        <w:t xml:space="preserve">not</w:t>
      </w:r>
      <w:r>
        <w:rPr/>
        <w:t xml:space="preserve"> provide strong direct evidence from studies that explicitly model local, national, and transnational opportunity levels in a single design [35] [36] [37] [38] [39] [40]. So while multilevel opportunity is a recognized concern, the present evidence base is thinner on fully integrated tests [33] [41].</w:t>
      </w:r>
    </w:p>
    <w:p>
      <w:pPr>
        <w:spacing w:lineRule="auto"/>
      </w:pPr>
      <w:r>
        <w:rPr>
          <w:b/>
        </w:rPr>
        <w:t xml:space="preserve">Confidence level: Medium</w:t>
      </w:r>
      <w:r>
        <w:rPr/>
        <w:t xml:space="preserve"> - cross-context variation is clear, but explicit multilevel causal testing is not well represented in the retrieved set [6] [13] [14] [15] [35] [36] [37] [38] [39] [40] [41] [53].</w:t>
      </w:r>
    </w:p>
    <w:p>
      <w:pPr>
        <w:pStyle w:val="Heading2"/>
        <w:spacing w:lineRule="auto"/>
      </w:pPr>
      <w:r>
        <w:rPr/>
        <w:t xml:space="preserve">Methodological Controversies and Evidence Gaps</w:t>
      </w:r>
    </w:p>
    <w:p>
      <w:pPr>
        <w:spacing w:lineRule="auto"/>
      </w:pPr>
      <w:r>
        <w:rPr/>
        <w:t xml:space="preserve">Methodologically, the field is moving away from treating opportunity as a single master variable and toward </w:t>
      </w:r>
      <w:r>
        <w:rPr>
          <w:b/>
        </w:rPr>
        <w:t xml:space="preserve">disaggregation plus mixed evidence strategies</w:t>
      </w:r>
      <w:r>
        <w:rPr/>
        <w:t xml:space="preserve"> [7] [9] [10] [34]. Common approaches include cross-national comparison, newspaper and policy discourse analysis, interviews, ethnographic work, framing analysis, and process-oriented designs [14] [15] [16] [17] [34].</w:t>
      </w:r>
    </w:p>
    <w:p>
      <w:pPr>
        <w:spacing w:lineRule="auto"/>
      </w:pPr>
      <w:r>
        <w:rPr/>
        <w:t xml:space="preserve">The main controversy is causal clarity. POS studies can be too coarse, while DOS and mediation approaches risk multiplying opportunity concepts without always showing how they connect causally [19] [20] [33]. The sharpest unresolved question is whether opportunities should be treated as </w:t>
      </w:r>
      <w:r>
        <w:rPr>
          <w:b/>
        </w:rPr>
        <w:t xml:space="preserve">objective structures</w:t>
      </w:r>
      <w:r>
        <w:rPr/>
        <w:t xml:space="preserve">, </w:t>
      </w:r>
      <w:r>
        <w:rPr>
          <w:b/>
        </w:rPr>
        <w:t xml:space="preserve">subjective perceptions</w:t>
      </w:r>
      <w:r>
        <w:rPr/>
        <w:t xml:space="preserve">, or </w:t>
      </w:r>
      <w:r>
        <w:rPr>
          <w:b/>
        </w:rPr>
        <w:t xml:space="preserve">relational accomplishments produced through interaction</w:t>
      </w:r>
      <w:r>
        <w:rPr/>
        <w:t xml:space="preserve"> [6] [16] [17] [20].</w:t>
      </w:r>
    </w:p>
    <w:p>
      <w:pPr>
        <w:spacing w:lineRule="auto"/>
      </w:pPr>
      <w:r>
        <w:rPr/>
        <w:t xml:space="preserve">A second gap concerns standardization across regime types and media environments. The evidence shows useful measures of repression, censorship, media access, and framing tone, but there is limited retrieval on unified instruments that travel well across democracies, autocracies, and hybrid online/offline arenas [22] [26] [27] [33] [41].</w:t>
      </w:r>
    </w:p>
    <w:p>
      <w:pPr>
        <w:spacing w:lineRule="auto"/>
      </w:pPr>
      <w:r>
        <w:rPr>
          <w:b/>
        </w:rPr>
        <w:t xml:space="preserve">Confidence level: High</w:t>
      </w:r>
      <w:r>
        <w:rPr/>
        <w:t xml:space="preserve"> - the methodological pattern and controversy are strongly evidenced, though solutions remain underdeveloped in the literature [7] [9] [10] [16] [17] [19] [20] [33] [34].</w:t>
      </w:r>
    </w:p>
    <w:p>
      <w:pPr>
        <w:pStyle w:val="Heading2"/>
        <w:spacing w:lineRule="auto"/>
      </w:pPr>
      <w:r>
        <w:rPr/>
        <w:t xml:space="preserve">Overall Synthesis and Conclusion</w:t>
      </w:r>
    </w:p>
    <w:p>
      <w:pPr>
        <w:spacing w:lineRule="auto"/>
      </w:pPr>
      <w:r>
        <w:rPr/>
        <w:t xml:space="preserve">The strongest conclusion from the retrieved evidence is that </w:t>
      </w:r>
      <w:r>
        <w:rPr>
          <w:b/>
        </w:rPr>
        <w:t xml:space="preserve">political opportunities and discursive opportunities should not be treated as rival concepts in a simple either/or sense</w:t>
      </w:r>
      <w:r>
        <w:rPr/>
        <w:t xml:space="preserve"> [1] [2]. POS remains useful for identifying institutional openings, elite alignments, and coercive constraints [27] [28] [32]. DOS adds explanatory power by showing how discourse, media, and cultural legitimacy shape whether claims become resonant and actionable [12] [13] [14] [15].</w:t>
      </w:r>
    </w:p>
    <w:p>
      <w:pPr>
        <w:spacing w:lineRule="auto"/>
      </w:pPr>
      <w:r>
        <w:rPr/>
        <w:t xml:space="preserve">The main theoretical divide is not POS versus DOS, but rather whether opportunity is understood as </w:t>
      </w:r>
      <w:r>
        <w:rPr>
          <w:b/>
        </w:rPr>
        <w:t xml:space="preserve">external</w:t>
      </w:r>
      <w:r>
        <w:rPr/>
        <w:t xml:space="preserve">, </w:t>
      </w:r>
      <w:r>
        <w:rPr>
          <w:b/>
        </w:rPr>
        <w:t xml:space="preserve">interpreted</w:t>
      </w:r>
      <w:r>
        <w:rPr/>
        <w:t xml:space="preserve">, or </w:t>
      </w:r>
      <w:r>
        <w:rPr>
          <w:b/>
        </w:rPr>
        <w:t xml:space="preserve">co-produced</w:t>
      </w:r>
      <w:r>
        <w:rPr/>
        <w:t xml:space="preserve"> through discourse and interaction [6] [16] [17] [18]. Recent work on mediation opportunity structures and hybrid digital environments pushes the field further away from purely state-centered models and toward multi-arena explanations [3] [4] [21] [24].</w:t>
      </w:r>
    </w:p>
    <w:p>
      <w:pPr>
        <w:spacing w:lineRule="auto"/>
      </w:pPr>
      <w:r>
        <w:rPr>
          <w:b/>
        </w:rPr>
        <w:t xml:space="preserve">Inferred:</w:t>
      </w:r>
      <w:r>
        <w:rPr/>
        <w:t xml:space="preserve"> A productive integrated model would treat political opportunities as shaping access to decision-makers, discursive opportunities as shaping legitimacy and resonance, and mediation opportunities as shaping circulation and visibility [3] [4].</w:t>
      </w:r>
      <w:r>
        <w:rPr/>
        <w:br w:type="textWrapping"/>
      </w:r>
      <w:r>
        <w:rPr>
          <w:b/>
        </w:rPr>
        <w:t xml:space="preserve">Confidence level: Low-Medium</w:t>
      </w:r>
      <w:r>
        <w:rPr/>
        <w:t xml:space="preserve"> - this formulation is a synthesis across sources rather than a directly stated consensus model.</w:t>
      </w:r>
    </w:p>
    <w:p>
      <w:pPr>
        <w:spacing w:lineRule="auto"/>
      </w:pPr>
      <w:r>
        <w:rPr/>
        <w:t xml:space="preserve">For practical use in research design, the evidence suggests avoiding broad invocations of “opportunity structure” and instead specifying:</w:t>
      </w:r>
    </w:p>
    <w:p>
      <w:pPr>
        <w:numPr>
          <w:ilvl w:val="0"/>
          <w:numId w:val="5"/>
        </w:numPr>
        <w:spacing w:lineRule="auto"/>
      </w:pPr>
      <w:r>
        <w:rPr/>
        <w:t xml:space="preserve">which </w:t>
      </w:r>
      <w:r>
        <w:rPr>
          <w:b/>
        </w:rPr>
        <w:t xml:space="preserve">political</w:t>
      </w:r>
      <w:r>
        <w:rPr/>
        <w:t xml:space="preserve"> dimensions matter, such as openness, repression, elite splits, or allies [7] [9] [10] [27];</w:t>
      </w:r>
    </w:p>
    <w:p>
      <w:pPr>
        <w:numPr>
          <w:ilvl w:val="0"/>
          <w:numId w:val="5"/>
        </w:numPr>
        <w:spacing w:lineRule="auto"/>
      </w:pPr>
      <w:r>
        <w:rPr/>
        <w:t xml:space="preserve">which </w:t>
      </w:r>
      <w:r>
        <w:rPr>
          <w:b/>
        </w:rPr>
        <w:t xml:space="preserve">discursive</w:t>
      </w:r>
      <w:r>
        <w:rPr/>
        <w:t xml:space="preserve"> dimensions matter, such as tone, risk framing, issue-field definition, or feeling rules [12] [13] [14] [15];</w:t>
      </w:r>
    </w:p>
    <w:p>
      <w:pPr>
        <w:numPr>
          <w:ilvl w:val="0"/>
          <w:numId w:val="5"/>
        </w:numPr>
        <w:spacing w:lineRule="auto"/>
      </w:pPr>
      <w:r>
        <w:rPr/>
        <w:t xml:space="preserve">and which </w:t>
      </w:r>
      <w:r>
        <w:rPr>
          <w:b/>
        </w:rPr>
        <w:t xml:space="preserve">media/communication</w:t>
      </w:r>
      <w:r>
        <w:rPr/>
        <w:t xml:space="preserve"> dimensions matter, such as press access, platform affordances, self-mediation, and visibility [4] [21] [23] [24].</w:t>
      </w:r>
    </w:p>
    <w:p>
      <w:pPr>
        <w:spacing w:lineRule="auto"/>
      </w:pPr>
      <w:r>
        <w:rPr>
          <w:b/>
        </w:rPr>
        <w:t xml:space="preserve">Final confidence level: High</w:t>
      </w:r>
      <w:r>
        <w:rPr/>
        <w:t xml:space="preserve"> - the evidence consistently supports a layered, complementary understanding of political and discursive opportunities, while also documenting unresolved debates about causality, perception, and conceptual boundaries [1] [2] [6] [19] [33].</w:t>
      </w:r>
    </w:p>
    <w:p>
      <w:pPr>
        <w:pStyle w:val="Heading2"/>
        <w:spacing w:lineRule="auto"/>
      </w:pPr>
      <w:r>
        <w:rPr/>
        <w:t xml:space="preserve">References</w:t>
      </w:r>
    </w:p>
    <w:p>
      <w:pPr>
        <w:numPr>
          <w:ilvl w:val="0"/>
          <w:numId w:val="6"/>
        </w:numPr>
        <w:spacing w:lineRule="auto"/>
      </w:pPr>
      <w:r>
        <w:rPr/>
        <w:t xml:space="preserve">McCammon, H. (2013) Discursive Opportunity Structure. </w:t>
      </w:r>
      <w:r>
        <w:rPr>
          <w:i/>
        </w:rPr>
        <w:t xml:space="preserve">The Wiley-Blackwell Encyclopedia of Social and Political Movements</w:t>
      </w:r>
      <w:r>
        <w:rPr/>
        <w:t xml:space="preserve">. </w:t>
      </w:r>
      <w:hyperlink r:id="rId6">
        <w:r>
          <w:rPr>
            <w:rStyle w:val="Hyperlink"/>
          </w:rPr>
          <w:t xml:space="preserve">https://doi.org/10.1002/9780470674871.wbespm073</w:t>
        </w:r>
      </w:hyperlink>
    </w:p>
    <w:p>
      <w:pPr>
        <w:numPr>
          <w:ilvl w:val="0"/>
          <w:numId w:val="6"/>
        </w:numPr>
        <w:spacing w:lineRule="auto"/>
      </w:pPr>
      <w:r>
        <w:rPr/>
        <w:t xml:space="preserve">McCammon, H. (2013) Discursive Opportunity Structure. </w:t>
      </w:r>
      <w:r>
        <w:rPr>
          <w:i/>
        </w:rPr>
        <w:t xml:space="preserve">The Wiley-Blackwell Encyclopedia of Social and Political Movements</w:t>
      </w:r>
      <w:r>
        <w:rPr/>
        <w:t xml:space="preserve">. </w:t>
      </w:r>
      <w:hyperlink r:id="rId7">
        <w:r>
          <w:rPr>
            <w:rStyle w:val="Hyperlink"/>
          </w:rPr>
          <w:t xml:space="preserve">https://doi.org/10.1002/9780470674871.wbespm073.pub2</w:t>
        </w:r>
      </w:hyperlink>
    </w:p>
    <w:p>
      <w:pPr>
        <w:numPr>
          <w:ilvl w:val="0"/>
          <w:numId w:val="6"/>
        </w:numPr>
        <w:spacing w:lineRule="auto"/>
      </w:pPr>
      <w:r>
        <w:rPr/>
        <w:t xml:space="preserve">Cammaerts, B. (2012) Protest logics and the mediation opportunity structure. </w:t>
      </w:r>
      <w:r>
        <w:rPr>
          <w:i/>
        </w:rPr>
        <w:t xml:space="preserve">European Journal of Communication</w:t>
      </w:r>
      <w:r>
        <w:rPr/>
        <w:t xml:space="preserve">. </w:t>
      </w:r>
      <w:hyperlink r:id="rId8">
        <w:r>
          <w:rPr>
            <w:rStyle w:val="Hyperlink"/>
          </w:rPr>
          <w:t xml:space="preserve">https://doi.org/10.1177/0267323112441007</w:t>
        </w:r>
      </w:hyperlink>
    </w:p>
    <w:p>
      <w:pPr>
        <w:numPr>
          <w:ilvl w:val="0"/>
          <w:numId w:val="6"/>
        </w:numPr>
        <w:spacing w:lineRule="auto"/>
      </w:pPr>
      <w:r>
        <w:rPr/>
        <w:t xml:space="preserve">Sun, Yu, Yin, Siyuan (2024) Opening up mediation opportunities by engaging grassroots data: Adaptive and resilient feminist data activism in China. </w:t>
      </w:r>
      <w:r>
        <w:rPr>
          <w:i/>
        </w:rPr>
        <w:t xml:space="preserve">New Media &amp; Society</w:t>
      </w:r>
      <w:r>
        <w:rPr/>
        <w:t xml:space="preserve">. </w:t>
      </w:r>
      <w:hyperlink r:id="rId9">
        <w:r>
          <w:rPr>
            <w:rStyle w:val="Hyperlink"/>
          </w:rPr>
          <w:t xml:space="preserve">https://doi.org/10.1177/14614448221096806</w:t>
        </w:r>
      </w:hyperlink>
    </w:p>
    <w:p>
      <w:pPr>
        <w:numPr>
          <w:ilvl w:val="0"/>
          <w:numId w:val="6"/>
        </w:numPr>
        <w:spacing w:lineRule="auto"/>
      </w:pPr>
      <w:r>
        <w:rPr/>
        <w:t xml:space="preserve">Nomiya, D. (1998) Political opportunity structure, economic structure, and ideology: Peasant uprisings in 19th-century Japan. </w:t>
      </w:r>
      <w:r>
        <w:rPr>
          <w:i/>
        </w:rPr>
        <w:t xml:space="preserve">Sociological Theory and Methods</w:t>
      </w:r>
      <w:r>
        <w:rPr/>
        <w:t xml:space="preserve">. </w:t>
      </w:r>
      <w:hyperlink r:id="rId10">
        <w:r>
          <w:rPr>
            <w:rStyle w:val="Hyperlink"/>
          </w:rPr>
          <w:t xml:space="preserve">https://www.scopus.com/pages/publications/11644257505</w:t>
        </w:r>
      </w:hyperlink>
    </w:p>
    <w:p>
      <w:pPr>
        <w:numPr>
          <w:ilvl w:val="0"/>
          <w:numId w:val="6"/>
        </w:numPr>
        <w:spacing w:lineRule="auto"/>
      </w:pPr>
      <w:r>
        <w:rPr/>
        <w:t xml:space="preserve">Princen, S., Kerremans, B. (2008) Opportunity structures in the EU multi-level system. </w:t>
      </w:r>
      <w:r>
        <w:rPr>
          <w:i/>
        </w:rPr>
        <w:t xml:space="preserve">West European Politics</w:t>
      </w:r>
      <w:r>
        <w:rPr/>
        <w:t xml:space="preserve">. </w:t>
      </w:r>
      <w:hyperlink r:id="rId11">
        <w:r>
          <w:rPr>
            <w:rStyle w:val="Hyperlink"/>
          </w:rPr>
          <w:t xml:space="preserve">https://doi.org/10.1080/01402380802370484</w:t>
        </w:r>
      </w:hyperlink>
    </w:p>
    <w:p>
      <w:pPr>
        <w:numPr>
          <w:ilvl w:val="0"/>
          <w:numId w:val="6"/>
        </w:numPr>
        <w:spacing w:lineRule="auto"/>
      </w:pPr>
      <w:r>
        <w:rPr/>
        <w:t xml:space="preserve">Williams, G.P. (2010) When Opportunity Structure knocks: Social Movements in the Soviet Union and Russian Federation. </w:t>
      </w:r>
      <w:r>
        <w:rPr>
          <w:i/>
        </w:rPr>
        <w:t xml:space="preserve">Social Movement Studies</w:t>
      </w:r>
      <w:r>
        <w:rPr/>
        <w:t xml:space="preserve">. </w:t>
      </w:r>
      <w:hyperlink r:id="rId12">
        <w:r>
          <w:rPr>
            <w:rStyle w:val="Hyperlink"/>
          </w:rPr>
          <w:t xml:space="preserve">https://doi.org/10.1080/14742837.2010.522312</w:t>
        </w:r>
      </w:hyperlink>
    </w:p>
    <w:p>
      <w:pPr>
        <w:numPr>
          <w:ilvl w:val="0"/>
          <w:numId w:val="6"/>
        </w:numPr>
        <w:spacing w:lineRule="auto"/>
      </w:pPr>
      <w:r>
        <w:rPr/>
        <w:t xml:space="preserve">Alimi, E.Y. (2009) Mobilizing under the gun: Theorizing political opportunity structure in a highly repressive setting. </w:t>
      </w:r>
      <w:r>
        <w:rPr>
          <w:i/>
        </w:rPr>
        <w:t xml:space="preserve">Mobilization</w:t>
      </w:r>
      <w:r>
        <w:rPr/>
        <w:t xml:space="preserve">. </w:t>
      </w:r>
      <w:hyperlink r:id="rId13">
        <w:r>
          <w:rPr>
            <w:rStyle w:val="Hyperlink"/>
          </w:rPr>
          <w:t xml:space="preserve">https://www.scopus.com/pages/publications/67651036869</w:t>
        </w:r>
      </w:hyperlink>
    </w:p>
    <w:p>
      <w:pPr>
        <w:numPr>
          <w:ilvl w:val="0"/>
          <w:numId w:val="6"/>
        </w:numPr>
        <w:spacing w:lineRule="auto"/>
      </w:pPr>
      <w:r>
        <w:rPr/>
        <w:t xml:space="preserve">Overby, L.M. (1990) West European Peace Movements: An Application of Kitschelt's Political Opportunity Structures Thesis. </w:t>
      </w:r>
      <w:r>
        <w:rPr>
          <w:i/>
        </w:rPr>
        <w:t xml:space="preserve">West European Politics</w:t>
      </w:r>
      <w:r>
        <w:rPr/>
        <w:t xml:space="preserve">. </w:t>
      </w:r>
      <w:hyperlink r:id="rId14">
        <w:r>
          <w:rPr>
            <w:rStyle w:val="Hyperlink"/>
          </w:rPr>
          <w:t xml:space="preserve">https://doi.org/10.1080/01402389008424776</w:t>
        </w:r>
      </w:hyperlink>
    </w:p>
    <w:p>
      <w:pPr>
        <w:numPr>
          <w:ilvl w:val="0"/>
          <w:numId w:val="6"/>
        </w:numPr>
        <w:spacing w:lineRule="auto"/>
      </w:pPr>
      <w:r>
        <w:rPr/>
        <w:t xml:space="preserve">Diani, M. (1996) Linking mobilization frames and political opportunities: Insights from regional populism in Italy. </w:t>
      </w:r>
      <w:r>
        <w:rPr>
          <w:i/>
        </w:rPr>
        <w:t xml:space="preserve">American Sociological Review</w:t>
      </w:r>
      <w:r>
        <w:rPr/>
        <w:t xml:space="preserve">. </w:t>
      </w:r>
      <w:hyperlink r:id="rId15">
        <w:r>
          <w:rPr>
            <w:rStyle w:val="Hyperlink"/>
          </w:rPr>
          <w:t xml:space="preserve">https://doi.org/10.2307/2096308</w:t>
        </w:r>
      </w:hyperlink>
    </w:p>
    <w:p>
      <w:pPr>
        <w:numPr>
          <w:ilvl w:val="0"/>
          <w:numId w:val="6"/>
        </w:numPr>
        <w:spacing w:lineRule="auto"/>
      </w:pPr>
      <w:r>
        <w:rPr/>
        <w:t xml:space="preserve">Zabarah, D.A. (2012) Opportunity structures and group building processes: An institutional analysis of the secession processes in Pridnestrovie and Gagauzia between 1989 and 1991. </w:t>
      </w:r>
      <w:r>
        <w:rPr>
          <w:i/>
        </w:rPr>
        <w:t xml:space="preserve">Communist and Post-Communist Studies</w:t>
      </w:r>
      <w:r>
        <w:rPr/>
        <w:t xml:space="preserve">. </w:t>
      </w:r>
      <w:hyperlink r:id="rId16">
        <w:r>
          <w:rPr>
            <w:rStyle w:val="Hyperlink"/>
          </w:rPr>
          <w:t xml:space="preserve">https://doi.org/10.1016/j.postcomstud.2012.03.007</w:t>
        </w:r>
      </w:hyperlink>
    </w:p>
    <w:p>
      <w:pPr>
        <w:numPr>
          <w:ilvl w:val="0"/>
          <w:numId w:val="6"/>
        </w:numPr>
        <w:spacing w:lineRule="auto"/>
      </w:pPr>
      <w:r>
        <w:rPr/>
        <w:t xml:space="preserve">Bröer, C., Duyvendak, J.W. (2009) Discursive opportunities, feeling rules, and the rise of protests against aircraft noise. </w:t>
      </w:r>
      <w:r>
        <w:rPr>
          <w:i/>
        </w:rPr>
        <w:t xml:space="preserve">Mobilization</w:t>
      </w:r>
      <w:r>
        <w:rPr/>
        <w:t xml:space="preserve">. </w:t>
      </w:r>
      <w:hyperlink r:id="rId17">
        <w:r>
          <w:rPr>
            <w:rStyle w:val="Hyperlink"/>
          </w:rPr>
          <w:t xml:space="preserve">https://www.scopus.com/pages/publications/70350154822</w:t>
        </w:r>
      </w:hyperlink>
    </w:p>
    <w:p>
      <w:pPr>
        <w:numPr>
          <w:ilvl w:val="0"/>
          <w:numId w:val="6"/>
        </w:numPr>
        <w:spacing w:lineRule="auto"/>
      </w:pPr>
      <w:r>
        <w:rPr/>
        <w:t xml:space="preserve">Giugni, M. (2008) Welfare states, political opportunities, and the mobilization of the unemployed: A cross-national analysis. </w:t>
      </w:r>
      <w:r>
        <w:rPr>
          <w:i/>
        </w:rPr>
        <w:t xml:space="preserve">Mobilization</w:t>
      </w:r>
      <w:r>
        <w:rPr/>
        <w:t xml:space="preserve">. </w:t>
      </w:r>
      <w:hyperlink r:id="rId18">
        <w:r>
          <w:rPr>
            <w:rStyle w:val="Hyperlink"/>
          </w:rPr>
          <w:t xml:space="preserve">https://www.scopus.com/pages/publications/54149108227</w:t>
        </w:r>
      </w:hyperlink>
    </w:p>
    <w:p>
      <w:pPr>
        <w:numPr>
          <w:ilvl w:val="0"/>
          <w:numId w:val="6"/>
        </w:numPr>
        <w:spacing w:lineRule="auto"/>
      </w:pPr>
      <w:r>
        <w:rPr/>
        <w:t xml:space="preserve">Saatcioglu, A., Carl, J. (2011) The discursive turn in school desegregation: National patterns and a case analysis of Cleveland, 1973-1998. </w:t>
      </w:r>
      <w:r>
        <w:rPr>
          <w:i/>
        </w:rPr>
        <w:t xml:space="preserve">Social Science History</w:t>
      </w:r>
      <w:r>
        <w:rPr/>
        <w:t xml:space="preserve">. </w:t>
      </w:r>
      <w:hyperlink r:id="rId19">
        <w:r>
          <w:rPr>
            <w:rStyle w:val="Hyperlink"/>
          </w:rPr>
          <w:t xml:space="preserve">https://doi.org/10.1215/01455532-2010-017</w:t>
        </w:r>
      </w:hyperlink>
    </w:p>
    <w:p>
      <w:pPr>
        <w:numPr>
          <w:ilvl w:val="0"/>
          <w:numId w:val="6"/>
        </w:numPr>
        <w:spacing w:lineRule="auto"/>
      </w:pPr>
      <w:r>
        <w:rPr/>
        <w:t xml:space="preserve">Motta, R. (2015) Transnational Discursive Opportunities and Social Movement Risk Frames Opposing GMOs. </w:t>
      </w:r>
      <w:r>
        <w:rPr>
          <w:i/>
        </w:rPr>
        <w:t xml:space="preserve">Social Movement Studies</w:t>
      </w:r>
      <w:r>
        <w:rPr/>
        <w:t xml:space="preserve">. </w:t>
      </w:r>
      <w:hyperlink r:id="rId20">
        <w:r>
          <w:rPr>
            <w:rStyle w:val="Hyperlink"/>
          </w:rPr>
          <w:t xml:space="preserve">https://doi.org/10.1080/14742837.2014.947253</w:t>
        </w:r>
      </w:hyperlink>
    </w:p>
    <w:p>
      <w:pPr>
        <w:numPr>
          <w:ilvl w:val="0"/>
          <w:numId w:val="6"/>
        </w:numPr>
        <w:spacing w:lineRule="auto"/>
      </w:pPr>
      <w:r>
        <w:rPr/>
        <w:t xml:space="preserve">Vahabli, D. (2025) Mentioning the unmentionable: Perception of opportunities, agency, emotions, and identity in Iranian resistance rap prior and during the women, life, freedom uprisings. </w:t>
      </w:r>
      <w:r>
        <w:rPr>
          <w:i/>
        </w:rPr>
        <w:t xml:space="preserve">Poetics</w:t>
      </w:r>
      <w:r>
        <w:rPr/>
        <w:t xml:space="preserve">. </w:t>
      </w:r>
      <w:hyperlink r:id="rId21">
        <w:r>
          <w:rPr>
            <w:rStyle w:val="Hyperlink"/>
          </w:rPr>
          <w:t xml:space="preserve">https://doi.org/10.1016/j.poetic.2025.102020</w:t>
        </w:r>
      </w:hyperlink>
    </w:p>
    <w:p>
      <w:pPr>
        <w:numPr>
          <w:ilvl w:val="0"/>
          <w:numId w:val="6"/>
        </w:numPr>
        <w:spacing w:lineRule="auto"/>
      </w:pPr>
      <w:r>
        <w:rPr/>
        <w:t xml:space="preserve">Keysan, A. (2026) Legalizing anti-gender ideology and civil society resistance in Turkey. </w:t>
      </w:r>
      <w:r>
        <w:rPr>
          <w:i/>
        </w:rPr>
        <w:t xml:space="preserve">Women's Studies International Forum</w:t>
      </w:r>
      <w:r>
        <w:rPr/>
        <w:t xml:space="preserve">. </w:t>
      </w:r>
      <w:hyperlink r:id="rId22">
        <w:r>
          <w:rPr>
            <w:rStyle w:val="Hyperlink"/>
          </w:rPr>
          <w:t xml:space="preserve">https://doi.org/10.1016/j.wsif.2026.103281</w:t>
        </w:r>
      </w:hyperlink>
    </w:p>
    <w:p>
      <w:pPr>
        <w:numPr>
          <w:ilvl w:val="0"/>
          <w:numId w:val="6"/>
        </w:numPr>
        <w:spacing w:lineRule="auto"/>
      </w:pPr>
      <w:r>
        <w:rPr/>
        <w:t xml:space="preserve">Chan, Ngai Keung, Kwok, Chi, He, Renyi, Su, Chris Chao (2025) Contesting data power at the margins: Contentious data imaginaries and social movement mobilization. </w:t>
      </w:r>
      <w:r>
        <w:rPr>
          <w:i/>
        </w:rPr>
        <w:t xml:space="preserve">Big Data &amp; Society</w:t>
      </w:r>
      <w:r>
        <w:rPr/>
        <w:t xml:space="preserve">. </w:t>
      </w:r>
      <w:hyperlink r:id="rId23">
        <w:r>
          <w:rPr>
            <w:rStyle w:val="Hyperlink"/>
          </w:rPr>
          <w:t xml:space="preserve">https://doi.org/10.1177/20539517251389866</w:t>
        </w:r>
      </w:hyperlink>
    </w:p>
    <w:p>
      <w:pPr>
        <w:numPr>
          <w:ilvl w:val="0"/>
          <w:numId w:val="6"/>
        </w:numPr>
        <w:spacing w:lineRule="auto"/>
      </w:pPr>
      <w:r>
        <w:rPr/>
        <w:t xml:space="preserve">Saunders, C. (2008) It's not just structural: Social movements are not homogenous responses to structural features, but networks shaped by organisational strategies and status. </w:t>
      </w:r>
      <w:r>
        <w:rPr>
          <w:i/>
        </w:rPr>
        <w:t xml:space="preserve">Sociological Research Online</w:t>
      </w:r>
      <w:r>
        <w:rPr/>
        <w:t xml:space="preserve">. </w:t>
      </w:r>
      <w:hyperlink r:id="rId24">
        <w:r>
          <w:rPr>
            <w:rStyle w:val="Hyperlink"/>
          </w:rPr>
          <w:t xml:space="preserve">https://www.scopus.com/pages/publications/78650759550</w:t>
        </w:r>
      </w:hyperlink>
    </w:p>
    <w:p>
      <w:pPr>
        <w:numPr>
          <w:ilvl w:val="0"/>
          <w:numId w:val="6"/>
        </w:numPr>
        <w:spacing w:lineRule="auto"/>
      </w:pPr>
      <w:r>
        <w:rPr/>
        <w:t xml:space="preserve">Koopmans, R. (2005) The missing link between structure and agency: Outline of an evolutionary approach to social movements. </w:t>
      </w:r>
      <w:r>
        <w:rPr>
          <w:i/>
        </w:rPr>
        <w:t xml:space="preserve">Mobilization</w:t>
      </w:r>
      <w:r>
        <w:rPr/>
        <w:t xml:space="preserve">. </w:t>
      </w:r>
      <w:hyperlink r:id="rId25">
        <w:r>
          <w:rPr>
            <w:rStyle w:val="Hyperlink"/>
          </w:rPr>
          <w:t xml:space="preserve">https://doi.org/10.17813/maiq.10.1.t5767064661w2u34</w:t>
        </w:r>
      </w:hyperlink>
    </w:p>
    <w:p>
      <w:pPr>
        <w:numPr>
          <w:ilvl w:val="0"/>
          <w:numId w:val="6"/>
        </w:numPr>
        <w:spacing w:lineRule="auto"/>
      </w:pPr>
      <w:r>
        <w:rPr/>
        <w:t xml:space="preserve">Chan, Ngai Keung, Kwok, Chi, He, Renyi, Su, Chris Chao (2025) Contesting data power at the margins: Contentious data imaginaries and social movement mobilization. </w:t>
      </w:r>
      <w:r>
        <w:rPr>
          <w:i/>
        </w:rPr>
        <w:t xml:space="preserve">Big Data &amp; Society</w:t>
      </w:r>
      <w:r>
        <w:rPr/>
        <w:t xml:space="preserve">. </w:t>
      </w:r>
      <w:hyperlink r:id="rId26">
        <w:r>
          <w:rPr>
            <w:rStyle w:val="Hyperlink"/>
          </w:rPr>
          <w:t xml:space="preserve">https://doi.org/10.1177/20539517251389866</w:t>
        </w:r>
      </w:hyperlink>
    </w:p>
    <w:p>
      <w:pPr>
        <w:numPr>
          <w:ilvl w:val="0"/>
          <w:numId w:val="6"/>
        </w:numPr>
        <w:spacing w:lineRule="auto"/>
      </w:pPr>
      <w:r>
        <w:rPr/>
        <w:t xml:space="preserve">Ekman, Mattias (2018) Anti-refugee Mobilization in Social Media: The Case of Soldiers of Odin. </w:t>
      </w:r>
      <w:r>
        <w:rPr>
          <w:i/>
        </w:rPr>
        <w:t xml:space="preserve">Social Media + Society</w:t>
      </w:r>
      <w:r>
        <w:rPr/>
        <w:t xml:space="preserve">. </w:t>
      </w:r>
      <w:hyperlink r:id="rId27">
        <w:r>
          <w:rPr>
            <w:rStyle w:val="Hyperlink"/>
          </w:rPr>
          <w:t xml:space="preserve">https://doi.org/10.1177/2056305118764431</w:t>
        </w:r>
      </w:hyperlink>
    </w:p>
    <w:p>
      <w:pPr>
        <w:numPr>
          <w:ilvl w:val="0"/>
          <w:numId w:val="6"/>
        </w:numPr>
        <w:spacing w:lineRule="auto"/>
      </w:pPr>
      <w:r>
        <w:rPr/>
        <w:t xml:space="preserve">Ondimu, J., Yieke, F., Mwithi, F. (2026) Intermodal meaning-making in digital protests: Text-visual relations in Kenya’s #JusticeForKianjokomaBrothers tweets. </w:t>
      </w:r>
      <w:r>
        <w:rPr>
          <w:i/>
        </w:rPr>
        <w:t xml:space="preserve">Discourse, Context and Media</w:t>
      </w:r>
      <w:r>
        <w:rPr/>
        <w:t xml:space="preserve">. </w:t>
      </w:r>
      <w:hyperlink r:id="rId28">
        <w:r>
          <w:rPr>
            <w:rStyle w:val="Hyperlink"/>
          </w:rPr>
          <w:t xml:space="preserve">https://doi.org/10.1016/j.dcm.2026.100990</w:t>
        </w:r>
      </w:hyperlink>
    </w:p>
    <w:p>
      <w:pPr>
        <w:numPr>
          <w:ilvl w:val="0"/>
          <w:numId w:val="6"/>
        </w:numPr>
        <w:spacing w:lineRule="auto"/>
      </w:pPr>
      <w:r>
        <w:rPr/>
        <w:t xml:space="preserve">Khazraee, Emad, Novak, Alison N. (2018) Digitally Mediated Protest: Social Media Affordances for Collective Identity Construction. </w:t>
      </w:r>
      <w:r>
        <w:rPr>
          <w:i/>
        </w:rPr>
        <w:t xml:space="preserve">Social Media + Society</w:t>
      </w:r>
      <w:r>
        <w:rPr/>
        <w:t xml:space="preserve">. </w:t>
      </w:r>
      <w:hyperlink r:id="rId29">
        <w:r>
          <w:rPr>
            <w:rStyle w:val="Hyperlink"/>
          </w:rPr>
          <w:t xml:space="preserve">https://doi.org/10.1177/2056305118765740</w:t>
        </w:r>
      </w:hyperlink>
    </w:p>
    <w:p>
      <w:pPr>
        <w:numPr>
          <w:ilvl w:val="0"/>
          <w:numId w:val="6"/>
        </w:numPr>
        <w:spacing w:lineRule="auto"/>
      </w:pPr>
      <w:r>
        <w:rPr/>
        <w:t xml:space="preserve">Norris, P. (2022) Comparing mass political participation in democratic and authoritarian regimes. </w:t>
      </w:r>
      <w:r>
        <w:rPr>
          <w:i/>
        </w:rPr>
        <w:t xml:space="preserve">The Oxford Handbook of Political Participation</w:t>
      </w:r>
      <w:r>
        <w:rPr/>
        <w:t xml:space="preserve">. </w:t>
      </w:r>
      <w:hyperlink r:id="rId30">
        <w:r>
          <w:rPr>
            <w:rStyle w:val="Hyperlink"/>
          </w:rPr>
          <w:t xml:space="preserve">https://doi.org/10.1093/oxfordhb/9780198861126.013.52</w:t>
        </w:r>
      </w:hyperlink>
    </w:p>
    <w:p>
      <w:pPr>
        <w:numPr>
          <w:ilvl w:val="0"/>
          <w:numId w:val="6"/>
        </w:numPr>
        <w:spacing w:lineRule="auto"/>
      </w:pPr>
      <w:r>
        <w:rPr/>
        <w:t xml:space="preserve">Osa, M., Corduneanu-Huci, C. (2003) Running uphill: Political opportunity in non-democracies. </w:t>
      </w:r>
      <w:r>
        <w:rPr>
          <w:i/>
        </w:rPr>
        <w:t xml:space="preserve">Comparative Sociology</w:t>
      </w:r>
      <w:r>
        <w:rPr/>
        <w:t xml:space="preserve">. </w:t>
      </w:r>
      <w:hyperlink r:id="rId31">
        <w:r>
          <w:rPr>
            <w:rStyle w:val="Hyperlink"/>
          </w:rPr>
          <w:t xml:space="preserve">https://doi.org/10.1163/156913303322661883</w:t>
        </w:r>
      </w:hyperlink>
    </w:p>
    <w:p>
      <w:pPr>
        <w:numPr>
          <w:ilvl w:val="0"/>
          <w:numId w:val="6"/>
        </w:numPr>
        <w:spacing w:lineRule="auto"/>
      </w:pPr>
      <w:r>
        <w:rPr/>
        <w:t xml:space="preserve">Tanneberg, D. (2020) How to Measure Dictatorship, Dissent, and Political Repression. </w:t>
      </w:r>
      <w:r>
        <w:rPr>
          <w:i/>
        </w:rPr>
        <w:t xml:space="preserve">Contributions to Political Science</w:t>
      </w:r>
      <w:r>
        <w:rPr/>
        <w:t xml:space="preserve">. </w:t>
      </w:r>
      <w:hyperlink r:id="rId32">
        <w:r>
          <w:rPr>
            <w:rStyle w:val="Hyperlink"/>
          </w:rPr>
          <w:t xml:space="preserve">https://doi.org/10.1007/978-3-030-35477-0_3</w:t>
        </w:r>
      </w:hyperlink>
    </w:p>
    <w:p>
      <w:pPr>
        <w:numPr>
          <w:ilvl w:val="0"/>
          <w:numId w:val="6"/>
        </w:numPr>
        <w:spacing w:lineRule="auto"/>
      </w:pPr>
      <w:r>
        <w:rPr/>
        <w:t xml:space="preserve">Williams, D.M. (2023) How do political opportunities impact protest potential? A multilevel cross-national assessment. </w:t>
      </w:r>
      <w:r>
        <w:rPr>
          <w:i/>
        </w:rPr>
        <w:t xml:space="preserve">International Journal of Comparative Sociology</w:t>
      </w:r>
      <w:r>
        <w:rPr/>
        <w:t xml:space="preserve">. </w:t>
      </w:r>
      <w:hyperlink r:id="rId33">
        <w:r>
          <w:rPr>
            <w:rStyle w:val="Hyperlink"/>
          </w:rPr>
          <w:t xml:space="preserve">https://doi.org/10.1177/00207152221133059</w:t>
        </w:r>
      </w:hyperlink>
    </w:p>
    <w:p>
      <w:pPr>
        <w:numPr>
          <w:ilvl w:val="0"/>
          <w:numId w:val="6"/>
        </w:numPr>
        <w:spacing w:lineRule="auto"/>
      </w:pPr>
      <w:r>
        <w:rPr/>
        <w:t xml:space="preserve">Huang, R., Sun, X. (2020) Dual mediation and success of environmental protests in China: a qualitative comparative analysis of 10 cases. </w:t>
      </w:r>
      <w:r>
        <w:rPr>
          <w:i/>
        </w:rPr>
        <w:t xml:space="preserve">Social Movement Studies</w:t>
      </w:r>
      <w:r>
        <w:rPr/>
        <w:t xml:space="preserve">. </w:t>
      </w:r>
      <w:hyperlink r:id="rId34">
        <w:r>
          <w:rPr>
            <w:rStyle w:val="Hyperlink"/>
          </w:rPr>
          <w:t xml:space="preserve">https://doi.org/10.1080/14742837.2019.1682539</w:t>
        </w:r>
      </w:hyperlink>
    </w:p>
    <w:p>
      <w:pPr>
        <w:numPr>
          <w:ilvl w:val="0"/>
          <w:numId w:val="6"/>
        </w:numPr>
        <w:spacing w:lineRule="auto"/>
      </w:pPr>
      <w:r>
        <w:rPr/>
        <w:t xml:space="preserve">Escribà-Folch, A. (2008) High-risk political participation: Demonstrations and riots under dictatorial regimes. </w:t>
      </w:r>
      <w:r>
        <w:rPr>
          <w:i/>
        </w:rPr>
        <w:t xml:space="preserve">Dados</w:t>
      </w:r>
      <w:r>
        <w:rPr/>
        <w:t xml:space="preserve">. </w:t>
      </w:r>
      <w:hyperlink r:id="rId35">
        <w:r>
          <w:rPr>
            <w:rStyle w:val="Hyperlink"/>
          </w:rPr>
          <w:t xml:space="preserve">https://doi.org/10.1590/s0011-52582008000300006</w:t>
        </w:r>
      </w:hyperlink>
    </w:p>
    <w:p>
      <w:pPr>
        <w:numPr>
          <w:ilvl w:val="0"/>
          <w:numId w:val="6"/>
        </w:numPr>
        <w:spacing w:lineRule="auto"/>
      </w:pPr>
      <w:r>
        <w:rPr/>
        <w:t xml:space="preserve">Thyen, K. (2017) Managing contention: Divergent government responses to youth protests in the Arab world. </w:t>
      </w:r>
      <w:r>
        <w:rPr>
          <w:i/>
        </w:rPr>
        <w:t xml:space="preserve">Middle East Law and Governance</w:t>
      </w:r>
      <w:r>
        <w:rPr/>
        <w:t xml:space="preserve">. </w:t>
      </w:r>
      <w:hyperlink r:id="rId36">
        <w:r>
          <w:rPr>
            <w:rStyle w:val="Hyperlink"/>
          </w:rPr>
          <w:t xml:space="preserve">https://doi.org/10.1163/18763375-01001003</w:t>
        </w:r>
      </w:hyperlink>
    </w:p>
    <w:p>
      <w:pPr>
        <w:numPr>
          <w:ilvl w:val="0"/>
          <w:numId w:val="6"/>
        </w:numPr>
        <w:spacing w:lineRule="auto"/>
      </w:pPr>
      <w:r>
        <w:rPr/>
        <w:t xml:space="preserve">Ilgü Özler, Ş. (2013) Political institutions and protest: A comparative analysis. </w:t>
      </w:r>
      <w:r>
        <w:rPr>
          <w:i/>
        </w:rPr>
        <w:t xml:space="preserve">Representation</w:t>
      </w:r>
      <w:r>
        <w:rPr/>
        <w:t xml:space="preserve">. </w:t>
      </w:r>
      <w:hyperlink r:id="rId37">
        <w:r>
          <w:rPr>
            <w:rStyle w:val="Hyperlink"/>
          </w:rPr>
          <w:t xml:space="preserve">https://doi.org/10.1080/00344893.2013.800348</w:t>
        </w:r>
      </w:hyperlink>
    </w:p>
    <w:p>
      <w:pPr>
        <w:numPr>
          <w:ilvl w:val="0"/>
          <w:numId w:val="6"/>
        </w:numPr>
        <w:spacing w:lineRule="auto"/>
      </w:pPr>
      <w:r>
        <w:rPr/>
        <w:t xml:space="preserve">van der Heijden, H.-A. (2006) Globalization, environmental movements, and international political opportunity structures. </w:t>
      </w:r>
      <w:r>
        <w:rPr>
          <w:i/>
        </w:rPr>
        <w:t xml:space="preserve">Organization and Environment</w:t>
      </w:r>
      <w:r>
        <w:rPr/>
        <w:t xml:space="preserve">. </w:t>
      </w:r>
      <w:hyperlink r:id="rId38">
        <w:r>
          <w:rPr>
            <w:rStyle w:val="Hyperlink"/>
          </w:rPr>
          <w:t xml:space="preserve">https://doi.org/10.1177/1086026605285452</w:t>
        </w:r>
      </w:hyperlink>
    </w:p>
    <w:p>
      <w:pPr>
        <w:numPr>
          <w:ilvl w:val="0"/>
          <w:numId w:val="6"/>
        </w:numPr>
        <w:spacing w:lineRule="auto"/>
      </w:pPr>
      <w:r>
        <w:rPr/>
        <w:t xml:space="preserve">Pei, Lucy (2099) Making a global gig workers’ movement meaningful locally: Friction in activists’ everyday strategies. </w:t>
      </w:r>
      <w:r>
        <w:rPr>
          <w:i/>
        </w:rPr>
        <w:t xml:space="preserve">New Media &amp; Society</w:t>
      </w:r>
      <w:r>
        <w:rPr/>
        <w:t xml:space="preserve">. </w:t>
      </w:r>
      <w:hyperlink r:id="rId39">
        <w:r>
          <w:rPr>
            <w:rStyle w:val="Hyperlink"/>
          </w:rPr>
          <w:t xml:space="preserve">https://doi.org/10.1177/14614448251352542</w:t>
        </w:r>
      </w:hyperlink>
    </w:p>
    <w:p>
      <w:pPr>
        <w:numPr>
          <w:ilvl w:val="0"/>
          <w:numId w:val="6"/>
        </w:numPr>
        <w:spacing w:lineRule="auto"/>
      </w:pPr>
      <w:r>
        <w:rPr/>
        <w:t xml:space="preserve">de Verdelhan, H. (2024) Art. 72 TFEU as Seen by the Court of Justice of the EU: Reminder, Exception, or Derogation?. </w:t>
      </w:r>
      <w:r>
        <w:rPr>
          <w:i/>
        </w:rPr>
        <w:t xml:space="preserve">European Papers - A Journal on Law and Integration</w:t>
      </w:r>
      <w:r>
        <w:rPr/>
        <w:t xml:space="preserve">. </w:t>
      </w:r>
      <w:hyperlink r:id="rId40">
        <w:r>
          <w:rPr>
            <w:rStyle w:val="Hyperlink"/>
          </w:rPr>
          <w:t xml:space="preserve">https://doi.org/10.15166/2499-8249/812</w:t>
        </w:r>
      </w:hyperlink>
    </w:p>
    <w:p>
      <w:pPr>
        <w:numPr>
          <w:ilvl w:val="0"/>
          <w:numId w:val="6"/>
        </w:numPr>
        <w:spacing w:lineRule="auto"/>
      </w:pPr>
      <w:r>
        <w:rPr/>
        <w:t xml:space="preserve">Ismeti, E., Ismeti, E. (2026) The role of education and psychological wellbeing in shaping migration intentions: evidence from Kosovo. </w:t>
      </w:r>
      <w:r>
        <w:rPr>
          <w:i/>
        </w:rPr>
        <w:t xml:space="preserve">Journal of Applied Research in Higher Education</w:t>
      </w:r>
      <w:r>
        <w:rPr/>
        <w:t xml:space="preserve">. </w:t>
      </w:r>
      <w:hyperlink r:id="rId41">
        <w:r>
          <w:rPr>
            <w:rStyle w:val="Hyperlink"/>
          </w:rPr>
          <w:t xml:space="preserve">https://doi.org/10.1108/JARHE-12-2025-1062</w:t>
        </w:r>
      </w:hyperlink>
    </w:p>
    <w:p>
      <w:pPr>
        <w:numPr>
          <w:ilvl w:val="0"/>
          <w:numId w:val="6"/>
        </w:numPr>
        <w:spacing w:lineRule="auto"/>
      </w:pPr>
      <w:r>
        <w:rPr/>
        <w:t xml:space="preserve">Gugliotta, L., Elbi, A. (2024) Will AI “Subtly” Take Over Decision-making in the EU Migration Context? Warnings and Lessons from ETIAS and VIS. </w:t>
      </w:r>
      <w:r>
        <w:rPr>
          <w:i/>
        </w:rPr>
        <w:t xml:space="preserve">European Papers - A Journal on Law and Integration</w:t>
      </w:r>
      <w:r>
        <w:rPr/>
        <w:t xml:space="preserve">. </w:t>
      </w:r>
      <w:hyperlink r:id="rId42">
        <w:r>
          <w:rPr>
            <w:rStyle w:val="Hyperlink"/>
          </w:rPr>
          <w:t xml:space="preserve">https://doi.org/10.15166/2499-8249/797</w:t>
        </w:r>
      </w:hyperlink>
    </w:p>
    <w:p>
      <w:pPr>
        <w:numPr>
          <w:ilvl w:val="0"/>
          <w:numId w:val="6"/>
        </w:numPr>
        <w:spacing w:lineRule="auto"/>
      </w:pPr>
      <w:r>
        <w:rPr/>
        <w:t xml:space="preserve">Mateos, R.M., López-Vinielles, J., Poyiadji, E., (...), Herrera, G. (2020) Integration of landslide hazard into urban planning across Europe. </w:t>
      </w:r>
      <w:r>
        <w:rPr>
          <w:i/>
        </w:rPr>
        <w:t xml:space="preserve">Landscape and Urban Planning</w:t>
      </w:r>
      <w:r>
        <w:rPr/>
        <w:t xml:space="preserve">. </w:t>
      </w:r>
      <w:hyperlink r:id="rId43">
        <w:r>
          <w:rPr>
            <w:rStyle w:val="Hyperlink"/>
          </w:rPr>
          <w:t xml:space="preserve">https://doi.org/10.1016/j.landurbplan.2019.103740</w:t>
        </w:r>
      </w:hyperlink>
    </w:p>
    <w:p>
      <w:pPr>
        <w:numPr>
          <w:ilvl w:val="0"/>
          <w:numId w:val="6"/>
        </w:numPr>
        <w:spacing w:lineRule="auto"/>
      </w:pPr>
      <w:r>
        <w:rPr/>
        <w:t xml:space="preserve">Mehmeti, I., Deda, G., Terstena, A., (...), Bajraktari, A. (2026) Exploring the determinants of business expansion in new foreign markets: Perceptions of managers and owners in the Western Balkans. </w:t>
      </w:r>
      <w:r>
        <w:rPr>
          <w:i/>
        </w:rPr>
        <w:t xml:space="preserve">Multidisciplinary Science Journal</w:t>
      </w:r>
      <w:r>
        <w:rPr/>
        <w:t xml:space="preserve">. </w:t>
      </w:r>
      <w:hyperlink r:id="rId44">
        <w:r>
          <w:rPr>
            <w:rStyle w:val="Hyperlink"/>
          </w:rPr>
          <w:t xml:space="preserve">https://doi.org/10.31893/multiscience.2026742</w:t>
        </w:r>
      </w:hyperlink>
    </w:p>
    <w:p>
      <w:pPr>
        <w:numPr>
          <w:ilvl w:val="0"/>
          <w:numId w:val="6"/>
        </w:numPr>
        <w:spacing w:lineRule="auto"/>
      </w:pPr>
      <w:r>
        <w:rPr/>
        <w:t xml:space="preserve">Mehmeti, I., Goga, A.J., Terstena, A., (...), Bajraktari, A. (2026) Exploring business climate satisfaction through managerial perceptions: Evidence from Western Balkan countries. </w:t>
      </w:r>
      <w:r>
        <w:rPr>
          <w:i/>
        </w:rPr>
        <w:t xml:space="preserve">Multidisciplinary Science Journal</w:t>
      </w:r>
      <w:r>
        <w:rPr/>
        <w:t xml:space="preserve">. </w:t>
      </w:r>
      <w:hyperlink r:id="rId45">
        <w:r>
          <w:rPr>
            <w:rStyle w:val="Hyperlink"/>
          </w:rPr>
          <w:t xml:space="preserve">https://doi.org/10.31893/multiscience.2026483</w:t>
        </w:r>
      </w:hyperlink>
    </w:p>
    <w:p>
      <w:pPr>
        <w:numPr>
          <w:ilvl w:val="0"/>
          <w:numId w:val="6"/>
        </w:numPr>
        <w:spacing w:lineRule="auto"/>
      </w:pPr>
      <w:r>
        <w:rPr/>
        <w:t xml:space="preserve">Strijbis, O. (2015) Beyond opportunity structures: explaining migrant protest in Western Europe, 1975–2005. </w:t>
      </w:r>
      <w:r>
        <w:rPr>
          <w:i/>
        </w:rPr>
        <w:t xml:space="preserve">Comparative Migration Studies</w:t>
      </w:r>
      <w:r>
        <w:rPr/>
        <w:t xml:space="preserve">. </w:t>
      </w:r>
      <w:hyperlink r:id="rId46">
        <w:r>
          <w:rPr>
            <w:rStyle w:val="Hyperlink"/>
          </w:rPr>
          <w:t xml:space="preserve">https://doi.org/10.1007/s40878-015-0005-8</w:t>
        </w:r>
      </w:hyperlink>
    </w:p>
    <w:p>
      <w:pPr>
        <w:numPr>
          <w:ilvl w:val="0"/>
          <w:numId w:val="6"/>
        </w:numPr>
        <w:spacing w:lineRule="auto"/>
      </w:pPr>
      <w:r>
        <w:rPr/>
        <w:t xml:space="preserve">Kim, Dam Hee, Ellison, Nicole B. (2022) From observation on social media to offline political participation: The social media affordances approach. </w:t>
      </w:r>
      <w:r>
        <w:rPr>
          <w:i/>
        </w:rPr>
        <w:t xml:space="preserve">New Media &amp; Society</w:t>
      </w:r>
      <w:r>
        <w:rPr/>
        <w:t xml:space="preserve">. </w:t>
      </w:r>
      <w:hyperlink r:id="rId47">
        <w:r>
          <w:rPr>
            <w:rStyle w:val="Hyperlink"/>
          </w:rPr>
          <w:t xml:space="preserve">https://doi.org/10.1177/1461444821998346</w:t>
        </w:r>
      </w:hyperlink>
    </w:p>
    <w:p>
      <w:pPr>
        <w:numPr>
          <w:ilvl w:val="0"/>
          <w:numId w:val="6"/>
        </w:numPr>
        <w:spacing w:lineRule="auto"/>
      </w:pPr>
      <w:r>
        <w:rPr/>
        <w:t xml:space="preserve">Haines, Rebecca (2024) New Opportunities, Rising Constraints: Assessing the Gendered Opportunity Structure of Myanmar’s Resistance Movement. </w:t>
      </w:r>
      <w:r>
        <w:rPr>
          <w:i/>
        </w:rPr>
        <w:t xml:space="preserve">Global Studies Quarterly</w:t>
      </w:r>
      <w:r>
        <w:rPr/>
        <w:t xml:space="preserve">. </w:t>
      </w:r>
      <w:hyperlink r:id="rId48">
        <w:r>
          <w:rPr>
            <w:rStyle w:val="Hyperlink"/>
          </w:rPr>
          <w:t xml:space="preserve">https://doi.org/10.1093/isagsq/ksaf004</w:t>
        </w:r>
      </w:hyperlink>
    </w:p>
    <w:p>
      <w:pPr>
        <w:numPr>
          <w:ilvl w:val="0"/>
          <w:numId w:val="6"/>
        </w:numPr>
        <w:spacing w:lineRule="auto"/>
      </w:pPr>
      <w:r>
        <w:rPr/>
        <w:t xml:space="preserve">Clement, M.T. (2011) 'Let them build sea walls': Ecological crisis, economic crisis and the political economic opportunity structure. </w:t>
      </w:r>
      <w:r>
        <w:rPr>
          <w:i/>
        </w:rPr>
        <w:t xml:space="preserve">Critical Sociology</w:t>
      </w:r>
      <w:r>
        <w:rPr/>
        <w:t xml:space="preserve">. </w:t>
      </w:r>
      <w:hyperlink r:id="rId49">
        <w:r>
          <w:rPr>
            <w:rStyle w:val="Hyperlink"/>
          </w:rPr>
          <w:t xml:space="preserve">https://doi.org/10.1177/0896920510379439</w:t>
        </w:r>
      </w:hyperlink>
    </w:p>
    <w:p>
      <w:pPr>
        <w:numPr>
          <w:ilvl w:val="0"/>
          <w:numId w:val="6"/>
        </w:numPr>
        <w:spacing w:lineRule="auto"/>
      </w:pPr>
      <w:r>
        <w:rPr/>
        <w:t xml:space="preserve">Dolenec, D., Kralj, K., Balković, A. (2023) Keeping a roof over your head: housing and anti-debt movements in Croatia and Serbia during the Great Recession. </w:t>
      </w:r>
      <w:r>
        <w:rPr>
          <w:i/>
        </w:rPr>
        <w:t xml:space="preserve">East European Politics</w:t>
      </w:r>
      <w:r>
        <w:rPr/>
        <w:t xml:space="preserve">. </w:t>
      </w:r>
      <w:hyperlink r:id="rId50">
        <w:r>
          <w:rPr>
            <w:rStyle w:val="Hyperlink"/>
          </w:rPr>
          <w:t xml:space="preserve">https://doi.org/10.1080/21599165.2021.1937136</w:t>
        </w:r>
      </w:hyperlink>
    </w:p>
    <w:p>
      <w:pPr>
        <w:numPr>
          <w:ilvl w:val="0"/>
          <w:numId w:val="6"/>
        </w:numPr>
        <w:spacing w:lineRule="auto"/>
      </w:pPr>
      <w:r>
        <w:rPr/>
        <w:t xml:space="preserve">Almeida, P.D. (2003) Opportunity Organizations and Threat-Induced Contention: Protest Waves in Authoritarian Settings. </w:t>
      </w:r>
      <w:r>
        <w:rPr>
          <w:i/>
        </w:rPr>
        <w:t xml:space="preserve">American Journal of Sociology</w:t>
      </w:r>
      <w:r>
        <w:rPr/>
        <w:t xml:space="preserve">. </w:t>
      </w:r>
      <w:hyperlink r:id="rId51">
        <w:r>
          <w:rPr>
            <w:rStyle w:val="Hyperlink"/>
          </w:rPr>
          <w:t xml:space="preserve">https://doi.org/10.1086/378395</w:t>
        </w:r>
      </w:hyperlink>
    </w:p>
    <w:p>
      <w:pPr>
        <w:numPr>
          <w:ilvl w:val="0"/>
          <w:numId w:val="6"/>
        </w:numPr>
        <w:spacing w:lineRule="auto"/>
      </w:pPr>
      <w:r>
        <w:rPr/>
        <w:t xml:space="preserve">Sommer, H. (2000) Bringing nonviolence back into the study of contentious politics. </w:t>
      </w:r>
      <w:r>
        <w:rPr>
          <w:i/>
        </w:rPr>
        <w:t xml:space="preserve">Politikon</w:t>
      </w:r>
      <w:r>
        <w:rPr/>
        <w:t xml:space="preserve">. </w:t>
      </w:r>
      <w:hyperlink r:id="rId52">
        <w:r>
          <w:rPr>
            <w:rStyle w:val="Hyperlink"/>
          </w:rPr>
          <w:t xml:space="preserve">https://doi.org/10.1080/713692339</w:t>
        </w:r>
      </w:hyperlink>
    </w:p>
    <w:p>
      <w:pPr>
        <w:numPr>
          <w:ilvl w:val="0"/>
          <w:numId w:val="6"/>
        </w:numPr>
        <w:spacing w:lineRule="auto"/>
      </w:pPr>
      <w:r>
        <w:rPr/>
        <w:t xml:space="preserve">Johnston, H. (2012) State violence and oppositional protest in high-capacity authoritarian regimes. </w:t>
      </w:r>
      <w:r>
        <w:rPr>
          <w:i/>
        </w:rPr>
        <w:t xml:space="preserve">International Journal of Conflict and Violence</w:t>
      </w:r>
      <w:r>
        <w:rPr/>
        <w:t xml:space="preserve">. </w:t>
      </w:r>
      <w:hyperlink r:id="rId53">
        <w:r>
          <w:rPr>
            <w:rStyle w:val="Hyperlink"/>
          </w:rPr>
          <w:t xml:space="preserve">https://www.scopus.com/pages/publications/84864100954</w:t>
        </w:r>
      </w:hyperlink>
    </w:p>
    <w:p>
      <w:pPr>
        <w:numPr>
          <w:ilvl w:val="0"/>
          <w:numId w:val="6"/>
        </w:numPr>
        <w:spacing w:lineRule="auto"/>
      </w:pPr>
      <w:r>
        <w:rPr/>
        <w:t xml:space="preserve">Tzeng, W.-F., Wang, H.-H. (2022) Co-optation or Coercion: Protest Targeting and Mass Violence in China. </w:t>
      </w:r>
      <w:r>
        <w:rPr>
          <w:i/>
        </w:rPr>
        <w:t xml:space="preserve">China: An International Journal</w:t>
      </w:r>
      <w:r>
        <w:rPr/>
        <w:t xml:space="preserve">. </w:t>
      </w:r>
      <w:hyperlink r:id="rId54">
        <w:r>
          <w:rPr>
            <w:rStyle w:val="Hyperlink"/>
          </w:rPr>
          <w:t xml:space="preserve">https://doi.org/10.1353/chn.2022.0036</w:t>
        </w:r>
      </w:hyperlink>
    </w:p>
    <w:p>
      <w:pPr>
        <w:numPr>
          <w:ilvl w:val="0"/>
          <w:numId w:val="6"/>
        </w:numPr>
        <w:spacing w:lineRule="auto"/>
      </w:pPr>
      <w:r>
        <w:rPr/>
        <w:t xml:space="preserve">Vladisavljević, N. (2016) Competitive authoritarianism and popular protest: Evidence from Serbia under Milošević. </w:t>
      </w:r>
      <w:r>
        <w:rPr>
          <w:i/>
        </w:rPr>
        <w:t xml:space="preserve">International Political Science Review</w:t>
      </w:r>
      <w:r>
        <w:rPr/>
        <w:t xml:space="preserve">. </w:t>
      </w:r>
      <w:hyperlink r:id="rId55">
        <w:r>
          <w:rPr>
            <w:rStyle w:val="Hyperlink"/>
          </w:rPr>
          <w:t xml:space="preserve">https://doi.org/10.1177/0192512114535450</w:t>
        </w:r>
      </w:hyperlink>
    </w:p>
    <w:p>
      <w:pPr>
        <w:numPr>
          <w:ilvl w:val="0"/>
          <w:numId w:val="6"/>
        </w:numPr>
        <w:spacing w:lineRule="auto"/>
      </w:pPr>
      <w:r>
        <w:rPr/>
        <w:t xml:space="preserve">Chang, Ho-Chun Herbert, Richardson, Allissa, Ferrara, Emilio (2022) #JusticeforGeorgeFloyd: How Instagram facilitated the 2020 Black Lives Matter protests. </w:t>
      </w:r>
      <w:r>
        <w:rPr>
          <w:i/>
        </w:rPr>
        <w:t xml:space="preserve">PLoS ONE</w:t>
      </w:r>
      <w:r>
        <w:rPr/>
        <w:t xml:space="preserve">. </w:t>
      </w:r>
      <w:hyperlink r:id="rId56">
        <w:r>
          <w:rPr>
            <w:rStyle w:val="Hyperlink"/>
          </w:rPr>
          <w:t xml:space="preserve">https://doi.org/10.1371/journal.pone.0277864</w:t>
        </w:r>
      </w:hyperlink>
    </w:p>
    <w:p>
      <w:pPr>
        <w:numPr>
          <w:ilvl w:val="0"/>
          <w:numId w:val="6"/>
        </w:numPr>
        <w:spacing w:lineRule="auto"/>
      </w:pPr>
      <w:r>
        <w:rPr/>
        <w:t xml:space="preserve">Waeterloos, Cato, Walrave, Michel, Ponnet, Koen (2024) The role of multi-platform news consumption in explaining civic participation during the COVID-19 pandemic: A communication mediation approach. </w:t>
      </w:r>
      <w:r>
        <w:rPr>
          <w:i/>
        </w:rPr>
        <w:t xml:space="preserve">New Media &amp; Society</w:t>
      </w:r>
      <w:r>
        <w:rPr/>
        <w:t xml:space="preserve">. </w:t>
      </w:r>
      <w:hyperlink r:id="rId57">
        <w:r>
          <w:rPr>
            <w:rStyle w:val="Hyperlink"/>
          </w:rPr>
          <w:t xml:space="preserve">https://doi.org/10.1177/14614448211058701</w:t>
        </w:r>
      </w:hyperlink>
    </w:p>
    <w:p>
      <w:pPr>
        <w:numPr>
          <w:ilvl w:val="0"/>
          <w:numId w:val="6"/>
        </w:numPr>
        <w:spacing w:lineRule="auto"/>
      </w:pPr>
      <w:r>
        <w:rPr/>
        <w:t xml:space="preserve">Jules, T.D. (2022) Educational framing and discursive educational opportunity structures in comparative and international education. </w:t>
      </w:r>
      <w:r>
        <w:rPr>
          <w:i/>
        </w:rPr>
        <w:t xml:space="preserve">Globalisation, Societies and Education</w:t>
      </w:r>
      <w:r>
        <w:rPr/>
        <w:t xml:space="preserve">. </w:t>
      </w:r>
      <w:hyperlink r:id="rId58">
        <w:r>
          <w:rPr>
            <w:rStyle w:val="Hyperlink"/>
          </w:rPr>
          <w:t xml:space="preserve">https://doi.org/10.1080/14767724.2021.2013164</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240" w:after="120"/>
      <w:outlineLvl w:val="0"/>
    </w:pPr>
    <w:rPr>
      <w:sz w:val="40"/>
      <w:szCs w:val="40"/>
    </w:rPr>
  </w:style>
  <w:style w:type="paragraph" w:styleId="Heading2">
    <w:name w:val="heading 2"/>
    <w:basedOn w:val="Normal"/>
    <w:next w:val="Normal"/>
    <w:uiPriority w:val="9"/>
    <w:unhideWhenUsed/>
    <w:qFormat/>
    <w:pPr>
      <w:keepNext/>
      <w:keepLines/>
      <w:spacing w:before="200" w:after="80"/>
      <w:outlineLvl w:val="1"/>
    </w:pPr>
    <w:rPr>
      <w:sz w:val="26"/>
      <w:szCs w:val="26"/>
    </w:rPr>
  </w:style>
  <w:style w:type="paragraph" w:styleId="Heading3">
    <w:name w:val="heading 3"/>
    <w:basedOn w:val="Normal"/>
    <w:next w:val="Normal"/>
    <w:uiPriority w:val="9"/>
    <w:semiHidden/>
    <w:unhideWhenUsed/>
    <w:qFormat/>
    <w:pPr>
      <w:keepNext/>
      <w:keepLines/>
      <w:spacing w:before="160" w:after="60"/>
      <w:outlineLvl w:val="2"/>
    </w:pPr>
    <w:rPr>
      <w:sz w:val="23"/>
      <w:szCs w:val="23"/>
    </w:rPr>
  </w:style>
  <w:style w:type="paragraph" w:styleId="Heading4">
    <w:name w:val="heading 4"/>
    <w:basedOn w:val="Normal"/>
    <w:next w:val="Normal"/>
    <w:uiPriority w:val="9"/>
    <w:semiHidden/>
    <w:unhideWhenUsed/>
    <w:qFormat/>
    <w:pPr>
      <w:keepNext/>
      <w:keepLines/>
      <w:spacing w:before="120" w:after="40"/>
      <w:outlineLvl w:val="3"/>
    </w:pPr>
    <w:rPr>
      <w:sz w:val="21"/>
      <w:szCs w:val="2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i.org/10.1002/9780470674871.wbespm073" TargetMode="External"/>
  <Relationship Id="rId7" Type="http://schemas.openxmlformats.org/officeDocument/2006/relationships/hyperlink" Target="https://doi.org/10.1002/9780470674871.wbespm073.pub2" TargetMode="External"/>
  <Relationship Id="rId8" Type="http://schemas.openxmlformats.org/officeDocument/2006/relationships/hyperlink" Target="https://doi.org/10.1177/0267323112441007" TargetMode="External"/>
  <Relationship Id="rId9" Type="http://schemas.openxmlformats.org/officeDocument/2006/relationships/hyperlink" Target="https://doi.org/10.1177/14614448221096806" TargetMode="External"/>
  <Relationship Id="rId10" Type="http://schemas.openxmlformats.org/officeDocument/2006/relationships/hyperlink" Target="https://www.scopus.com/pages/publications/11644257505" TargetMode="External"/>
  <Relationship Id="rId11" Type="http://schemas.openxmlformats.org/officeDocument/2006/relationships/hyperlink" Target="https://doi.org/10.1080/01402380802370484" TargetMode="External"/>
  <Relationship Id="rId12" Type="http://schemas.openxmlformats.org/officeDocument/2006/relationships/hyperlink" Target="https://doi.org/10.1080/14742837.2010.522312" TargetMode="External"/>
  <Relationship Id="rId13" Type="http://schemas.openxmlformats.org/officeDocument/2006/relationships/hyperlink" Target="https://www.scopus.com/pages/publications/67651036869" TargetMode="External"/>
  <Relationship Id="rId14" Type="http://schemas.openxmlformats.org/officeDocument/2006/relationships/hyperlink" Target="https://doi.org/10.1080/01402389008424776" TargetMode="External"/>
  <Relationship Id="rId15" Type="http://schemas.openxmlformats.org/officeDocument/2006/relationships/hyperlink" Target="https://doi.org/10.2307/2096308" TargetMode="External"/>
  <Relationship Id="rId16" Type="http://schemas.openxmlformats.org/officeDocument/2006/relationships/hyperlink" Target="https://doi.org/10.1016/j.postcomstud.2012.03.007" TargetMode="External"/>
  <Relationship Id="rId17" Type="http://schemas.openxmlformats.org/officeDocument/2006/relationships/hyperlink" Target="https://www.scopus.com/pages/publications/70350154822" TargetMode="External"/>
  <Relationship Id="rId18" Type="http://schemas.openxmlformats.org/officeDocument/2006/relationships/hyperlink" Target="https://www.scopus.com/pages/publications/54149108227" TargetMode="External"/>
  <Relationship Id="rId19" Type="http://schemas.openxmlformats.org/officeDocument/2006/relationships/hyperlink" Target="https://doi.org/10.1215/01455532-2010-017" TargetMode="External"/>
  <Relationship Id="rId20" Type="http://schemas.openxmlformats.org/officeDocument/2006/relationships/hyperlink" Target="https://doi.org/10.1080/14742837.2014.947253" TargetMode="External"/>
  <Relationship Id="rId21" Type="http://schemas.openxmlformats.org/officeDocument/2006/relationships/hyperlink" Target="https://doi.org/10.1016/j.poetic.2025.102020" TargetMode="External"/>
  <Relationship Id="rId22" Type="http://schemas.openxmlformats.org/officeDocument/2006/relationships/hyperlink" Target="https://doi.org/10.1016/j.wsif.2026.103281" TargetMode="External"/>
  <Relationship Id="rId23" Type="http://schemas.openxmlformats.org/officeDocument/2006/relationships/hyperlink" Target="https://doi.org/10.1177/20539517251389866" TargetMode="External"/>
  <Relationship Id="rId24" Type="http://schemas.openxmlformats.org/officeDocument/2006/relationships/hyperlink" Target="https://www.scopus.com/pages/publications/78650759550" TargetMode="External"/>
  <Relationship Id="rId25" Type="http://schemas.openxmlformats.org/officeDocument/2006/relationships/hyperlink" Target="https://doi.org/10.17813/maiq.10.1.t5767064661w2u34" TargetMode="External"/>
  <Relationship Id="rId26" Type="http://schemas.openxmlformats.org/officeDocument/2006/relationships/hyperlink" Target="https://doi.org/10.1177/20539517251389866" TargetMode="External"/>
  <Relationship Id="rId27" Type="http://schemas.openxmlformats.org/officeDocument/2006/relationships/hyperlink" Target="https://doi.org/10.1177/2056305118764431" TargetMode="External"/>
  <Relationship Id="rId28" Type="http://schemas.openxmlformats.org/officeDocument/2006/relationships/hyperlink" Target="https://doi.org/10.1016/j.dcm.2026.100990" TargetMode="External"/>
  <Relationship Id="rId29" Type="http://schemas.openxmlformats.org/officeDocument/2006/relationships/hyperlink" Target="https://doi.org/10.1177/2056305118765740" TargetMode="External"/>
  <Relationship Id="rId30" Type="http://schemas.openxmlformats.org/officeDocument/2006/relationships/hyperlink" Target="https://doi.org/10.1093/oxfordhb/9780198861126.013.52" TargetMode="External"/>
  <Relationship Id="rId31" Type="http://schemas.openxmlformats.org/officeDocument/2006/relationships/hyperlink" Target="https://doi.org/10.1163/156913303322661883" TargetMode="External"/>
  <Relationship Id="rId32" Type="http://schemas.openxmlformats.org/officeDocument/2006/relationships/hyperlink" Target="https://doi.org/10.1007/978-3-030-35477-0_3" TargetMode="External"/>
  <Relationship Id="rId33" Type="http://schemas.openxmlformats.org/officeDocument/2006/relationships/hyperlink" Target="https://doi.org/10.1177/00207152221133059" TargetMode="External"/>
  <Relationship Id="rId34" Type="http://schemas.openxmlformats.org/officeDocument/2006/relationships/hyperlink" Target="https://doi.org/10.1080/14742837.2019.1682539" TargetMode="External"/>
  <Relationship Id="rId35" Type="http://schemas.openxmlformats.org/officeDocument/2006/relationships/hyperlink" Target="https://doi.org/10.1590/s0011-52582008000300006" TargetMode="External"/>
  <Relationship Id="rId36" Type="http://schemas.openxmlformats.org/officeDocument/2006/relationships/hyperlink" Target="https://doi.org/10.1163/18763375-01001003" TargetMode="External"/>
  <Relationship Id="rId37" Type="http://schemas.openxmlformats.org/officeDocument/2006/relationships/hyperlink" Target="https://doi.org/10.1080/00344893.2013.800348" TargetMode="External"/>
  <Relationship Id="rId38" Type="http://schemas.openxmlformats.org/officeDocument/2006/relationships/hyperlink" Target="https://doi.org/10.1177/1086026605285452" TargetMode="External"/>
  <Relationship Id="rId39" Type="http://schemas.openxmlformats.org/officeDocument/2006/relationships/hyperlink" Target="https://doi.org/10.1177/14614448251352542" TargetMode="External"/>
  <Relationship Id="rId40" Type="http://schemas.openxmlformats.org/officeDocument/2006/relationships/hyperlink" Target="https://doi.org/10.15166/2499-8249/812" TargetMode="External"/>
  <Relationship Id="rId41" Type="http://schemas.openxmlformats.org/officeDocument/2006/relationships/hyperlink" Target="https://doi.org/10.1108/JARHE-12-2025-1062" TargetMode="External"/>
  <Relationship Id="rId42" Type="http://schemas.openxmlformats.org/officeDocument/2006/relationships/hyperlink" Target="https://doi.org/10.15166/2499-8249/797" TargetMode="External"/>
  <Relationship Id="rId43" Type="http://schemas.openxmlformats.org/officeDocument/2006/relationships/hyperlink" Target="https://doi.org/10.1016/j.landurbplan.2019.103740" TargetMode="External"/>
  <Relationship Id="rId44" Type="http://schemas.openxmlformats.org/officeDocument/2006/relationships/hyperlink" Target="https://doi.org/10.31893/multiscience.2026742" TargetMode="External"/>
  <Relationship Id="rId45" Type="http://schemas.openxmlformats.org/officeDocument/2006/relationships/hyperlink" Target="https://doi.org/10.31893/multiscience.2026483" TargetMode="External"/>
  <Relationship Id="rId46" Type="http://schemas.openxmlformats.org/officeDocument/2006/relationships/hyperlink" Target="https://doi.org/10.1007/s40878-015-0005-8" TargetMode="External"/>
  <Relationship Id="rId47" Type="http://schemas.openxmlformats.org/officeDocument/2006/relationships/hyperlink" Target="https://doi.org/10.1177/1461444821998346" TargetMode="External"/>
  <Relationship Id="rId48" Type="http://schemas.openxmlformats.org/officeDocument/2006/relationships/hyperlink" Target="https://doi.org/10.1093/isagsq/ksaf004" TargetMode="External"/>
  <Relationship Id="rId49" Type="http://schemas.openxmlformats.org/officeDocument/2006/relationships/hyperlink" Target="https://doi.org/10.1177/0896920510379439" TargetMode="External"/>
  <Relationship Id="rId50" Type="http://schemas.openxmlformats.org/officeDocument/2006/relationships/hyperlink" Target="https://doi.org/10.1080/21599165.2021.1937136" TargetMode="External"/>
  <Relationship Id="rId51" Type="http://schemas.openxmlformats.org/officeDocument/2006/relationships/hyperlink" Target="https://doi.org/10.1086/378395" TargetMode="External"/>
  <Relationship Id="rId52" Type="http://schemas.openxmlformats.org/officeDocument/2006/relationships/hyperlink" Target="https://doi.org/10.1080/713692339" TargetMode="External"/>
  <Relationship Id="rId53" Type="http://schemas.openxmlformats.org/officeDocument/2006/relationships/hyperlink" Target="https://www.scopus.com/pages/publications/84864100954" TargetMode="External"/>
  <Relationship Id="rId54" Type="http://schemas.openxmlformats.org/officeDocument/2006/relationships/hyperlink" Target="https://doi.org/10.1353/chn.2022.0036" TargetMode="External"/>
  <Relationship Id="rId55" Type="http://schemas.openxmlformats.org/officeDocument/2006/relationships/hyperlink" Target="https://doi.org/10.1177/0192512114535450" TargetMode="External"/>
  <Relationship Id="rId56" Type="http://schemas.openxmlformats.org/officeDocument/2006/relationships/hyperlink" Target="https://doi.org/10.1371/journal.pone.0277864" TargetMode="External"/>
  <Relationship Id="rId57" Type="http://schemas.openxmlformats.org/officeDocument/2006/relationships/hyperlink" Target="https://doi.org/10.1177/14614448211058701" TargetMode="External"/>
  <Relationship Id="rId58" Type="http://schemas.openxmlformats.org/officeDocument/2006/relationships/hyperlink" Target="https://doi.org/10.1080/14767724.2021.2013164" TargetMode="External"/>
  <Relationship Id="rId59" Type="http://schemas.openxmlformats.org/officeDocument/2006/relationships/footer" Target="footer1.xml" TargetMode="Internal"/>
  <Relationship Id="rId6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LeapSpace</dc:title>
  <dc:subject/>
  <dc:creator>LeapSpace</dc:creator>
  <cp:keywords>Powered by TurboDocx html-to-docx</cp:keywords>
  <dc:description/>
  <cp:lastModifiedBy>Powered by TurboDocx html-to-docx</cp:lastModifiedBy>
  <cp:revision>1</cp:revision>
  <dcterms:created xsi:type="dcterms:W3CDTF">2026-08-16T23:14:05.268Z</dcterms:created>
  <dcterms:modified xsi:type="dcterms:W3CDTF">2026-08-16T23:14:05.268Z</dcterms:modified>
</cp:coreProperties>
</file>