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33" w:type="default"/>
    </w:sectPr>
    <w:p>
      <w:pPr>
        <w:pStyle w:val="Heading1"/>
        <w:spacing w:lineRule="auto"/>
      </w:pPr>
      <w:r>
        <w:rPr/>
        <w:t xml:space="preserve">Protest cycle</w:t>
      </w:r>
    </w:p>
    <w:p>
      <w:pPr>
        <w:spacing w:lineRule="auto"/>
      </w:pPr>
      <w:r>
        <w:rPr/>
      </w:r>
    </w:p>
    <w:p>
      <w:pPr>
        <w:spacing w:lineRule="auto"/>
      </w:pPr>
      <w:r>
        <w:rPr/>
        <w:t xml:space="preserve">"Protest cycle" </w:t>
      </w:r>
    </w:p>
    <w:p>
      <w:pPr>
        <w:spacing w:lineRule="auto"/>
      </w:pPr>
      <w:r>
        <w:rPr>
          <w:i/>
        </w:rPr>
        <w:t xml:space="preserve">Generated by LeapSpace, Thu Aug 13 2026</w:t>
      </w:r>
    </w:p>
    <w:p>
      <w:pPr>
        <w:spacing w:lineRule="auto"/>
      </w:pPr>
      <w:r>
        <w:rPr/>
      </w:r>
    </w:p>
    <w:p>
      <w:pPr>
        <w:pStyle w:val="Heading2"/>
        <w:spacing w:lineRule="auto"/>
      </w:pPr>
      <w:r>
        <w:rPr/>
        <w:t xml:space="preserve">Protest Cycles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Population / level of analysis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Evidence</w:t>
            </w:r>
          </w:p>
        </w:tc>
      </w:t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Protest cycles are best understood as temporally clustered and relational episodes of contention, but scholars disagree on whether a “wave” requires protest above a normative baseline.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Social movement theory; comparative protest research</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Onset and clustering are explained by interacting mechanisms: political opportunities, framing, and internal movement dynamics rather than a single cause.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Comparative studies of mobilization and protest cycles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 [4] [5]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Persistence depends on organizational infrastructure, alliances, issue specialization, and delayed institutionalization.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Movement organizations; sustained protest episodes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[6] [7]</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Diffusion is uneven: protest spreads through networks, public histories, organizations, and cultural translation rather than automatically across places.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Cities, regions, countries, transnational diffusion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[8] [9] [10] [11] [12]</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Repression has contingent effects: it can suppress mobilization, provoke backlash, radicalize actors, or generate scale shift depending on tactic and interpretation.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Protest-state interaction across cases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[13] [14] [15] [16] [17]</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State strategy depends on costs: high concession costs push toward coercion, while high disruption costs can induce accommodation.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Government response to protest campaigns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[18] [19] [20]</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Consequences often extend beyond immediate policy wins to electoral volatility, trust, vote shifts, opposition gains, new parties, and long-term activist learning.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Party systems, public attitudes, participants, movement organizations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[21] [22] [23] [24] [25]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Social media accelerates consolidation and intensification, but the wider literature implies it works through underlying organizational and network capacity.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Digitally mediated protest cycles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[10] [11] [26]</w:t>
            </w:r>
          </w:p>
        </w:tc>
      </w:tr>
    </w:tbl>
    <w:p>
      <w:pPr>
        <w:spacing w:lineRule="auto"/>
      </w:pPr>
      <w:r>
        <w:rPr/>
      </w:r>
    </w:p>
    <w:p>
      <w:pPr>
        <w:pStyle w:val="Heading3"/>
        <w:spacing w:lineRule="auto"/>
      </w:pPr>
      <w:r>
        <w:rPr/>
        <w:t xml:space="preserve">Direct Answer</w:t>
      </w:r>
    </w:p>
    <w:p>
      <w:pPr>
        <w:spacing w:lineRule="auto"/>
      </w:pPr>
      <w:r>
        <w:rPr/>
        <w:t xml:space="preserve">A </w:t>
      </w:r>
      <w:r>
        <w:rPr>
          <w:b/>
        </w:rPr>
        <w:t xml:space="preserve">protest cycle</w:t>
      </w:r>
      <w:r>
        <w:rPr/>
        <w:t xml:space="preserve"> is best defined as a clustered period of rising, spreading, and transforming collective action, shaped by interaction among political opportunities, framing processes, organizations, and diffusion mechanisms rather than by one trigger alone [1] [2] [3] [5]. In practice, researchers use the concept to explain why protest episodes appear in bursts, jump across places and issues, evolve tactically, and then either decline, institutionalize, or spill into electoral and organizational change [2] [13] [22] [23] [25].</w:t>
      </w:r>
    </w:p>
    <w:p>
      <w:pPr>
        <w:spacing w:lineRule="auto"/>
      </w:pPr>
      <w:r>
        <w:rPr/>
        <w:t xml:space="preserve">The strongest findings are:</w:t>
      </w:r>
    </w:p>
    <w:p>
      <w:pPr>
        <w:numPr>
          <w:ilvl w:val="0"/>
          <w:numId w:val="1"/>
        </w:numPr>
        <w:spacing w:lineRule="auto"/>
      </w:pPr>
      <w:r>
        <w:rPr>
          <w:b/>
        </w:rPr>
        <w:t xml:space="preserve">Emergence</w:t>
      </w:r>
      <w:r>
        <w:rPr/>
        <w:t xml:space="preserve">: cycles begin when openings, threats, resonant frames, and mobilizing structures align sufficiently to lower participation thresholds [3] [5] [6] [7].</w:t>
      </w:r>
    </w:p>
    <w:p>
      <w:pPr>
        <w:numPr>
          <w:ilvl w:val="0"/>
          <w:numId w:val="1"/>
        </w:numPr>
        <w:spacing w:lineRule="auto"/>
      </w:pPr>
      <w:r>
        <w:rPr>
          <w:b/>
        </w:rPr>
        <w:t xml:space="preserve">Spread</w:t>
      </w:r>
      <w:r>
        <w:rPr/>
        <w:t xml:space="preserve">: cycles grow through diffusion across networks, organizations, and symbolic repertoires, but spread is filtered by local culture and institutions [8] [9] [10] [11] [12].</w:t>
      </w:r>
    </w:p>
    <w:p>
      <w:pPr>
        <w:numPr>
          <w:ilvl w:val="0"/>
          <w:numId w:val="1"/>
        </w:numPr>
        <w:spacing w:lineRule="auto"/>
      </w:pPr>
      <w:r>
        <w:rPr>
          <w:b/>
        </w:rPr>
        <w:t xml:space="preserve">Escalation or decline</w:t>
      </w:r>
      <w:r>
        <w:rPr/>
        <w:t xml:space="preserve">: protest-state interaction is decisive; repression may deter, backfire, or radicalize depending on severity, selectivity, and whether targets are seen as legitimate or “innocent” [13] [14] [15] [16] [17].</w:t>
      </w:r>
    </w:p>
    <w:p>
      <w:pPr>
        <w:numPr>
          <w:ilvl w:val="0"/>
          <w:numId w:val="1"/>
        </w:numPr>
        <w:spacing w:lineRule="auto"/>
      </w:pPr>
      <w:r>
        <w:rPr>
          <w:b/>
        </w:rPr>
        <w:t xml:space="preserve">Consequences</w:t>
      </w:r>
      <w:r>
        <w:rPr/>
        <w:t xml:space="preserve">: even without major policy concessions, cycles can reshape elections, trust in government, opposition opportunities, movement organizations, and later political engagement [18] [20] [21] [22] [24] [25].</w:t>
      </w:r>
    </w:p>
    <w:p>
      <w:pPr>
        <w:spacing w:lineRule="auto"/>
      </w:pPr>
      <w:r>
        <w:rPr>
          <w:b/>
        </w:rPr>
        <w:t xml:space="preserve">Bottom line:</w:t>
      </w:r>
      <w:r>
        <w:rPr/>
        <w:t xml:space="preserve"> protest cycle research treats protest as a dynamic process of clustered contention whose political importance often lies as much in diffusion, adaptation, and aftereffects as in immediate success or failure [1] [2] [22] [23].</w:t>
      </w:r>
      <w:r>
        <w:rPr/>
        <w:br w:type="textWrapping"/>
      </w:r>
      <w:r>
        <w:rPr>
          <w:b/>
        </w:rPr>
        <w:t xml:space="preserve">Confidence level: High - multiple convergent findings across theory, diffusion, repression, and outcomes support this synthesis [1] [2] [3] [13] [14] [22].</w:t>
      </w:r>
    </w:p>
    <w:p>
      <w:pPr>
        <w:pStyle w:val="Heading3"/>
        <w:spacing w:lineRule="auto"/>
      </w:pPr>
      <w:r>
        <w:rPr/>
        <w:t xml:space="preserve">Study Scope</w:t>
      </w:r>
    </w:p>
    <w:p>
      <w:pPr>
        <w:spacing w:lineRule="auto"/>
      </w:pPr>
      <w:r>
        <w:rPr/>
        <w:t xml:space="preserve">This report covers social movement research on protest cycles, protest waves, and cycles of contention, focusing on conceptual definitions, onset mechanisms, diffusion, repression, state strategy, and consequences across local, national, and transnational cases [1] [2] [8] [22]. The evidence includes conceptual work, event-history analysis, case studies, simulations, network mapping, and comparative political analysis [3] [10] [11] [15].</w:t>
      </w:r>
      <w:r>
        <w:rPr/>
        <w:br w:type="textWrapping"/>
      </w:r>
      <w:r>
        <w:rPr>
          <w:b/>
        </w:rPr>
        <w:t xml:space="preserve">Confidence level: High - the scope is directly stated in the supplied synthesis and learnings [1] [2] [10] [15].</w:t>
      </w:r>
    </w:p>
    <w:p>
      <w:pPr>
        <w:pStyle w:val="Heading3"/>
        <w:spacing w:lineRule="auto"/>
      </w:pPr>
      <w:r>
        <w:rPr/>
        <w:t xml:space="preserve">Assumptions &amp; Limitations</w:t>
      </w:r>
    </w:p>
    <w:p>
      <w:pPr>
        <w:spacing w:lineRule="auto"/>
      </w:pPr>
      <w:r>
        <w:rPr/>
        <w:t xml:space="preserve">The literature does </w:t>
      </w:r>
      <w:r>
        <w:rPr>
          <w:b/>
        </w:rPr>
        <w:t xml:space="preserve">not</w:t>
      </w:r>
      <w:r>
        <w:rPr/>
        <w:t xml:space="preserve"> provide a single standardized empirical threshold for identifying a protest cycle, because definitions and measurements vary across studies [1] [2]. Causal sequencing is also disputed, especially around whether triggers, framing, networks, or repression are primary drivers in particular cases [3] [10] [15]. Evidence on policy effects is thinner than evidence on electoral and organizational consequences in the supplied materials [22] [24] [25].</w:t>
      </w:r>
      <w:r>
        <w:rPr/>
        <w:br w:type="textWrapping"/>
      </w:r>
      <w:r>
        <w:rPr>
          <w:b/>
        </w:rPr>
        <w:t xml:space="preserve">Confidence level: High - these limitations are explicitly identified in the supplied meta-analysis [1] [2] [10] [15].</w:t>
      </w:r>
    </w:p>
    <w:p>
      <w:pPr>
        <w:pStyle w:val="Heading3"/>
        <w:spacing w:lineRule="auto"/>
      </w:pPr>
      <w:r>
        <w:rPr/>
        <w:t xml:space="preserve">Suggested Further Research</w:t>
      </w:r>
    </w:p>
    <w:p>
      <w:pPr>
        <w:numPr>
          <w:ilvl w:val="0"/>
          <w:numId w:val="2"/>
        </w:numPr>
        <w:spacing w:lineRule="auto"/>
      </w:pPr>
      <w:r>
        <w:rPr/>
        <w:t xml:space="preserve">Standardize distinctions among protest waves, cycles, peaks, and scale shifts for cross-case comparison [1] [2].</w:t>
      </w:r>
    </w:p>
    <w:p>
      <w:pPr>
        <w:numPr>
          <w:ilvl w:val="0"/>
          <w:numId w:val="2"/>
        </w:numPr>
        <w:spacing w:lineRule="auto"/>
      </w:pPr>
      <w:r>
        <w:rPr/>
        <w:t xml:space="preserve">Build stronger causal designs linking trigger events to later diffusion and escalation [10] [13].</w:t>
      </w:r>
    </w:p>
    <w:p>
      <w:pPr>
        <w:numPr>
          <w:ilvl w:val="0"/>
          <w:numId w:val="2"/>
        </w:numPr>
        <w:spacing w:lineRule="auto"/>
      </w:pPr>
      <w:r>
        <w:rPr/>
        <w:t xml:space="preserve">Compare repression by tactical form, severity, and selectivity rather than treating repression as a single category [14] [15] [16].</w:t>
      </w:r>
    </w:p>
    <w:p>
      <w:pPr>
        <w:numPr>
          <w:ilvl w:val="0"/>
          <w:numId w:val="2"/>
        </w:numPr>
        <w:spacing w:lineRule="auto"/>
      </w:pPr>
      <w:r>
        <w:rPr/>
        <w:t xml:space="preserve">Study how social media interacts with formal organizations and coalition structures over time [11] [26] [27].</w:t>
      </w:r>
    </w:p>
    <w:p>
      <w:pPr>
        <w:numPr>
          <w:ilvl w:val="0"/>
          <w:numId w:val="2"/>
        </w:numPr>
        <w:spacing w:lineRule="auto"/>
      </w:pPr>
      <w:r>
        <w:rPr/>
        <w:t xml:space="preserve">Extend longitudinal work on post-cycle outcomes such as organizational survival, policy durability, and later political participation [21] [23] [25].</w:t>
      </w:r>
    </w:p>
    <w:p>
      <w:pPr>
        <w:pStyle w:val="Heading2"/>
        <w:spacing w:lineRule="auto"/>
      </w:pPr>
      <w:r>
        <w:rPr/>
        <w:t xml:space="preserve">Protest Cycles: Concepts, Dynamics, and Political Consequences</w:t>
      </w:r>
    </w:p>
    <w:p>
      <w:pPr>
        <w:pStyle w:val="Heading2"/>
        <w:spacing w:lineRule="auto"/>
      </w:pPr>
      <w:r>
        <w:rPr/>
        <w:t xml:space="preserve">Foundational Context</w:t>
      </w:r>
    </w:p>
    <w:p>
      <w:pPr>
        <w:spacing w:lineRule="auto"/>
      </w:pPr>
      <w:r>
        <w:rPr/>
        <w:t xml:space="preserve">In this literature, a protest cycle is not merely a high count of demonstrations. It is a </w:t>
      </w:r>
      <w:r>
        <w:rPr>
          <w:b/>
        </w:rPr>
        <w:t xml:space="preserve">process</w:t>
      </w:r>
      <w:r>
        <w:rPr/>
        <w:t xml:space="preserve"> in which contention becomes temporally clustered, diffuses across actors and places, changes form, and generates interactions between challengers and authorities that alter later possibilities for mobilization [1] [2] [13]. This process-oriented view matters because the same protest event can mean different things depending on whether it is an isolated grievance, an early signal of wider diffusion, or part of a larger episode of escalating contention [2] [13].</w:t>
      </w:r>
    </w:p>
    <w:p>
      <w:pPr>
        <w:spacing w:lineRule="auto"/>
      </w:pPr>
      <w:r>
        <w:rPr/>
        <w:t xml:space="preserve">Three foundational concepts organize the field:</w:t>
      </w:r>
    </w:p>
    <w:p>
      <w:pPr>
        <w:numPr>
          <w:ilvl w:val="0"/>
          <w:numId w:val="3"/>
        </w:numPr>
        <w:spacing w:lineRule="auto"/>
      </w:pPr>
      <w:r>
        <w:rPr>
          <w:b/>
        </w:rPr>
        <w:t xml:space="preserve">Clustering in time</w:t>
      </w:r>
      <w:r>
        <w:rPr/>
        <w:t xml:space="preserve">: protest is concentrated in bursts rather than evenly distributed [1] [2].</w:t>
      </w:r>
    </w:p>
    <w:p>
      <w:pPr>
        <w:numPr>
          <w:ilvl w:val="0"/>
          <w:numId w:val="3"/>
        </w:numPr>
        <w:spacing w:lineRule="auto"/>
      </w:pPr>
      <w:r>
        <w:rPr>
          <w:b/>
        </w:rPr>
        <w:t xml:space="preserve">Relational dynamics</w:t>
      </w:r>
      <w:r>
        <w:rPr/>
        <w:t xml:space="preserve">: protest evolves through interaction among movements, states, allies, opponents, and observers [3] [4] [18].</w:t>
      </w:r>
    </w:p>
    <w:p>
      <w:pPr>
        <w:numPr>
          <w:ilvl w:val="0"/>
          <w:numId w:val="3"/>
        </w:numPr>
        <w:spacing w:lineRule="auto"/>
      </w:pPr>
      <w:r>
        <w:rPr>
          <w:b/>
        </w:rPr>
        <w:t xml:space="preserve">Diffusion and transformation</w:t>
      </w:r>
      <w:r>
        <w:rPr/>
        <w:t xml:space="preserve">: what begins locally can spread, scale up, and change repertoire, meaning, or organizational form [8] [10] [11] [13].</w:t>
      </w:r>
    </w:p>
    <w:p>
      <w:pPr>
        <w:spacing w:lineRule="auto"/>
      </w:pPr>
      <w:r>
        <w:rPr/>
        <w:t xml:space="preserve">Taken together, these findings suggest that “cycle” is most useful when analysts want to explain linked sequences of protest emergence, expansion, tactical change, and decline rather than simply measuring event frequency [1] [2] [13].</w:t>
      </w:r>
      <w:r>
        <w:rPr/>
        <w:br w:type="textWrapping"/>
      </w:r>
      <w:r>
        <w:rPr>
          <w:b/>
        </w:rPr>
        <w:t xml:space="preserve">Confidence level: High - the core conceptual agreement is consistent across the supplied theoretical sources [1] [2] [13].</w:t>
      </w:r>
    </w:p>
    <w:p>
      <w:pPr>
        <w:pStyle w:val="Heading2"/>
        <w:spacing w:lineRule="auto"/>
      </w:pPr>
      <w:r>
        <w:rPr/>
        <w:t xml:space="preserve">1. What a Protest Cycle Is</w:t>
      </w:r>
    </w:p>
    <w:p>
      <w:pPr>
        <w:spacing w:lineRule="auto"/>
      </w:pPr>
      <w:r>
        <w:rPr/>
        <w:t xml:space="preserve">The literature converges on the idea that protest cycles are </w:t>
      </w:r>
      <w:r>
        <w:rPr>
          <w:b/>
        </w:rPr>
        <w:t xml:space="preserve">temporally clustered episodes of contention</w:t>
      </w:r>
      <w:r>
        <w:rPr/>
        <w:t xml:space="preserve">, but it does not fully agree on how strict that definition should be [1] [2]. One line of work argues that a “wave” should be reserved for protest activity that rises significantly above normal levels, emphasizing measurable deviation from baseline [1]. Another distinguishes among waves, cycles, and related mechanisms such as framing, diffusion, scale shift, and repertoires, implying that conceptual clarity matters more than one universal threshold [2].</w:t>
      </w:r>
    </w:p>
    <w:p>
      <w:pPr>
        <w:spacing w:lineRule="auto"/>
      </w:pPr>
      <w:r>
        <w:rPr/>
        <w:t xml:space="preserve">This disagreement is substantive, not semantic. If a cycle requires above-normal protest, the concept is primarily a measurement tool; if it refers to linked mechanisms of spread and interaction, it becomes an explanatory framework for how contention develops [1] [2]. The supplied evidence supports the second interpretation more strongly, because many findings explain cycles through the interaction of opportunities, frames, organizations, networks, and state responses [3] [5] [13].</w:t>
      </w:r>
    </w:p>
    <w:p>
      <w:pPr>
        <w:spacing w:lineRule="auto"/>
      </w:pPr>
      <w:r>
        <w:rPr>
          <w:b/>
        </w:rPr>
        <w:t xml:space="preserve">Conflict in the literature:</w:t>
      </w:r>
    </w:p>
    <w:p>
      <w:pPr>
        <w:numPr>
          <w:ilvl w:val="0"/>
          <w:numId w:val="4"/>
        </w:numPr>
        <w:spacing w:lineRule="auto"/>
      </w:pPr>
      <w:r>
        <w:rPr>
          <w:b/>
        </w:rPr>
        <w:t xml:space="preserve">Threshold-centered view</w:t>
      </w:r>
      <w:r>
        <w:rPr/>
        <w:t xml:space="preserve">: a wave should exceed normative protest levels [1].</w:t>
      </w:r>
    </w:p>
    <w:p>
      <w:pPr>
        <w:numPr>
          <w:ilvl w:val="0"/>
          <w:numId w:val="4"/>
        </w:numPr>
        <w:spacing w:lineRule="auto"/>
      </w:pPr>
      <w:r>
        <w:rPr>
          <w:b/>
        </w:rPr>
        <w:t xml:space="preserve">Process-centered view</w:t>
      </w:r>
      <w:r>
        <w:rPr/>
        <w:t xml:space="preserve">: cycles and waves should be understood through mechanisms such as diffusion, framing, and scale shift [2].</w:t>
      </w:r>
    </w:p>
    <w:p>
      <w:pPr>
        <w:spacing w:lineRule="auto"/>
      </w:pPr>
      <w:r>
        <w:rPr>
          <w:b/>
        </w:rPr>
        <w:t xml:space="preserve">Confidence level: High - the definitional disagreement is directly documented [1] [2].</w:t>
      </w:r>
    </w:p>
    <w:p>
      <w:pPr>
        <w:pStyle w:val="Heading2"/>
        <w:spacing w:lineRule="auto"/>
      </w:pPr>
      <w:r>
        <w:rPr/>
        <w:t xml:space="preserve">2. Theoretical Explanations for Onset and Clustering</w:t>
      </w:r>
    </w:p>
    <w:p>
      <w:pPr>
        <w:spacing w:lineRule="auto"/>
      </w:pPr>
      <w:r>
        <w:rPr/>
        <w:t xml:space="preserve">Research explains the onset of protest cycles through combinations of </w:t>
      </w:r>
      <w:r>
        <w:rPr>
          <w:b/>
        </w:rPr>
        <w:t xml:space="preserve">political opportunities, framing, and movement competition</w:t>
      </w:r>
      <w:r>
        <w:rPr/>
        <w:t xml:space="preserve"> [3] [4] [5]. One event-history study finds that political opportunity matters mainly at the point of mobilization onset, while demobilization is linked more to institutionalization and protest violence [3] [4]. Another argues that resonant master frames help explain clustering, especially where political opportunities are weak or ambiguous [5].</w:t>
      </w:r>
    </w:p>
    <w:p>
      <w:pPr>
        <w:spacing w:lineRule="auto"/>
      </w:pPr>
      <w:r>
        <w:rPr/>
        <w:t xml:space="preserve">These findings imply that no single theory is sufficient across the whole cycle [3] [4] [5]. Opportunity structures help explain why contention becomes possible, but interpretive processes help explain why people recognize that possibility as meaningful and urgent [3] [5]. Internal movement competition also matters, because organizations and factions may intensify mobilization as they attempt to define the agenda or claim leadership within a broader episode of contention [4].</w:t>
      </w:r>
    </w:p>
    <w:p>
      <w:pPr>
        <w:spacing w:lineRule="auto"/>
      </w:pPr>
      <w:r>
        <w:rPr/>
        <w:t xml:space="preserve">Taken together, the evidence supports a </w:t>
      </w:r>
      <w:r>
        <w:rPr>
          <w:b/>
        </w:rPr>
        <w:t xml:space="preserve">multi-causal onset model</w:t>
      </w:r>
      <w:r>
        <w:rPr/>
        <w:t xml:space="preserve">:</w:t>
      </w:r>
    </w:p>
    <w:p>
      <w:pPr>
        <w:numPr>
          <w:ilvl w:val="0"/>
          <w:numId w:val="5"/>
        </w:numPr>
        <w:spacing w:lineRule="auto"/>
      </w:pPr>
      <w:r>
        <w:rPr/>
        <w:t xml:space="preserve">political openings or threats create possibilities [3] [7];</w:t>
      </w:r>
    </w:p>
    <w:p>
      <w:pPr>
        <w:numPr>
          <w:ilvl w:val="0"/>
          <w:numId w:val="5"/>
        </w:numPr>
        <w:spacing w:lineRule="auto"/>
      </w:pPr>
      <w:r>
        <w:rPr/>
        <w:t xml:space="preserve">frames make those possibilities legible and resonant [5] [6];</w:t>
      </w:r>
    </w:p>
    <w:p>
      <w:pPr>
        <w:numPr>
          <w:ilvl w:val="0"/>
          <w:numId w:val="5"/>
        </w:numPr>
        <w:spacing w:lineRule="auto"/>
      </w:pPr>
      <w:r>
        <w:rPr/>
        <w:t xml:space="preserve">organizations and alliances convert sentiment into sustained participation [6] [7].</w:t>
      </w:r>
    </w:p>
    <w:p>
      <w:pPr>
        <w:spacing w:lineRule="auto"/>
      </w:pPr>
      <w:r>
        <w:rPr>
          <w:b/>
        </w:rPr>
        <w:t xml:space="preserve">Confidence level: High - multiple sources support the multi-mechanism explanation of onset [3] [4] [5] [6] [7].</w:t>
      </w:r>
    </w:p>
    <w:p>
      <w:pPr>
        <w:pStyle w:val="Heading2"/>
        <w:spacing w:lineRule="auto"/>
      </w:pPr>
      <w:r>
        <w:rPr/>
        <w:t xml:space="preserve">3. Mobilization Thresholds and Sustaining Conditions</w:t>
      </w:r>
    </w:p>
    <w:p>
      <w:pPr>
        <w:spacing w:lineRule="auto"/>
      </w:pPr>
      <w:r>
        <w:rPr/>
        <w:t xml:space="preserve">Cycles persist when participation becomes easier, safer, more meaningful, or better coordinated [6] [7]. The supplied evidence points to several sustaining conditions:</w:t>
      </w:r>
    </w:p>
    <w:p>
      <w:pPr>
        <w:numPr>
          <w:ilvl w:val="0"/>
          <w:numId w:val="6"/>
        </w:numPr>
        <w:spacing w:lineRule="auto"/>
      </w:pPr>
      <w:r>
        <w:rPr>
          <w:b/>
        </w:rPr>
        <w:t xml:space="preserve">Organizational infrastructure</w:t>
      </w:r>
      <w:r>
        <w:rPr/>
        <w:t xml:space="preserve"> lowers coordination barriers and maintains continuity [6].</w:t>
      </w:r>
    </w:p>
    <w:p>
      <w:pPr>
        <w:numPr>
          <w:ilvl w:val="0"/>
          <w:numId w:val="6"/>
        </w:numPr>
        <w:spacing w:lineRule="auto"/>
      </w:pPr>
      <w:r>
        <w:rPr>
          <w:b/>
        </w:rPr>
        <w:t xml:space="preserve">Political liberalization</w:t>
      </w:r>
      <w:r>
        <w:rPr/>
        <w:t xml:space="preserve"> can open space for repeated mobilization [7].</w:t>
      </w:r>
    </w:p>
    <w:p>
      <w:pPr>
        <w:numPr>
          <w:ilvl w:val="0"/>
          <w:numId w:val="6"/>
        </w:numPr>
        <w:spacing w:lineRule="auto"/>
      </w:pPr>
      <w:r>
        <w:rPr>
          <w:b/>
        </w:rPr>
        <w:t xml:space="preserve">Economic or repressive threats</w:t>
      </w:r>
      <w:r>
        <w:rPr/>
        <w:t xml:space="preserve"> can heighten urgency and broaden engagement [7].</w:t>
      </w:r>
    </w:p>
    <w:p>
      <w:pPr>
        <w:numPr>
          <w:ilvl w:val="0"/>
          <w:numId w:val="6"/>
        </w:numPr>
        <w:spacing w:lineRule="auto"/>
      </w:pPr>
      <w:r>
        <w:rPr>
          <w:b/>
        </w:rPr>
        <w:t xml:space="preserve">Unifying frames</w:t>
      </w:r>
      <w:r>
        <w:rPr/>
        <w:t xml:space="preserve"> help connect distinct grievances [6] [7].</w:t>
      </w:r>
    </w:p>
    <w:p>
      <w:pPr>
        <w:numPr>
          <w:ilvl w:val="0"/>
          <w:numId w:val="6"/>
        </w:numPr>
        <w:spacing w:lineRule="auto"/>
      </w:pPr>
      <w:r>
        <w:rPr>
          <w:b/>
        </w:rPr>
        <w:t xml:space="preserve">Strategic alliances</w:t>
      </w:r>
      <w:r>
        <w:rPr/>
        <w:t xml:space="preserve"> reinforce scale and endurance [6].</w:t>
      </w:r>
    </w:p>
    <w:p>
      <w:pPr>
        <w:numPr>
          <w:ilvl w:val="0"/>
          <w:numId w:val="6"/>
        </w:numPr>
        <w:spacing w:lineRule="auto"/>
      </w:pPr>
      <w:r>
        <w:rPr>
          <w:b/>
        </w:rPr>
        <w:t xml:space="preserve">Issue specialization and postponed institutionalization</w:t>
      </w:r>
      <w:r>
        <w:rPr/>
        <w:t xml:space="preserve"> may prolong high mobilization rather than converting protest quickly into formal channels [7].</w:t>
      </w:r>
    </w:p>
    <w:p>
      <w:pPr>
        <w:spacing w:lineRule="auto"/>
      </w:pPr>
      <w:r>
        <w:rPr/>
        <w:t xml:space="preserve">An important implication is that persistence is not simply the residue of initial enthusiasm. It depends on infrastructures that keep localized episodes connected over time [6] [7]. This aligns with the broader synthesis that protest cycles endure when organizations and interpretive structures lower thresholds for continued engagement [6] [7] [27].</w:t>
      </w:r>
    </w:p>
    <w:p>
      <w:pPr>
        <w:spacing w:lineRule="auto"/>
      </w:pPr>
      <w:r>
        <w:rPr>
          <w:b/>
        </w:rPr>
        <w:t xml:space="preserve">Confidence level: High - sustaining conditions are explicitly identified across the supplied evidence [6] [7] [27].</w:t>
      </w:r>
    </w:p>
    <w:p>
      <w:pPr>
        <w:pStyle w:val="Heading2"/>
        <w:spacing w:lineRule="auto"/>
      </w:pPr>
      <w:r>
        <w:rPr/>
        <w:t xml:space="preserve">4. How Protest Cycles Spread and Transform</w:t>
      </w:r>
    </w:p>
    <w:p>
      <w:pPr>
        <w:pStyle w:val="Heading3"/>
        <w:spacing w:lineRule="auto"/>
      </w:pPr>
      <w:r>
        <w:rPr/>
        <w:t xml:space="preserve">4.1 Trigger Events, Repression, and Scale Shift</w:t>
      </w:r>
    </w:p>
    <w:p>
      <w:pPr>
        <w:spacing w:lineRule="auto"/>
      </w:pPr>
      <w:r>
        <w:rPr/>
        <w:t xml:space="preserve">The Gezi case is especially important because it shows how repression can transform fragmented contention into broader mass protest when the targeted cause is perceived as innocent [13]. In that account, repression does not just punish action; it changes the meaning of the conflict, deactivates boundaries, and alters perceptions of who “people like us” are, enabling scale shift from a narrower issue to wider mobilization [13].</w:t>
      </w:r>
    </w:p>
    <w:p>
      <w:pPr>
        <w:spacing w:lineRule="auto"/>
      </w:pPr>
      <w:r>
        <w:rPr/>
        <w:t xml:space="preserve">This is a crucial bridge between micro and macro dynamics. A trigger event becomes politically consequential not only because it is visible, but because it is interpreted in morally expansive ways [13].</w:t>
      </w:r>
      <w:r>
        <w:rPr/>
        <w:br w:type="textWrapping"/>
      </w:r>
      <w:r>
        <w:rPr>
          <w:b/>
        </w:rPr>
        <w:t xml:space="preserve">Inferred:</w:t>
      </w:r>
      <w:r>
        <w:rPr/>
        <w:t xml:space="preserve"> moral framing may be a key mechanism connecting policing tactics to large-scale diffusion, but this inference rests mainly on the supplied Gezi finding and related repression evidence, so it should be treated cautiously [13] [14] [16].</w:t>
      </w:r>
      <w:r>
        <w:rPr/>
        <w:br w:type="textWrapping"/>
      </w:r>
      <w:r>
        <w:rPr>
          <w:b/>
        </w:rPr>
        <w:t xml:space="preserve">Confidence level: Medium - strong support for the Gezi mechanism, but broader generalization is more inferential [13].</w:t>
      </w:r>
    </w:p>
    <w:p>
      <w:pPr>
        <w:pStyle w:val="Heading3"/>
        <w:spacing w:lineRule="auto"/>
      </w:pPr>
      <w:r>
        <w:rPr/>
        <w:t xml:space="preserve">4.2 Spatial and Temporal Diffusion</w:t>
      </w:r>
    </w:p>
    <w:p>
      <w:pPr>
        <w:spacing w:lineRule="auto"/>
      </w:pPr>
      <w:r>
        <w:rPr/>
        <w:t xml:space="preserve">Diffusion is neither automatic nor uniform [8] [9] [12]. Protest may move across cities, regions, and countries, but this movement is filtered by local institutions, cultural translation, public history, and organizational mediation [8] [9] [12]. Frames and repertoires can transfer across borders slowly rather than instantaneously, and imported forms may be reworked to fit local contexts [8] [9].</w:t>
      </w:r>
    </w:p>
    <w:p>
      <w:pPr>
        <w:spacing w:lineRule="auto"/>
      </w:pPr>
      <w:r>
        <w:rPr/>
        <w:t xml:space="preserve">This means protest cycles should not be imagined as linear contagion. The evidence instead supports </w:t>
      </w:r>
      <w:r>
        <w:rPr>
          <w:b/>
        </w:rPr>
        <w:t xml:space="preserve">selective diffusion</w:t>
      </w:r>
      <w:r>
        <w:rPr/>
        <w:t xml:space="preserve">, where some places adopt, adapt, or resist external influences depending on the fit between incoming models and local structures [8] [9] [12].</w:t>
      </w:r>
    </w:p>
    <w:p>
      <w:pPr>
        <w:pStyle w:val="Heading3"/>
        <w:spacing w:lineRule="auto"/>
      </w:pPr>
      <w:r>
        <w:rPr/>
        <w:t xml:space="preserve">4.3 Networks, Information Flows, and Persistent Hubs</w:t>
      </w:r>
    </w:p>
    <w:p>
      <w:pPr>
        <w:spacing w:lineRule="auto"/>
      </w:pPr>
      <w:r>
        <w:rPr/>
        <w:t xml:space="preserve">Network-oriented studies add a structural layer to diffusion explanations. Simulations emphasize information flows, influence flows, and the construction of joint action [10]. Global protest mapping suggests a small-world temporal network with persistent hubs capable of speeding spread across regions and countries [11].</w:t>
      </w:r>
    </w:p>
    <w:p>
      <w:pPr>
        <w:spacing w:lineRule="auto"/>
      </w:pPr>
      <w:r>
        <w:rPr/>
        <w:t xml:space="preserve">Taken together, these findings suggest that diffusion depends on both </w:t>
      </w:r>
      <w:r>
        <w:rPr>
          <w:b/>
        </w:rPr>
        <w:t xml:space="preserve">meaning</w:t>
      </w:r>
      <w:r>
        <w:rPr/>
        <w:t xml:space="preserve"> and </w:t>
      </w:r>
      <w:r>
        <w:rPr>
          <w:b/>
        </w:rPr>
        <w:t xml:space="preserve">structure</w:t>
      </w:r>
      <w:r>
        <w:rPr/>
        <w:t xml:space="preserve">: ideas must travel, but they also need channels through which they can travel efficiently [8] [10] [11].</w:t>
      </w:r>
      <w:r>
        <w:rPr/>
        <w:br w:type="textWrapping"/>
      </w:r>
      <w:r>
        <w:rPr>
          <w:b/>
        </w:rPr>
        <w:t xml:space="preserve">Inferred:</w:t>
      </w:r>
      <w:r>
        <w:rPr/>
        <w:t xml:space="preserve"> protest cycles may operate as a two-speed process, with rapid spread through communication networks and slower consolidation through organizations and institutions [11] [12] [26].</w:t>
      </w:r>
      <w:r>
        <w:rPr/>
        <w:br w:type="textWrapping"/>
      </w:r>
      <w:r>
        <w:rPr>
          <w:b/>
        </w:rPr>
        <w:t xml:space="preserve">Confidence level: Medium - the components are evidenced, but the “two-speed” formulation is a synthesis rather than a direct finding [11] [12] [26].</w:t>
      </w:r>
    </w:p>
    <w:p>
      <w:pPr>
        <w:pStyle w:val="Heading2"/>
        <w:spacing w:lineRule="auto"/>
      </w:pPr>
      <w:r>
        <w:rPr/>
        <w:t xml:space="preserve">5. State Response, Escalation, and De-escalation</w:t>
      </w:r>
    </w:p>
    <w:p>
      <w:pPr>
        <w:spacing w:lineRule="auto"/>
      </w:pPr>
      <w:r>
        <w:rPr/>
        <w:t xml:space="preserve">The strongest contradiction in the literature concerns repression [14] [15] [16] [17]. Repression can deter future protest, but it can also intensify it through backlash, radicalization, oscillation, or scale shift [13] [14] [16] [17]. The effect depends on </w:t>
      </w:r>
      <w:r>
        <w:rPr>
          <w:b/>
        </w:rPr>
        <w:t xml:space="preserve">severity, selectivity, tactical form, timing, and interpretation</w:t>
      </w:r>
      <w:r>
        <w:rPr/>
        <w:t xml:space="preserve"> [14] [15].</w:t>
      </w:r>
    </w:p>
    <w:p>
      <w:pPr>
        <w:spacing w:lineRule="auto"/>
      </w:pPr>
      <w:r>
        <w:rPr/>
        <w:t xml:space="preserve">This is not a minor caveat; it is a core theoretical result. There is no single repression-protest law in the supplied evidence [14] [15] [16] [17]. Short-term effects may differ from longer-term effects, and tactical forms of policing matter more than abstract counts of coercion [14] [15].</w:t>
      </w:r>
    </w:p>
    <w:p>
      <w:pPr>
        <w:spacing w:lineRule="auto"/>
      </w:pPr>
      <w:r>
        <w:rPr/>
        <w:t xml:space="preserve">At the same time, escalation and de-escalation are interactive processes between challengers and governments [18] [20]. Some campaigns grow rapidly and then demobilize without major concessions, indicating that protest intensity alone does not ensure policy success [18] [20]. State choice also depends on the relative costs it faces: high concession costs tend to produce coercion, while high disruption costs can make accommodation more attractive [19].</w:t>
      </w:r>
    </w:p>
    <w:p>
      <w:pPr>
        <w:spacing w:lineRule="auto"/>
      </w:pPr>
      <w:r>
        <w:rPr/>
        <w:t xml:space="preserve">These findings support a strategic model of protest cycles in which states adapt rather than merely react [18] [19] [20]. Decline, therefore, may result from accommodation, coercion, institutionalization, violence, or organizational transformation rather than simple exhaustion [3] [18] [19].</w:t>
      </w:r>
    </w:p>
    <w:p>
      <w:pPr>
        <w:spacing w:lineRule="auto"/>
      </w:pPr>
      <w:r>
        <w:rPr>
          <w:b/>
        </w:rPr>
        <w:t xml:space="preserve">Confidence level: High - multiple supplied studies converge on contingent repression and strategic interaction [14] [15] [16] [17] [18] [19] [20].</w:t>
      </w:r>
    </w:p>
    <w:p>
      <w:pPr>
        <w:pStyle w:val="Heading2"/>
        <w:spacing w:lineRule="auto"/>
      </w:pPr>
      <w:r>
        <w:rPr/>
        <w:t xml:space="preserve">6. Political, Electoral, and Organizational Consequences</w:t>
      </w:r>
    </w:p>
    <w:p>
      <w:pPr>
        <w:spacing w:lineRule="auto"/>
      </w:pPr>
      <w:r>
        <w:rPr/>
        <w:t xml:space="preserve">The consequences of protest cycles extend beyond immediate street outcomes [22] [24] [25]. The supplied evidence indicates effects on:</w:t>
      </w:r>
    </w:p>
    <w:p>
      <w:pPr>
        <w:numPr>
          <w:ilvl w:val="0"/>
          <w:numId w:val="7"/>
        </w:numPr>
        <w:spacing w:lineRule="auto"/>
      </w:pPr>
      <w:r>
        <w:rPr>
          <w:b/>
        </w:rPr>
        <w:t xml:space="preserve">Electoral instability</w:t>
      </w:r>
      <w:r>
        <w:rPr/>
        <w:t xml:space="preserve"> [22]</w:t>
      </w:r>
    </w:p>
    <w:p>
      <w:pPr>
        <w:numPr>
          <w:ilvl w:val="0"/>
          <w:numId w:val="7"/>
        </w:numPr>
        <w:spacing w:lineRule="auto"/>
      </w:pPr>
      <w:r>
        <w:rPr>
          <w:b/>
        </w:rPr>
        <w:t xml:space="preserve">Lower trust in government</w:t>
      </w:r>
      <w:r>
        <w:rPr/>
        <w:t xml:space="preserve"> [24]</w:t>
      </w:r>
    </w:p>
    <w:p>
      <w:pPr>
        <w:numPr>
          <w:ilvl w:val="0"/>
          <w:numId w:val="7"/>
        </w:numPr>
        <w:spacing w:lineRule="auto"/>
      </w:pPr>
      <w:r>
        <w:rPr>
          <w:b/>
        </w:rPr>
        <w:t xml:space="preserve">Vote-share changes and opposition gains</w:t>
      </w:r>
      <w:r>
        <w:rPr/>
        <w:t xml:space="preserve"> [25]</w:t>
      </w:r>
    </w:p>
    <w:p>
      <w:pPr>
        <w:numPr>
          <w:ilvl w:val="0"/>
          <w:numId w:val="7"/>
        </w:numPr>
        <w:spacing w:lineRule="auto"/>
      </w:pPr>
      <w:r>
        <w:rPr>
          <w:b/>
        </w:rPr>
        <w:t xml:space="preserve">Openings for new parties or restructured competition</w:t>
      </w:r>
      <w:r>
        <w:rPr/>
        <w:t xml:space="preserve"> [22] [25]</w:t>
      </w:r>
    </w:p>
    <w:p>
      <w:pPr>
        <w:spacing w:lineRule="auto"/>
      </w:pPr>
      <w:r>
        <w:rPr/>
        <w:t xml:space="preserve">This matters because cycles can be politically consequential even when they do not win major concessions during peak contention [18] [20] [22]. Protest may fail in immediate bargaining terms yet still alter public alignments, party opportunities, or the credibility of incumbents [24] [25].</w:t>
      </w:r>
    </w:p>
    <w:p>
      <w:pPr>
        <w:spacing w:lineRule="auto"/>
      </w:pPr>
      <w:r>
        <w:rPr/>
        <w:t xml:space="preserve">Organizational consequences are also significant. Organizational density, coalition work, and internal competition shape whether protest persists, spreads, or declines across the movement life course [3] [23] [27]. Long-term effects of repression vary as well: where people resist repression rather than withdrawing, later activism and public-goods-oriented engagement can be sustained through learning effects [21].</w:t>
      </w:r>
    </w:p>
    <w:p>
      <w:pPr>
        <w:spacing w:lineRule="auto"/>
      </w:pPr>
      <w:r>
        <w:rPr/>
        <w:t xml:space="preserve">Taken together, these findings suggest that demobilization should not automatically be treated as failure [21] [23]. Street decline may coexist with institutionalization, electoral spillover, or activist learning.</w:t>
      </w:r>
      <w:r>
        <w:rPr/>
        <w:br w:type="textWrapping"/>
      </w:r>
      <w:r>
        <w:rPr>
          <w:b/>
        </w:rPr>
        <w:t xml:space="preserve">Confidence level: High - the evidence directly supports system-level and long-term consequences [21] [22] [23] [24] [25] [27].</w:t>
      </w:r>
    </w:p>
    <w:p>
      <w:pPr>
        <w:pStyle w:val="Heading2"/>
        <w:spacing w:lineRule="auto"/>
      </w:pPr>
      <w:r>
        <w:rPr/>
        <w:t xml:space="preserve">7. Digital Mediation and Rapid Intensification</w:t>
      </w:r>
    </w:p>
    <w:p>
      <w:pPr>
        <w:spacing w:lineRule="auto"/>
      </w:pPr>
      <w:r>
        <w:rPr/>
        <w:t xml:space="preserve">Social media can accelerate protest cycles by enabling rapid consolidation, expansion, and intensification of decentralized contention [26]. This supports the idea that digital media compress the time needed for coordination and amplification [26].</w:t>
      </w:r>
    </w:p>
    <w:p>
      <w:pPr>
        <w:spacing w:lineRule="auto"/>
      </w:pPr>
      <w:r>
        <w:rPr/>
        <w:t xml:space="preserve">However, the broader evidence implies that digital communication is not a substitute for organizational and network capacity [10] [11] [27]. Information flows and persistent hubs matter, and diffusion remains mediated by organizations, institutions, and local histories [11] [12]. Thus, digital media appear best understood as </w:t>
      </w:r>
      <w:r>
        <w:rPr>
          <w:b/>
        </w:rPr>
        <w:t xml:space="preserve">accelerators of existing relational structures</w:t>
      </w:r>
      <w:r>
        <w:rPr/>
        <w:t xml:space="preserve">, not self-sufficient engines of sustained contention [11] [12] [26].</w:t>
      </w:r>
    </w:p>
    <w:p>
      <w:pPr>
        <w:spacing w:lineRule="auto"/>
      </w:pPr>
      <w:r>
        <w:rPr>
          <w:b/>
        </w:rPr>
        <w:t xml:space="preserve">Confidence level: Medium - direct support for acceleration is strong, but the “not a substitute” conclusion is a cautious cross-source synthesis [10] [11] [12] [26].</w:t>
      </w:r>
    </w:p>
    <w:p>
      <w:pPr>
        <w:pStyle w:val="Heading2"/>
        <w:spacing w:lineRule="auto"/>
      </w:pPr>
      <w:r>
        <w:rPr/>
        <w:t xml:space="preserve">8. Methodological Disagreement and What It Means</w:t>
      </w:r>
    </w:p>
    <w:p>
      <w:pPr>
        <w:spacing w:lineRule="auto"/>
      </w:pPr>
      <w:r>
        <w:rPr/>
        <w:t xml:space="preserve">Methodological disagreement remains substantial [1] [2] [10] [11] [15]. Researchers operationalize protest cycles in different ways: above-normal protest activity, event-history onset and decline, conceptual distinctions among waves and cycles, simulations of diffusion, and network-based global mapping [1] [3] [10] [11]. This diversity is analytically productive, but it makes comparison difficult and helps explain why findings on triggers and repression sometimes diverge [15].</w:t>
      </w:r>
    </w:p>
    <w:p>
      <w:pPr>
        <w:spacing w:lineRule="auto"/>
      </w:pPr>
      <w:r>
        <w:rPr/>
        <w:t xml:space="preserve">A practical takeaway is that scholars are often studying related but non-identical phenomena under adjacent labels [1] [2]. Some are measuring intensity; others are explaining relational transformation [1] [2]. Some treat repression as an event; others disaggregate it by tactic and time horizon [14] [15]. For interpretation, this means apparent disagreement sometimes reflects different research designs rather than direct contradiction.</w:t>
      </w:r>
    </w:p>
    <w:p>
      <w:pPr>
        <w:spacing w:lineRule="auto"/>
      </w:pPr>
      <w:r>
        <w:rPr>
          <w:b/>
        </w:rPr>
        <w:t xml:space="preserve">Confidence level: High - the supplied meta-analysis explicitly identifies methodological heterogeneity as a major issue [1] [2] [10] [11] [15].</w:t>
      </w:r>
    </w:p>
    <w:p>
      <w:pPr>
        <w:pStyle w:val="Heading2"/>
        <w:spacing w:lineRule="auto"/>
      </w:pPr>
      <w:r>
        <w:rPr/>
        <w:t xml:space="preserve">Conclusion</w:t>
      </w:r>
    </w:p>
    <w:p>
      <w:pPr>
        <w:spacing w:lineRule="auto"/>
      </w:pPr>
      <w:r>
        <w:rPr/>
        <w:t xml:space="preserve">The supplied literature supports a clear overall interpretation: protest cycles are </w:t>
      </w:r>
      <w:r>
        <w:rPr>
          <w:b/>
        </w:rPr>
        <w:t xml:space="preserve">clustered, relational, and politically consequential processes</w:t>
      </w:r>
      <w:r>
        <w:rPr/>
        <w:t xml:space="preserve"> rather than simple spikes in protest frequency [1] [2]. They emerge through the interaction of opportunities, framing, organizations, and diffusion [3] [5] [6]. They spread unevenly through networks, cultural translation, and institutional mediation [8] [9] [10] [11] [12]. They are reshaped by strategic interaction with states, especially through contingent forms of repression and accommodation [14] [17] [18] [19]. And they often leave consequences that outlast the protest peak, including electoral change, organizational learning, and sustained political engagement [21] [22] [23] [25].</w:t>
      </w:r>
    </w:p>
    <w:p>
      <w:pPr>
        <w:spacing w:lineRule="auto"/>
      </w:pPr>
      <w:r>
        <w:rPr/>
        <w:t xml:space="preserve">The main unresolved issue is not whether protest cycles exist, but how best to identify them consistently and explain variation in their trajectories and outcomes across cases [1] [2] [15].</w:t>
      </w:r>
      <w:r>
        <w:rPr/>
        <w:br w:type="textWrapping"/>
      </w:r>
      <w:r>
        <w:rPr>
          <w:b/>
        </w:rPr>
        <w:t xml:space="preserve">Overall confidence level: High - the main conclusions are supported by multiple convergent sources, with uncertainty concentrated in measurement and causal sequencing rather than in the existence of protest cycles as an analytic phenomenon [1] [2] [3] [15] [22].</w:t>
      </w:r>
    </w:p>
    <w:p>
      <w:pPr>
        <w:pStyle w:val="Heading2"/>
        <w:spacing w:lineRule="auto"/>
      </w:pPr>
      <w:r>
        <w:rPr/>
        <w:t xml:space="preserve">References</w:t>
      </w:r>
    </w:p>
    <w:p>
      <w:pPr>
        <w:numPr>
          <w:ilvl w:val="0"/>
          <w:numId w:val="8"/>
        </w:numPr>
        <w:spacing w:lineRule="auto"/>
      </w:pPr>
      <w:r>
        <w:rPr/>
        <w:t xml:space="preserve">Schoene, M. (2020) Protest wave or protest spike? An examination of european protest activity, 2008-2012. </w:t>
      </w:r>
      <w:r>
        <w:rPr>
          <w:i/>
        </w:rPr>
        <w:t xml:space="preserve">Contention</w:t>
      </w:r>
      <w:r>
        <w:rPr/>
        <w:t xml:space="preserve">. </w:t>
      </w:r>
      <w:hyperlink r:id="rId6">
        <w:r>
          <w:rPr>
            <w:rStyle w:val="Hyperlink"/>
          </w:rPr>
          <w:t xml:space="preserve">https://doi.org/10.3167/CONT.2018.060203</w:t>
        </w:r>
      </w:hyperlink>
    </w:p>
    <w:p>
      <w:pPr>
        <w:numPr>
          <w:ilvl w:val="0"/>
          <w:numId w:val="8"/>
        </w:numPr>
        <w:spacing w:lineRule="auto"/>
      </w:pPr>
      <w:r>
        <w:rPr/>
        <w:t xml:space="preserve">Inclán, M. (2017) In the shadow of sidney Tarrow's Legacy: Concepts in the study of protest movements. </w:t>
      </w:r>
      <w:r>
        <w:rPr>
          <w:i/>
        </w:rPr>
        <w:t xml:space="preserve">Politica y Gobierno</w:t>
      </w:r>
      <w:r>
        <w:rPr/>
        <w:t xml:space="preserve">. </w:t>
      </w:r>
      <w:hyperlink r:id="rId7">
        <w:r>
          <w:rPr>
            <w:rStyle w:val="Hyperlink"/>
          </w:rPr>
          <w:t xml:space="preserve">https://www.scopus.com/pages/publications/85029635750</w:t>
        </w:r>
      </w:hyperlink>
    </w:p>
    <w:p>
      <w:pPr>
        <w:numPr>
          <w:ilvl w:val="0"/>
          <w:numId w:val="8"/>
        </w:numPr>
        <w:spacing w:lineRule="auto"/>
      </w:pPr>
      <w:r>
        <w:rPr/>
        <w:t xml:space="preserve">Jung, J.K. (2010) Disentangling protest cycles: An event-history analysis of new social movements in Western Europe. </w:t>
      </w:r>
      <w:r>
        <w:rPr>
          <w:i/>
        </w:rPr>
        <w:t xml:space="preserve">Mobilization</w:t>
      </w:r>
      <w:r>
        <w:rPr/>
        <w:t xml:space="preserve">. </w:t>
      </w:r>
      <w:hyperlink r:id="rId8">
        <w:r>
          <w:rPr>
            <w:rStyle w:val="Hyperlink"/>
          </w:rPr>
          <w:t xml:space="preserve">https://www.scopus.com/pages/publications/79956186456</w:t>
        </w:r>
      </w:hyperlink>
    </w:p>
    <w:p>
      <w:pPr>
        <w:numPr>
          <w:ilvl w:val="0"/>
          <w:numId w:val="8"/>
        </w:numPr>
        <w:spacing w:lineRule="auto"/>
      </w:pPr>
      <w:r>
        <w:rPr/>
        <w:t xml:space="preserve">Benford, R.D. (2013) Master Frame. </w:t>
      </w:r>
      <w:r>
        <w:rPr>
          <w:i/>
        </w:rPr>
        <w:t xml:space="preserve">The Wiley-Blackwell Encyclopedia of Social and Political Movements</w:t>
      </w:r>
      <w:r>
        <w:rPr/>
        <w:t xml:space="preserve">. </w:t>
      </w:r>
      <w:hyperlink r:id="rId9">
        <w:r>
          <w:rPr>
            <w:rStyle w:val="Hyperlink"/>
          </w:rPr>
          <w:t xml:space="preserve">https://doi.org/10.1002/9780470674871.wbespm126</w:t>
        </w:r>
      </w:hyperlink>
    </w:p>
    <w:p>
      <w:pPr>
        <w:numPr>
          <w:ilvl w:val="0"/>
          <w:numId w:val="8"/>
        </w:numPr>
        <w:spacing w:lineRule="auto"/>
      </w:pPr>
      <w:r>
        <w:rPr/>
        <w:t xml:space="preserve">Benford, R.D. (2013) Master Frame. </w:t>
      </w:r>
      <w:r>
        <w:rPr>
          <w:i/>
        </w:rPr>
        <w:t xml:space="preserve">The Wiley-Blackwell Encyclopedia of Social and Political Movements</w:t>
      </w:r>
      <w:r>
        <w:rPr/>
        <w:t xml:space="preserve">. </w:t>
      </w:r>
      <w:hyperlink r:id="rId10">
        <w:r>
          <w:rPr>
            <w:rStyle w:val="Hyperlink"/>
          </w:rPr>
          <w:t xml:space="preserve">https://doi.org/10.1002/9780470674871.wbespm126.pub2</w:t>
        </w:r>
      </w:hyperlink>
    </w:p>
    <w:p>
      <w:pPr>
        <w:numPr>
          <w:ilvl w:val="0"/>
          <w:numId w:val="8"/>
        </w:numPr>
        <w:spacing w:lineRule="auto"/>
      </w:pPr>
      <w:r>
        <w:rPr/>
        <w:t xml:space="preserve">Portos, M. (2016) Taking to the streets in the shadow of austerity: A chronology of the cycle of protests in Spain, 2007-2015. </w:t>
      </w:r>
      <w:r>
        <w:rPr>
          <w:i/>
        </w:rPr>
        <w:t xml:space="preserve">Partecipazione e Conflitto</w:t>
      </w:r>
      <w:r>
        <w:rPr/>
        <w:t xml:space="preserve">. </w:t>
      </w:r>
      <w:hyperlink r:id="rId11">
        <w:r>
          <w:rPr>
            <w:rStyle w:val="Hyperlink"/>
          </w:rPr>
          <w:t xml:space="preserve">https://doi.org/10.1285/i20356609v9i1p181</w:t>
        </w:r>
      </w:hyperlink>
    </w:p>
    <w:p>
      <w:pPr>
        <w:numPr>
          <w:ilvl w:val="0"/>
          <w:numId w:val="8"/>
        </w:numPr>
        <w:spacing w:lineRule="auto"/>
      </w:pPr>
      <w:r>
        <w:rPr/>
        <w:t xml:space="preserve">Almeida, P. (2023) Protest Waves in Latin America Facilitating Conditions and Outcomes. </w:t>
      </w:r>
      <w:r>
        <w:rPr>
          <w:i/>
        </w:rPr>
        <w:t xml:space="preserve">The Oxford Handbook of Latin American Social Movements</w:t>
      </w:r>
      <w:r>
        <w:rPr/>
        <w:t xml:space="preserve">. </w:t>
      </w:r>
      <w:hyperlink r:id="rId12">
        <w:r>
          <w:rPr>
            <w:rStyle w:val="Hyperlink"/>
          </w:rPr>
          <w:t xml:space="preserve">https://doi.org/10.1093/oxfordhb/9780190870362.013.13</w:t>
        </w:r>
      </w:hyperlink>
    </w:p>
    <w:p>
      <w:pPr>
        <w:numPr>
          <w:ilvl w:val="0"/>
          <w:numId w:val="8"/>
        </w:numPr>
        <w:spacing w:lineRule="auto"/>
      </w:pPr>
      <w:r>
        <w:rPr/>
        <w:t xml:space="preserve">Gerbaudo, P. (2013) Protest Diffusion and Cultural Resonance in the 2011 Protest Wave. </w:t>
      </w:r>
      <w:r>
        <w:rPr>
          <w:i/>
        </w:rPr>
        <w:t xml:space="preserve">International Spectator</w:t>
      </w:r>
      <w:r>
        <w:rPr/>
        <w:t xml:space="preserve">. </w:t>
      </w:r>
      <w:hyperlink r:id="rId13">
        <w:r>
          <w:rPr>
            <w:rStyle w:val="Hyperlink"/>
          </w:rPr>
          <w:t xml:space="preserve">https://doi.org/10.1080/03932729.2013.847689</w:t>
        </w:r>
      </w:hyperlink>
    </w:p>
    <w:p>
      <w:pPr>
        <w:numPr>
          <w:ilvl w:val="0"/>
          <w:numId w:val="8"/>
        </w:numPr>
        <w:spacing w:lineRule="auto"/>
      </w:pPr>
      <w:r>
        <w:rPr/>
        <w:t xml:space="preserve">Haydu, J. (2020) Adding time to social movement diffusion. </w:t>
      </w:r>
      <w:r>
        <w:rPr>
          <w:i/>
        </w:rPr>
        <w:t xml:space="preserve">Social Movement Studies</w:t>
      </w:r>
      <w:r>
        <w:rPr/>
        <w:t xml:space="preserve">. </w:t>
      </w:r>
      <w:hyperlink r:id="rId14">
        <w:r>
          <w:rPr>
            <w:rStyle w:val="Hyperlink"/>
          </w:rPr>
          <w:t xml:space="preserve">https://doi.org/10.1080/14742837.2019.1599851</w:t>
        </w:r>
      </w:hyperlink>
    </w:p>
    <w:p>
      <w:pPr>
        <w:numPr>
          <w:ilvl w:val="0"/>
          <w:numId w:val="8"/>
        </w:numPr>
        <w:spacing w:lineRule="auto"/>
      </w:pPr>
      <w:r>
        <w:rPr/>
        <w:t xml:space="preserve">Oliver, P.E., Myers, D.J. (2003) Networks, Diffusion, and Cycles of Collective Action. </w:t>
      </w:r>
      <w:r>
        <w:rPr>
          <w:i/>
        </w:rPr>
        <w:t xml:space="preserve">Social Movements and Networks: Relational Approaches to Collective Action</w:t>
      </w:r>
      <w:r>
        <w:rPr/>
        <w:t xml:space="preserve">. </w:t>
      </w:r>
      <w:hyperlink r:id="rId15">
        <w:r>
          <w:rPr>
            <w:rStyle w:val="Hyperlink"/>
          </w:rPr>
          <w:t xml:space="preserve">https://doi.org/10.1093/0199251789.003.0008</w:t>
        </w:r>
      </w:hyperlink>
    </w:p>
    <w:p>
      <w:pPr>
        <w:numPr>
          <w:ilvl w:val="0"/>
          <w:numId w:val="8"/>
        </w:numPr>
        <w:spacing w:lineRule="auto"/>
      </w:pPr>
      <w:r>
        <w:rPr/>
        <w:t xml:space="preserve">Ferreira, L.N., Hong, I., Rutherford, A., Cebrían, M. (2021) The small-world network of global protests. </w:t>
      </w:r>
      <w:r>
        <w:rPr>
          <w:i/>
        </w:rPr>
        <w:t xml:space="preserve">Scientific Reports</w:t>
      </w:r>
      <w:r>
        <w:rPr/>
        <w:t xml:space="preserve">. </w:t>
      </w:r>
      <w:hyperlink r:id="rId16">
        <w:r>
          <w:rPr>
            <w:rStyle w:val="Hyperlink"/>
          </w:rPr>
          <w:t xml:space="preserve">https://doi.org/10.1038/s41598-021-98628-y</w:t>
        </w:r>
      </w:hyperlink>
    </w:p>
    <w:p>
      <w:pPr>
        <w:numPr>
          <w:ilvl w:val="0"/>
          <w:numId w:val="8"/>
        </w:numPr>
        <w:spacing w:lineRule="auto"/>
      </w:pPr>
      <w:r>
        <w:rPr/>
        <w:t xml:space="preserve">Weyland, K. (2009) The diffusion of revolution: 1848 in Europe and Latin America. </w:t>
      </w:r>
      <w:r>
        <w:rPr>
          <w:i/>
        </w:rPr>
        <w:t xml:space="preserve">International Organization</w:t>
      </w:r>
      <w:r>
        <w:rPr/>
        <w:t xml:space="preserve">. </w:t>
      </w:r>
      <w:hyperlink r:id="rId17">
        <w:r>
          <w:rPr>
            <w:rStyle w:val="Hyperlink"/>
          </w:rPr>
          <w:t xml:space="preserve">https://doi.org/10.1017/S0020818309090146</w:t>
        </w:r>
      </w:hyperlink>
    </w:p>
    <w:p>
      <w:pPr>
        <w:numPr>
          <w:ilvl w:val="0"/>
          <w:numId w:val="8"/>
        </w:numPr>
        <w:spacing w:lineRule="auto"/>
      </w:pPr>
      <w:r>
        <w:rPr/>
        <w:t xml:space="preserve">Över, D., Taraktaş, B. (2017) When does repression trigger mass protest? the 2013 Gezi protests. </w:t>
      </w:r>
      <w:r>
        <w:rPr>
          <w:i/>
        </w:rPr>
        <w:t xml:space="preserve">Research in Social Movements, Conflicts and Change</w:t>
      </w:r>
      <w:r>
        <w:rPr/>
        <w:t xml:space="preserve">. </w:t>
      </w:r>
      <w:hyperlink r:id="rId18">
        <w:r>
          <w:rPr>
            <w:rStyle w:val="Hyperlink"/>
          </w:rPr>
          <w:t xml:space="preserve">https://doi.org/10.1108/s0163-786x20170000041017</w:t>
        </w:r>
      </w:hyperlink>
    </w:p>
    <w:p>
      <w:pPr>
        <w:numPr>
          <w:ilvl w:val="0"/>
          <w:numId w:val="8"/>
        </w:numPr>
        <w:spacing w:lineRule="auto"/>
      </w:pPr>
      <w:r>
        <w:rPr/>
        <w:t xml:space="preserve">Castro, F. (2025) DETERRENCE OR DEFIANCE? HOW SEVERITY AND SELECTIVITY SHAPE PROTEST RESPONSES TO REPRESSION*. </w:t>
      </w:r>
      <w:r>
        <w:rPr>
          <w:i/>
        </w:rPr>
        <w:t xml:space="preserve">Mobilization</w:t>
      </w:r>
      <w:r>
        <w:rPr/>
        <w:t xml:space="preserve">. </w:t>
      </w:r>
      <w:hyperlink r:id="rId19">
        <w:r>
          <w:rPr>
            <w:rStyle w:val="Hyperlink"/>
          </w:rPr>
          <w:t xml:space="preserve">https://doi.org/10.17813/1086-671X-30-4-387</w:t>
        </w:r>
      </w:hyperlink>
    </w:p>
    <w:p>
      <w:pPr>
        <w:numPr>
          <w:ilvl w:val="0"/>
          <w:numId w:val="8"/>
        </w:numPr>
        <w:spacing w:lineRule="auto"/>
      </w:pPr>
      <w:r>
        <w:rPr/>
        <w:t xml:space="preserve">Earl, J., Soule, S.A. (2025) The Impacts of Repression: The Effect of Police Presence and Action on Subsequent Protest Rates. </w:t>
      </w:r>
      <w:r>
        <w:rPr>
          <w:i/>
        </w:rPr>
        <w:t xml:space="preserve">Research in Social Movements, Conflicts and Change</w:t>
      </w:r>
      <w:r>
        <w:rPr/>
        <w:t xml:space="preserve">. </w:t>
      </w:r>
      <w:hyperlink r:id="rId20">
        <w:r>
          <w:rPr>
            <w:rStyle w:val="Hyperlink"/>
          </w:rPr>
          <w:t xml:space="preserve">https://doi.org/10.1108/s0163-786x(2010)0000030006</w:t>
        </w:r>
      </w:hyperlink>
    </w:p>
    <w:p>
      <w:pPr>
        <w:numPr>
          <w:ilvl w:val="0"/>
          <w:numId w:val="8"/>
        </w:numPr>
        <w:spacing w:lineRule="auto"/>
      </w:pPr>
      <w:r>
        <w:rPr/>
        <w:t xml:space="preserve">Akhremenko, A., Petrov, A. (2020) Modeling the protest-repression nexus. </w:t>
      </w:r>
      <w:r>
        <w:rPr>
          <w:i/>
        </w:rPr>
        <w:t xml:space="preserve">CEUR Workshop Proceedings</w:t>
      </w:r>
      <w:r>
        <w:rPr/>
        <w:t xml:space="preserve">. </w:t>
      </w:r>
      <w:hyperlink r:id="rId21">
        <w:r>
          <w:rPr>
            <w:rStyle w:val="Hyperlink"/>
          </w:rPr>
          <w:t xml:space="preserve">https://www.scopus.com/pages/publications/85098953825</w:t>
        </w:r>
      </w:hyperlink>
    </w:p>
    <w:p>
      <w:pPr>
        <w:numPr>
          <w:ilvl w:val="0"/>
          <w:numId w:val="8"/>
        </w:numPr>
        <w:spacing w:lineRule="auto"/>
      </w:pPr>
      <w:r>
        <w:rPr/>
        <w:t xml:space="preserve">Volpert, V. (2024) Mathematical model of repressive response to collective action and protest waves. </w:t>
      </w:r>
      <w:r>
        <w:rPr>
          <w:i/>
        </w:rPr>
        <w:t xml:space="preserve">Journal of Theoretical Biology</w:t>
      </w:r>
      <w:r>
        <w:rPr/>
        <w:t xml:space="preserve">. </w:t>
      </w:r>
      <w:hyperlink r:id="rId22">
        <w:r>
          <w:rPr>
            <w:rStyle w:val="Hyperlink"/>
          </w:rPr>
          <w:t xml:space="preserve">https://doi.org/10.1016/j.jtbi.2024.111970</w:t>
        </w:r>
      </w:hyperlink>
    </w:p>
    <w:p>
      <w:pPr>
        <w:numPr>
          <w:ilvl w:val="0"/>
          <w:numId w:val="8"/>
        </w:numPr>
        <w:spacing w:lineRule="auto"/>
      </w:pPr>
      <w:r>
        <w:rPr/>
        <w:t xml:space="preserve">Demirel-Pegg, T. (2020) The Gezi Park Protests and the Escalation and De-Escalation of Political Contention. </w:t>
      </w:r>
      <w:r>
        <w:rPr>
          <w:i/>
        </w:rPr>
        <w:t xml:space="preserve">Journal of Balkan and Near Eastern Studies</w:t>
      </w:r>
      <w:r>
        <w:rPr/>
        <w:t xml:space="preserve">. </w:t>
      </w:r>
      <w:hyperlink r:id="rId23">
        <w:r>
          <w:rPr>
            <w:rStyle w:val="Hyperlink"/>
          </w:rPr>
          <w:t xml:space="preserve">https://doi.org/10.1080/19448953.2018.1506298</w:t>
        </w:r>
      </w:hyperlink>
    </w:p>
    <w:p>
      <w:pPr>
        <w:numPr>
          <w:ilvl w:val="0"/>
          <w:numId w:val="8"/>
        </w:numPr>
        <w:spacing w:lineRule="auto"/>
      </w:pPr>
      <w:r>
        <w:rPr/>
        <w:t xml:space="preserve">Klein, G.R., Regan, P.M. (2018) Dynamics of Political Protests. </w:t>
      </w:r>
      <w:r>
        <w:rPr>
          <w:i/>
        </w:rPr>
        <w:t xml:space="preserve">International Organization</w:t>
      </w:r>
      <w:r>
        <w:rPr/>
        <w:t xml:space="preserve">. </w:t>
      </w:r>
      <w:hyperlink r:id="rId24">
        <w:r>
          <w:rPr>
            <w:rStyle w:val="Hyperlink"/>
          </w:rPr>
          <w:t xml:space="preserve">https://doi.org/10.1017/S0020818318000061</w:t>
        </w:r>
      </w:hyperlink>
    </w:p>
    <w:p>
      <w:pPr>
        <w:numPr>
          <w:ilvl w:val="0"/>
          <w:numId w:val="8"/>
        </w:numPr>
        <w:spacing w:lineRule="auto"/>
      </w:pPr>
      <w:r>
        <w:rPr/>
        <w:t xml:space="preserve">Ellefsen, R. (2021) THE UNINTENDED CONSEQUENCES of ESCALATED REPRESSION*. </w:t>
      </w:r>
      <w:r>
        <w:rPr>
          <w:i/>
        </w:rPr>
        <w:t xml:space="preserve">Mobilization</w:t>
      </w:r>
      <w:r>
        <w:rPr/>
        <w:t xml:space="preserve">. </w:t>
      </w:r>
      <w:hyperlink r:id="rId25">
        <w:r>
          <w:rPr>
            <w:rStyle w:val="Hyperlink"/>
          </w:rPr>
          <w:t xml:space="preserve">https://doi.org/10.17813/1086-671X-26-1-87</w:t>
        </w:r>
      </w:hyperlink>
    </w:p>
    <w:p>
      <w:pPr>
        <w:numPr>
          <w:ilvl w:val="0"/>
          <w:numId w:val="8"/>
        </w:numPr>
        <w:spacing w:lineRule="auto"/>
      </w:pPr>
      <w:r>
        <w:rPr/>
        <w:t xml:space="preserve">Son, S. (2025) Legacy of Resisting State Repression: Evidence From Gwangju Uprising in South Korea. </w:t>
      </w:r>
      <w:r>
        <w:rPr>
          <w:i/>
        </w:rPr>
        <w:t xml:space="preserve">Comparative Political Studies</w:t>
      </w:r>
      <w:r>
        <w:rPr/>
        <w:t xml:space="preserve">. </w:t>
      </w:r>
      <w:hyperlink r:id="rId26">
        <w:r>
          <w:rPr>
            <w:rStyle w:val="Hyperlink"/>
          </w:rPr>
          <w:t xml:space="preserve">https://doi.org/10.1177/00104140251392527</w:t>
        </w:r>
      </w:hyperlink>
    </w:p>
    <w:p>
      <w:pPr>
        <w:numPr>
          <w:ilvl w:val="0"/>
          <w:numId w:val="8"/>
        </w:numPr>
        <w:spacing w:lineRule="auto"/>
      </w:pPr>
      <w:r>
        <w:rPr/>
        <w:t xml:space="preserve">Banaszak, L.A. (1996) When waves collide: Cycles of protest and the Swiss and American women's movements. </w:t>
      </w:r>
      <w:r>
        <w:rPr>
          <w:i/>
        </w:rPr>
        <w:t xml:space="preserve">Political Research Quarterly</w:t>
      </w:r>
      <w:r>
        <w:rPr/>
        <w:t xml:space="preserve">. </w:t>
      </w:r>
      <w:hyperlink r:id="rId27">
        <w:r>
          <w:rPr>
            <w:rStyle w:val="Hyperlink"/>
          </w:rPr>
          <w:t xml:space="preserve">https://doi.org/10.1177/106591299604900409</w:t>
        </w:r>
      </w:hyperlink>
    </w:p>
    <w:p>
      <w:pPr>
        <w:numPr>
          <w:ilvl w:val="0"/>
          <w:numId w:val="8"/>
        </w:numPr>
        <w:spacing w:lineRule="auto"/>
      </w:pPr>
      <w:r>
        <w:rPr/>
        <w:t xml:space="preserve">Minkoff, D.C. (1997) The sequencing of social movements. </w:t>
      </w:r>
      <w:r>
        <w:rPr>
          <w:i/>
        </w:rPr>
        <w:t xml:space="preserve">American Sociological Review</w:t>
      </w:r>
      <w:r>
        <w:rPr/>
        <w:t xml:space="preserve">. </w:t>
      </w:r>
      <w:hyperlink r:id="rId28">
        <w:r>
          <w:rPr>
            <w:rStyle w:val="Hyperlink"/>
          </w:rPr>
          <w:t xml:space="preserve">https://doi.org/10.2307/2657360</w:t>
        </w:r>
      </w:hyperlink>
    </w:p>
    <w:p>
      <w:pPr>
        <w:numPr>
          <w:ilvl w:val="0"/>
          <w:numId w:val="8"/>
        </w:numPr>
        <w:spacing w:lineRule="auto"/>
      </w:pPr>
      <w:r>
        <w:rPr/>
        <w:t xml:space="preserve">Snarski, Y. (2025) Brilliant tragedy? Electoral effects of environmental protest cycle in autocracy. </w:t>
      </w:r>
      <w:r>
        <w:rPr>
          <w:i/>
        </w:rPr>
        <w:t xml:space="preserve">Democratization</w:t>
      </w:r>
      <w:r>
        <w:rPr/>
        <w:t xml:space="preserve">. </w:t>
      </w:r>
      <w:hyperlink r:id="rId29">
        <w:r>
          <w:rPr>
            <w:rStyle w:val="Hyperlink"/>
          </w:rPr>
          <w:t xml:space="preserve">https://doi.org/10.1080/13510347.2024.2407421</w:t>
        </w:r>
      </w:hyperlink>
    </w:p>
    <w:p>
      <w:pPr>
        <w:numPr>
          <w:ilvl w:val="0"/>
          <w:numId w:val="8"/>
        </w:numPr>
        <w:spacing w:lineRule="auto"/>
      </w:pPr>
      <w:r>
        <w:rPr/>
        <w:t xml:space="preserve">Dinev, I., Stoyanov, D. (2025) Bulgaria—Protest Movements Transforming the Party System. </w:t>
      </w:r>
      <w:r>
        <w:rPr>
          <w:i/>
        </w:rPr>
        <w:t xml:space="preserve">Palgrave Studies in European Political Sociology</w:t>
      </w:r>
      <w:r>
        <w:rPr/>
        <w:t xml:space="preserve">. </w:t>
      </w:r>
      <w:hyperlink r:id="rId30">
        <w:r>
          <w:rPr>
            <w:rStyle w:val="Hyperlink"/>
          </w:rPr>
          <w:t xml:space="preserve">https://doi.org/10.1007/978-3-031-77888-9_4</w:t>
        </w:r>
      </w:hyperlink>
    </w:p>
    <w:p>
      <w:pPr>
        <w:numPr>
          <w:ilvl w:val="0"/>
          <w:numId w:val="8"/>
        </w:numPr>
        <w:spacing w:lineRule="auto"/>
      </w:pPr>
      <w:r>
        <w:rPr/>
        <w:t xml:space="preserve">Tarafdar, M., Ray, D.K. (2021) Role of social media in social protest cycles: A sociomaterial examination. </w:t>
      </w:r>
      <w:r>
        <w:rPr>
          <w:i/>
        </w:rPr>
        <w:t xml:space="preserve">Information Systems Research</w:t>
      </w:r>
      <w:r>
        <w:rPr/>
        <w:t xml:space="preserve">. </w:t>
      </w:r>
      <w:hyperlink r:id="rId31">
        <w:r>
          <w:rPr>
            <w:rStyle w:val="Hyperlink"/>
          </w:rPr>
          <w:t xml:space="preserve">https://doi.org/10.1287/ISRE.2021.1013</w:t>
        </w:r>
      </w:hyperlink>
    </w:p>
    <w:p>
      <w:pPr>
        <w:numPr>
          <w:ilvl w:val="0"/>
          <w:numId w:val="8"/>
        </w:numPr>
        <w:spacing w:lineRule="auto"/>
      </w:pPr>
      <w:r>
        <w:rPr/>
        <w:t xml:space="preserve">Maher, T.V., Martin, A., McCarthy, J.D., Moorhead, L. (2019) Assessing the Explanatory Power of Social Movement Theories across the Life Course of the Civil Rights Movement. </w:t>
      </w:r>
      <w:r>
        <w:rPr>
          <w:i/>
        </w:rPr>
        <w:t xml:space="preserve">Social Currents</w:t>
      </w:r>
      <w:r>
        <w:rPr/>
        <w:t xml:space="preserve">. </w:t>
      </w:r>
      <w:hyperlink r:id="rId32">
        <w:r>
          <w:rPr>
            <w:rStyle w:val="Hyperlink"/>
          </w:rPr>
          <w:t xml:space="preserve">https://doi.org/10.1177/2329496519850846</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3167/CONT.2018.060203" TargetMode="External"/>
  <Relationship Id="rId7" Type="http://schemas.openxmlformats.org/officeDocument/2006/relationships/hyperlink" Target="https://www.scopus.com/pages/publications/85029635750" TargetMode="External"/>
  <Relationship Id="rId8" Type="http://schemas.openxmlformats.org/officeDocument/2006/relationships/hyperlink" Target="https://www.scopus.com/pages/publications/79956186456" TargetMode="External"/>
  <Relationship Id="rId9" Type="http://schemas.openxmlformats.org/officeDocument/2006/relationships/hyperlink" Target="https://doi.org/10.1002/9780470674871.wbespm126" TargetMode="External"/>
  <Relationship Id="rId10" Type="http://schemas.openxmlformats.org/officeDocument/2006/relationships/hyperlink" Target="https://doi.org/10.1002/9780470674871.wbespm126.pub2" TargetMode="External"/>
  <Relationship Id="rId11" Type="http://schemas.openxmlformats.org/officeDocument/2006/relationships/hyperlink" Target="https://doi.org/10.1285/i20356609v9i1p181" TargetMode="External"/>
  <Relationship Id="rId12" Type="http://schemas.openxmlformats.org/officeDocument/2006/relationships/hyperlink" Target="https://doi.org/10.1093/oxfordhb/9780190870362.013.13" TargetMode="External"/>
  <Relationship Id="rId13" Type="http://schemas.openxmlformats.org/officeDocument/2006/relationships/hyperlink" Target="https://doi.org/10.1080/03932729.2013.847689" TargetMode="External"/>
  <Relationship Id="rId14" Type="http://schemas.openxmlformats.org/officeDocument/2006/relationships/hyperlink" Target="https://doi.org/10.1080/14742837.2019.1599851" TargetMode="External"/>
  <Relationship Id="rId15" Type="http://schemas.openxmlformats.org/officeDocument/2006/relationships/hyperlink" Target="https://doi.org/10.1093/0199251789.003.0008" TargetMode="External"/>
  <Relationship Id="rId16" Type="http://schemas.openxmlformats.org/officeDocument/2006/relationships/hyperlink" Target="https://doi.org/10.1038/s41598-021-98628-y" TargetMode="External"/>
  <Relationship Id="rId17" Type="http://schemas.openxmlformats.org/officeDocument/2006/relationships/hyperlink" Target="https://doi.org/10.1017/S0020818309090146" TargetMode="External"/>
  <Relationship Id="rId18" Type="http://schemas.openxmlformats.org/officeDocument/2006/relationships/hyperlink" Target="https://doi.org/10.1108/s0163-786x20170000041017" TargetMode="External"/>
  <Relationship Id="rId19" Type="http://schemas.openxmlformats.org/officeDocument/2006/relationships/hyperlink" Target="https://doi.org/10.17813/1086-671X-30-4-387" TargetMode="External"/>
  <Relationship Id="rId20" Type="http://schemas.openxmlformats.org/officeDocument/2006/relationships/hyperlink" Target="https://doi.org/10.1108/s0163-786x(2010)0000030006" TargetMode="External"/>
  <Relationship Id="rId21" Type="http://schemas.openxmlformats.org/officeDocument/2006/relationships/hyperlink" Target="https://www.scopus.com/pages/publications/85098953825" TargetMode="External"/>
  <Relationship Id="rId22" Type="http://schemas.openxmlformats.org/officeDocument/2006/relationships/hyperlink" Target="https://doi.org/10.1016/j.jtbi.2024.111970" TargetMode="External"/>
  <Relationship Id="rId23" Type="http://schemas.openxmlformats.org/officeDocument/2006/relationships/hyperlink" Target="https://doi.org/10.1080/19448953.2018.1506298" TargetMode="External"/>
  <Relationship Id="rId24" Type="http://schemas.openxmlformats.org/officeDocument/2006/relationships/hyperlink" Target="https://doi.org/10.1017/S0020818318000061" TargetMode="External"/>
  <Relationship Id="rId25" Type="http://schemas.openxmlformats.org/officeDocument/2006/relationships/hyperlink" Target="https://doi.org/10.17813/1086-671X-26-1-87" TargetMode="External"/>
  <Relationship Id="rId26" Type="http://schemas.openxmlformats.org/officeDocument/2006/relationships/hyperlink" Target="https://doi.org/10.1177/00104140251392527" TargetMode="External"/>
  <Relationship Id="rId27" Type="http://schemas.openxmlformats.org/officeDocument/2006/relationships/hyperlink" Target="https://doi.org/10.1177/106591299604900409" TargetMode="External"/>
  <Relationship Id="rId28" Type="http://schemas.openxmlformats.org/officeDocument/2006/relationships/hyperlink" Target="https://doi.org/10.2307/2657360" TargetMode="External"/>
  <Relationship Id="rId29" Type="http://schemas.openxmlformats.org/officeDocument/2006/relationships/hyperlink" Target="https://doi.org/10.1080/13510347.2024.2407421" TargetMode="External"/>
  <Relationship Id="rId30" Type="http://schemas.openxmlformats.org/officeDocument/2006/relationships/hyperlink" Target="https://doi.org/10.1007/978-3-031-77888-9_4" TargetMode="External"/>
  <Relationship Id="rId31" Type="http://schemas.openxmlformats.org/officeDocument/2006/relationships/hyperlink" Target="https://doi.org/10.1287/ISRE.2021.1013" TargetMode="External"/>
  <Relationship Id="rId32" Type="http://schemas.openxmlformats.org/officeDocument/2006/relationships/hyperlink" Target="https://doi.org/10.1177/2329496519850846" TargetMode="External"/>
  <Relationship Id="rId33" Type="http://schemas.openxmlformats.org/officeDocument/2006/relationships/footer" Target="footer1.xml" TargetMode="Internal"/>
  <Relationship Id="rId3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2026-08-16T23:03:36.018Z</dcterms:created>
  <dcterms:modified xsi:type="dcterms:W3CDTF">2026-08-16T23:03:36.018Z</dcterms:modified>
</cp:coreProperties>
</file>