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2"/>
          <w:szCs w:val="32"/>
        </w:rPr>
        <w:t xml:space="preserve">Oportunidades Políticas, Oportunidades Discursivas e Análise de Conjuntura:</w:t>
      </w:r>
    </w:p>
    <w:p>
      <w:pPr>
        <w:spacing w:after="60" w:line="360"/>
        <w:jc w:val="center"/>
      </w:pPr>
      <w:r>
        <w:rPr>
          <w:rFonts w:ascii="Times New Roman" w:cs="Times New Roman" w:eastAsia="Times New Roman" w:hAnsi="Times New Roman"/>
          <w:b/>
          <w:bCs/>
          <w:sz w:val="32"/>
          <w:szCs w:val="32"/>
        </w:rPr>
        <w:t xml:space="preserve">Um Quadro Teórico-Metodológico Integrado para o Estudo dos Ciclos de Protesto no Brasil</w:t>
      </w:r>
    </w:p>
    <w:p>
      <w:pPr>
        <w:spacing w:after="80"/>
      </w:pPr>
      <w:r>
        <w:t xml:space="preserve"/>
      </w:r>
    </w:p>
    <w:p>
      <w:pPr>
        <w:spacing w:after="80"/>
      </w:pPr>
      <w:r>
        <w:t xml:space="preserve"/>
      </w:r>
    </w:p>
    <w:p>
      <w:pPr>
        <w:spacing w:after="40"/>
        <w:jc w:val="center"/>
      </w:pPr>
      <w:r>
        <w:rPr>
          <w:rFonts w:ascii="Times New Roman" w:cs="Times New Roman" w:eastAsia="Times New Roman" w:hAnsi="Times New Roman"/>
          <w:sz w:val="24"/>
          <w:szCs w:val="24"/>
        </w:rPr>
        <w:t xml:space="preserve">Gustavo Paccelli da Costa</w:t>
      </w:r>
    </w:p>
    <w:p>
      <w:pPr>
        <w:spacing w:after="400"/>
        <w:jc w:val="center"/>
      </w:pPr>
      <w:r>
        <w:rPr>
          <w:rFonts w:ascii="Times New Roman" w:cs="Times New Roman" w:eastAsia="Times New Roman" w:hAnsi="Times New Roman"/>
          <w:i/>
          <w:iCs/>
          <w:sz w:val="22"/>
          <w:szCs w:val="22"/>
        </w:rPr>
        <w:t xml:space="preserve">Universidade Federal de Juiz de Fora – PPGCS/UFJF</w:t>
      </w:r>
    </w:p>
    <w:p>
      <w:pPr>
        <w:pStyle w:val="Heading1"/>
        <w:spacing w:after="200" w:before="480"/>
      </w:pPr>
      <w:r>
        <w:rPr>
          <w:rFonts w:ascii="Times New Roman" w:cs="Times New Roman" w:eastAsia="Times New Roman" w:hAnsi="Times New Roman"/>
          <w:b/>
          <w:bCs/>
          <w:sz w:val="28"/>
          <w:szCs w:val="28"/>
        </w:rPr>
        <w:t xml:space="preserve">Resumo</w:t>
      </w:r>
    </w:p>
    <w:p>
      <w:pPr>
        <w:spacing w:after="200" w:line="360"/>
        <w:jc w:val="both"/>
      </w:pPr>
      <w:r>
        <w:rPr>
          <w:rFonts w:ascii="Times New Roman" w:cs="Times New Roman" w:eastAsia="Times New Roman" w:hAnsi="Times New Roman"/>
          <w:sz w:val="24"/>
          <w:szCs w:val="24"/>
        </w:rPr>
        <w:t xml:space="preserve">Este artigo propõe um quadro teórico-metodológico integrado para o estudo dos ciclos de protesto em democracias presidencialistas, articulando três eixos analíticos que têm operado de forma fragmentada na literatura: a estrutura de oportunidades políticas (EOP), derivada da Teoria do Processo Político (McAdam, Tarrow e Tilly); a estrutura de oportunidades discursivas (DOS), desenvolvida por Koopmans e Statham (1999) e aprofundada por Ferree et al. (2002) e McCammon et al. (2007); e a análise de conjuntura, tradição intelectual e metodológica consolidada no Brasil (Jatobá, 2025; Vandenberghe, 2025). O argumento central é que nenhuma dessas dimensões é suficiente por si só para explicar a emergência, a trajetória e os resultados institucionais dos ciclos contenciosos — e que sua integração em torno do conceito de conjunturas críticas (della Porta, 2018, 2022) e de conjunturas fluídas (Dobry, 1986) permite construir um instrumental analítico mais preciso e empiricamente robusto. Para demonstrar a fertilidade desse modelo, o artigo apresenta: (a) um diagnóstico das lacunas de diálogo entre as três tradições; (b) a arquitetura do triângulo EOP–DOS–Conjuntura; (c) o protocolo de Análise de Eventos de Protesto (PEA) baseado no projeto Dynamics of Collective Action (DoCA), com discussão do potencial e dos limites da automação via modelos de linguagem de grande escala (LLMs); (d) um estudo de caso comparativo dos três principais ciclos de protesto de massa no Brasil democrático — Fora Collor (1992), Junho de 2013 e o impeachment de Dilma Rousseff (2015–2016); e (e) um quadro de 14 hipóteses testáveis organizadas em três famílias teóricas, com operacionalização empírica e evidência âncora extraída do material sistematizado por Costa (2024).</w:t>
      </w:r>
    </w:p>
    <w:p>
      <w:pPr>
        <w:spacing w:after="80"/>
      </w:pPr>
      <w:r>
        <w:t xml:space="preserve"/>
      </w:r>
    </w:p>
    <w:p>
      <w:pPr>
        <w:spacing w:after="200" w:line="360"/>
        <w:jc w:val="both"/>
        <w:rPr>
          <w:i/>
          <w:iCs/>
        </w:rPr>
      </w:pPr>
      <w:r>
        <w:rPr>
          <w:rFonts w:ascii="Times New Roman" w:cs="Times New Roman" w:eastAsia="Times New Roman" w:hAnsi="Times New Roman"/>
          <w:i/>
          <w:iCs/>
          <w:sz w:val="24"/>
          <w:szCs w:val="24"/>
        </w:rPr>
        <w:t xml:space="preserve">Palavras-chave: oportunidades políticas; oportunidades discursivas; análise de conjuntura; ciclos de protesto; Brasil; análise de eventos de protesto; modelos de linguagem.</w:t>
      </w:r>
    </w:p>
    <w:p>
      <w:pPr>
        <w:pStyle w:val="Heading1"/>
        <w:spacing w:after="200" w:before="48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This article proposes an integrated theoretical-methodological framework for studying protest cycles in presidential democracies, articulating three analytical axes that have operated in fragmented ways in the literature: political opportunity structure (POS), derived from Political Process Theory (McAdam, Tarrow and Tilly); discursive opportunity structure (DOS), developed by Koopmans and Statham (1999) and deepened by Ferree et al. (2002) and McCammon et al. (2007); and conjunctural analysis, a consolidated intellectual and methodological tradition in Brazil (Jatobá, 2025; Vandenberghe, 2025). The central argument is that none of these dimensions is sufficient on its own to explain the emergence, trajectory and institutional outcomes of contentious cycles — and that their integration around the concept of critical junctures (della Porta, 2018, 2022) and fluid conjunctures (Dobry, 1986) allows for the construction of a more precise and empirically robust analytical instrument. To demonstrate the fertility of this model, the article presents: (a) a diagnosis of dialogue gaps between the three traditions; (b) the architecture of the EOP–DOS–Conjuncture triangle; (c) a Protest Event Analysis (PEA) protocol based on the Dynamics of Collective Action (DoCA) project, with discussion of the potential and limits of large language model (LLM) automation; (d) a comparative case study of Brazil's three main mass protest cycles — Fora Collor (1992), June 2013, and the Dilma Rousseff impeachment (2015–2016); and (e) a framework of 14 testable hypotheses organized in three theoretical families, with empirical operationalization and anchor evidence drawn from Costa (2024).</w:t>
      </w:r>
    </w:p>
    <w:p>
      <w:pPr>
        <w:spacing w:after="80"/>
      </w:pPr>
      <w:r>
        <w:t xml:space="preserve"/>
      </w:r>
    </w:p>
    <w:p>
      <w:pPr>
        <w:spacing w:after="200" w:line="360"/>
        <w:jc w:val="both"/>
        <w:rPr>
          <w:i/>
          <w:iCs/>
        </w:rPr>
      </w:pPr>
      <w:r>
        <w:rPr>
          <w:rFonts w:ascii="Times New Roman" w:cs="Times New Roman" w:eastAsia="Times New Roman" w:hAnsi="Times New Roman"/>
          <w:i/>
          <w:iCs/>
          <w:sz w:val="24"/>
          <w:szCs w:val="24"/>
        </w:rPr>
        <w:t xml:space="preserve">Keywords: political opportunity structure; discursive opportunity structure; conjunctural analysis; protest cycles; Brazil; protest event analysis; large language models.</w:t>
      </w:r>
    </w:p>
    <w:p>
      <w:pPr>
        <w:pStyle w:val="Heading1"/>
        <w:spacing w:after="200" w:before="480"/>
      </w:pPr>
      <w:r>
        <w:rPr>
          <w:rFonts w:ascii="Times New Roman" w:cs="Times New Roman" w:eastAsia="Times New Roman" w:hAnsi="Times New Roman"/>
          <w:b/>
          <w:bCs/>
          <w:sz w:val="28"/>
          <w:szCs w:val="28"/>
        </w:rPr>
        <w:t xml:space="preserve">1. Introdução</w:t>
      </w:r>
    </w:p>
    <w:p>
      <w:pPr>
        <w:spacing w:after="200" w:line="360"/>
        <w:jc w:val="both"/>
      </w:pPr>
      <w:r>
        <w:rPr>
          <w:rFonts w:ascii="Times New Roman" w:cs="Times New Roman" w:eastAsia="Times New Roman" w:hAnsi="Times New Roman"/>
          <w:sz w:val="24"/>
          <w:szCs w:val="24"/>
        </w:rPr>
        <w:t xml:space="preserve">A compreensão dos ciclos de protesto político tem sido um dos problemas centrais da Sociologia dos Movimentos Sociais desde pelo menos a sistematização da Teoria do Processo Político (TPP) por McAdam, McCarthy e Zald (1996) e sua posterior reformulação dinâmica em McAdam, Tarrow e Tilly (2001). No interior desse campo, o conceito de estrutura de oportunidades políticas (EOP) — que designa o conjunto de condições político-institucionais que expandem ou contraem as possibilidades de ação coletiva — tornou-se a variável explicativa dominante para dar conta de por que determinadas mobilizações emergem, expandem-se e produzem resultados políticos, enquanto outras permanecem latentes ou dissipam-se sem consequências. A EOP, contudo, sempre foi acompanhada de uma dificuldade teórica persistente: identificada como condição necessária, raramente é suficiente para explicar os resultados dos ciclos contenciosos (GAMSON; MEYER, 1996; KITSCHELT, 1986). Algo mais está em jogo — e esse algo, argumentaremos, é precisamente a estrutura de oportunidades discursivas (DOS) e a qualidade da análise de conjuntura que os atores produzem sobre seu próprio momento histórico.</w:t>
      </w:r>
    </w:p>
    <w:p>
      <w:pPr>
        <w:spacing w:after="200" w:line="360"/>
        <w:jc w:val="both"/>
      </w:pPr>
      <w:r>
        <w:rPr>
          <w:rFonts w:ascii="Times New Roman" w:cs="Times New Roman" w:eastAsia="Times New Roman" w:hAnsi="Times New Roman"/>
          <w:sz w:val="24"/>
          <w:szCs w:val="24"/>
        </w:rPr>
        <w:t xml:space="preserve">O Brasil democrático oferece um campo de observação privilegiado para esse problema. Os três grandes ciclos de protesto de massa do período democrático — o Fora Collor (1992), as manifestações de Junho de 2013 e o processo pelo impeachment de Dilma Rousseff (2015–2016) — compartilham o mesmo contexto político-institucional (democracia presidencialista, sistema eleitoral proporcional, mídia televisiva concentrada), o mesmo tipo de variável dependente (crise de governabilidade presidencial e mobilização de massa) e diferem dramaticamente em seus resultados: dois produzem impeachment, um permanece 'inacabado' (GOHN, 2018). Essa variação, como demonstraram Alonso et al. (2017), Saad-Filho (2013) e Sørbøe (2022), não pode ser explicada apenas por variáveis de EOP — é preciso incorporar as condições discursivas e a capacidade interpretativa dos atores.</w:t>
      </w:r>
    </w:p>
    <w:p>
      <w:pPr>
        <w:spacing w:after="200" w:line="360"/>
        <w:jc w:val="both"/>
      </w:pPr>
      <w:r>
        <w:rPr>
          <w:rFonts w:ascii="Times New Roman" w:cs="Times New Roman" w:eastAsia="Times New Roman" w:hAnsi="Times New Roman"/>
          <w:sz w:val="24"/>
          <w:szCs w:val="24"/>
        </w:rPr>
        <w:t xml:space="preserve">Paralelamente, a tradição brasileira de análise de conjuntura — de Souza (1986) e Santiago e De Moraes (2008) a Vandenberghe (2025) e Jatobá (2025) — desenvolveu um instrumental sofisticado para a leitura dos momentos de crise política, mas tem operado, em grande medida, sem diálogo sistemático com a TPP e seus desdobramentos discursivos. Esse silêncio mútuo constitui tanto uma limitação teórica quanto uma deficiência prática: a análise de conjuntura perde precisão quando não distingue sistematicamente entre condições de EOP e condições de DOS; e a TPP perde ancoragem histórica quando não incorpora a perspectiva situacional e estratégica que a análise de conjuntura oferece.</w:t>
      </w:r>
    </w:p>
    <w:p>
      <w:pPr>
        <w:spacing w:after="200" w:line="360"/>
        <w:jc w:val="both"/>
      </w:pPr>
      <w:r>
        <w:rPr>
          <w:rFonts w:ascii="Times New Roman" w:cs="Times New Roman" w:eastAsia="Times New Roman" w:hAnsi="Times New Roman"/>
          <w:sz w:val="24"/>
          <w:szCs w:val="24"/>
        </w:rPr>
        <w:t xml:space="preserve">Este artigo tem três contribuições. A primeira é teórica: propõe o triângulo EOP–DOS–Análise de Conjuntura como quadro integrador, ancorado no conceito de conjunturas críticas (DELLA PORTA, 2018, 2020, 2022) e de conjunturas fluídas (DOBRY, 1986). A segunda é metodológica: apresenta o protocolo de Análise de Eventos de Protesto baseado no codebook DoCA, incluindo a discussão do uso de modelos de linguagem de grande escala (LLMs) para automação da codificação — contribuição relevante diante da crescente literatura sobre PEA computacional (LORENZINI et al., 2021; HAUNSS et al., 2025; PAPEA; HESELTINE et al., 2024). A terceira é empírica: aplica o modelo ao caso brasileiro com um quadro de 14 hipóteses testáveis, ancoradas em evidências extraídas de Costa (2024).</w:t>
      </w:r>
    </w:p>
    <w:p>
      <w:pPr>
        <w:pStyle w:val="Heading1"/>
        <w:spacing w:after="200" w:before="480"/>
      </w:pPr>
      <w:r>
        <w:rPr>
          <w:rFonts w:ascii="Times New Roman" w:cs="Times New Roman" w:eastAsia="Times New Roman" w:hAnsi="Times New Roman"/>
          <w:b/>
          <w:bCs/>
          <w:sz w:val="28"/>
          <w:szCs w:val="28"/>
        </w:rPr>
        <w:t xml:space="preserve">2. Revisão da Literatura</w:t>
      </w:r>
    </w:p>
    <w:p>
      <w:pPr>
        <w:pStyle w:val="Heading2"/>
        <w:spacing w:after="160" w:before="320"/>
      </w:pPr>
      <w:r>
        <w:rPr>
          <w:rFonts w:ascii="Times New Roman" w:cs="Times New Roman" w:eastAsia="Times New Roman" w:hAnsi="Times New Roman"/>
          <w:b/>
          <w:bCs/>
          <w:sz w:val="26"/>
          <w:szCs w:val="26"/>
        </w:rPr>
        <w:t xml:space="preserve">2.1 Teoria do Processo Político e Estrutura de Oportunidades Políticas</w:t>
      </w:r>
    </w:p>
    <w:p>
      <w:pPr>
        <w:spacing w:after="200" w:line="360"/>
        <w:jc w:val="both"/>
      </w:pPr>
      <w:r>
        <w:rPr>
          <w:rFonts w:ascii="Times New Roman" w:cs="Times New Roman" w:eastAsia="Times New Roman" w:hAnsi="Times New Roman"/>
          <w:sz w:val="24"/>
          <w:szCs w:val="24"/>
        </w:rPr>
        <w:t xml:space="preserve">A Teoria do Processo Político consolidou-se a partir da tríade analítica proposta por McAdam, McCarthy e Zald (1996): estruturas de oportunidades políticas, estruturas de mobilização e processos de enquadramento. A EOP, nessa formulação, refere-se a dimensões consistentes do ambiente político que facilitam ou dificultam a ação coletiva — incluindo o grau de abertura ou fechamento do sistema político, a estabilidade dos alinhamentos de elite, a presença de aliados estratégicos dentro do Estado e a capacidade repressiva dos oponentes (TARROW, 1994; CARLOS; DOWBOR; ALBUQUERQUE, 2017). A obra fundadora de Kitschelt (1986), em comparação de movimentos antinucleares em quatro democracias, demonstrou empiricamente que as estruturas de input e output do Estado moldam tanto os repertórios de ação quanto os resultados das mobilizações.</w:t>
      </w:r>
    </w:p>
    <w:p>
      <w:pPr>
        <w:spacing w:after="200" w:line="360"/>
        <w:jc w:val="both"/>
      </w:pPr>
      <w:r>
        <w:rPr>
          <w:rFonts w:ascii="Times New Roman" w:cs="Times New Roman" w:eastAsia="Times New Roman" w:hAnsi="Times New Roman"/>
          <w:sz w:val="24"/>
          <w:szCs w:val="24"/>
        </w:rPr>
        <w:t xml:space="preserve">Vráblíková (2014), em análise comparativa de 24 democracias, demonstrou que estruturas de EOP mais competitivas — com pontos de veto descentralizados — aumentam a participação política não eleitoral, mas apenas quando combinadas com redes de mobilização social. Essa achado refina a hipótese da EOP ao mostrar que ela é condição necessária mas não autônoma: sua ativação depende da presença de estruturas de mobilização e, como argumentaremos, de condições discursivas que tornem a ação coletiva inteligível e legítima para públicos mais amplos. Jami et al. (2022), em análise longitudinal de 90 países, confirmaram empiricamente a relação em U invertido entre democracia e protesto, sugerindo que sistemas de democracia intermediária — nem plenamente abertos nem plenamente fechados — produzem os maiores níveis de mobilização contenciosa.</w:t>
      </w:r>
    </w:p>
    <w:p>
      <w:pPr>
        <w:spacing w:after="200" w:line="360"/>
        <w:jc w:val="both"/>
      </w:pPr>
      <w:r>
        <w:rPr>
          <w:rFonts w:ascii="Times New Roman" w:cs="Times New Roman" w:eastAsia="Times New Roman" w:hAnsi="Times New Roman"/>
          <w:sz w:val="24"/>
          <w:szCs w:val="24"/>
        </w:rPr>
        <w:t xml:space="preserve">A crítica mais consistente ao conceito de EOP foi formulada por Gamson e Meyer (1996), que alertaram para o risco de torná-lo uma 'esponja analítica' — capaz de absorver qualquer variável contextual sem discriminação. Essa crítica criou a demanda por especificações mais precisas dos mecanismos pelos quais as condições político-institucionais se traduzem em ação coletiva, demanda que o conceito de DOS procurou endereçar.</w:t>
      </w:r>
    </w:p>
    <w:p>
      <w:pPr>
        <w:pStyle w:val="Heading2"/>
        <w:spacing w:after="160" w:before="320"/>
      </w:pPr>
      <w:r>
        <w:rPr>
          <w:rFonts w:ascii="Times New Roman" w:cs="Times New Roman" w:eastAsia="Times New Roman" w:hAnsi="Times New Roman"/>
          <w:b/>
          <w:bCs/>
          <w:sz w:val="26"/>
          <w:szCs w:val="26"/>
        </w:rPr>
        <w:t xml:space="preserve">2.2 Estrutura de Oportunidades Discursivas</w:t>
      </w:r>
    </w:p>
    <w:p>
      <w:pPr>
        <w:spacing w:after="200" w:line="360"/>
        <w:jc w:val="both"/>
      </w:pPr>
      <w:r>
        <w:rPr>
          <w:rFonts w:ascii="Times New Roman" w:cs="Times New Roman" w:eastAsia="Times New Roman" w:hAnsi="Times New Roman"/>
          <w:sz w:val="24"/>
          <w:szCs w:val="24"/>
        </w:rPr>
        <w:t xml:space="preserve">O conceito de estrutura de oportunidades discursivas (DOS) foi introduzido por Koopmans e Statham (1999) em seu trabalho sobre análise de reivindicações políticas, como extensão e complemento ao conceito de EOP. A DOS designa o conjunto de ideias, valores e narrativas presentes na cultura política que são percebidos como 'sensatos', 'realistas' e 'legítimos' — e cuja ressonância prévia facilita a recepção dos enquadramentos produzidos pelos movimentos sociais. Como sintetizou McCammon (2013), a DOS fornece aos pesquisadores um instrumento conceitual para compreender quais frames têm maior capacidade de mobilizar recrutas, convencer o público e persuadir autoridades a alterar políticas. A conceptualização sintetiza framing theory e political opportunity theory, superando as limitações de cada abordagem tomada isoladamente.</w:t>
      </w:r>
    </w:p>
    <w:p>
      <w:pPr>
        <w:spacing w:after="200" w:line="360"/>
        <w:jc w:val="both"/>
      </w:pPr>
      <w:r>
        <w:rPr>
          <w:rFonts w:ascii="Times New Roman" w:cs="Times New Roman" w:eastAsia="Times New Roman" w:hAnsi="Times New Roman"/>
          <w:sz w:val="24"/>
          <w:szCs w:val="24"/>
        </w:rPr>
        <w:t xml:space="preserve">A demonstração empírica mais rigorosa do conceito permanece a comparação de Ferree, Gamson, Gerhards e Rucht (2002) sobre o debate em torno do aborto na Alemanha e nos Estados Unidos. Os autores mostraram que diferenças nas estruturas discursivas nacionais — valores constitucionais, modelos de esfera pública, padrões de cobertura midiática — explicam por que determinados frames feministas encontraram maior ressonância em um contexto do que no outro. Cammaerts (2012) avançou o conceito ao propor a 'estrutura de oportunidade de mediação', que integra a abordagem de EOP com a análise das práticas comunicativas dos movimentos — tanto a cobertura midiática convencional quanto as estratégias de 'tornar-se a mídia' dos próprios ativistas.</w:t>
      </w:r>
    </w:p>
    <w:p>
      <w:pPr>
        <w:spacing w:after="200" w:line="360"/>
        <w:jc w:val="both"/>
      </w:pPr>
      <w:r>
        <w:rPr>
          <w:rFonts w:ascii="Times New Roman" w:cs="Times New Roman" w:eastAsia="Times New Roman" w:hAnsi="Times New Roman"/>
          <w:sz w:val="24"/>
          <w:szCs w:val="24"/>
        </w:rPr>
        <w:t xml:space="preserve">Mais recentemente, a literatura sobre DOS expandiu-se para contextos digitais. Li et al. (2024), em análise de 20 milhões de posts relacionados ao #MeToo em Twitter, Facebook e Reddit (2017–2020), demonstraram que as affordances das plataformas moldam as oportunidades discursivas de forma diferenciada: o Twitter favorece visibilidade ampla, o Reddit favorece ressonância comunitária, o Facebook favorece legitimação junto a públicos mais amplos. Essa extensão ao ambiente digital é particularmente relevante para o estudo dos ciclos brasileiros pós-2013, em que as redes sociais desempenharam papel central na inversão das narrativas midiáticas e na mobilização de coletivos autonomistas. Wahlström et al. (2019) desenvolveram o argumento de que as mídias sociais reconfiguram a DOS ao produzir estruturas discursivas co-produzidas — em que o controle sobre os canais de amplificação não está mais restrito aos veículos hegemônicos.</w:t>
      </w:r>
    </w:p>
    <w:p>
      <w:pPr>
        <w:spacing w:after="200" w:line="360"/>
        <w:jc w:val="both"/>
      </w:pPr>
      <w:r>
        <w:rPr>
          <w:rFonts w:ascii="Times New Roman" w:cs="Times New Roman" w:eastAsia="Times New Roman" w:hAnsi="Times New Roman"/>
          <w:sz w:val="24"/>
          <w:szCs w:val="24"/>
        </w:rPr>
        <w:t xml:space="preserve">A distinção de Ferree (2003) entre ressonância e radicalismo permanece analiticamente fundamental: frames que se alinham com a DOS hegemônica têm maior ressonância imediata, mas frames que desafiam essa estrutura podem ampliar o horizonte do dizível no longo prazo. Essa tensão é constitutiva dos ciclos de protesto multisetoriais, em que atores com orientações ideológicas distintas exploram simultaneamente a mesma abertura discursiva — como ocorreu dramaticamente em Junho de 2013 no Brasil.</w:t>
      </w:r>
    </w:p>
    <w:p>
      <w:pPr>
        <w:pStyle w:val="Heading2"/>
        <w:spacing w:after="160" w:before="320"/>
      </w:pPr>
      <w:r>
        <w:rPr>
          <w:rFonts w:ascii="Times New Roman" w:cs="Times New Roman" w:eastAsia="Times New Roman" w:hAnsi="Times New Roman"/>
          <w:b/>
          <w:bCs/>
          <w:sz w:val="26"/>
          <w:szCs w:val="26"/>
        </w:rPr>
        <w:t xml:space="preserve">2.3 Análise de Conjuntura na Tradição Brasileira</w:t>
      </w:r>
    </w:p>
    <w:p>
      <w:pPr>
        <w:spacing w:after="200" w:line="360"/>
        <w:jc w:val="both"/>
      </w:pPr>
      <w:r>
        <w:rPr>
          <w:rFonts w:ascii="Times New Roman" w:cs="Times New Roman" w:eastAsia="Times New Roman" w:hAnsi="Times New Roman"/>
          <w:sz w:val="24"/>
          <w:szCs w:val="24"/>
        </w:rPr>
        <w:t xml:space="preserve">A análise de conjuntura constitui uma prática reflexiva consolidada na tradição intelectual brasileira, com raízes na esquerda organizada dos anos 1970-1980 e sistematização metodológica progressiva ao longo das décadas seguintes (SOUZA, 1986; SANTIAGO; DE MORAES, 2008; VELASCO E CRUZ, 2000). Em sua formulação mais recente, Jatobá (2025) a define como uma operação interpretativa e leitura especializada da realidade que busca, mais do que descrever, descobrir sentidos, relações e tendências a partir da dinâmica concreta das forças em disputa. Virgens e Teixeira (2023) sistematizaram os componentes essenciais da análise de conjuntura em pelo menos nove dimensões: identificação dos atores; análise das forças em jogo; mapeamento dos interesses; avaliação dos recursos; compreensão das estratégias e táticas; identificação de eventos-chave; avaliação de cenários prospectivos; dimensão comunicativa e simbólica; e orientações estratégicas.</w:t>
      </w:r>
    </w:p>
    <w:p>
      <w:pPr>
        <w:spacing w:after="200" w:line="360"/>
        <w:jc w:val="both"/>
      </w:pPr>
      <w:r>
        <w:rPr>
          <w:rFonts w:ascii="Times New Roman" w:cs="Times New Roman" w:eastAsia="Times New Roman" w:hAnsi="Times New Roman"/>
          <w:sz w:val="24"/>
          <w:szCs w:val="24"/>
        </w:rPr>
        <w:t xml:space="preserve">Vandenberghe (2025), em seu artigo 'Conjunctural analysis', revisita a genealogia dos conceitos de crise e conjuntura e propõe uma análise crítico-realista das conjunturas críticas, entendidas como a conjunção de mecanismos causais geradores que produzem uma crise. Para o autor, a crise é simultaneamente um evento, um processo e um produto do encontro entre contradições estruturais e conflitos sociais num momento particular do tempo. Essa formulação é compatível com a de Mariano, Ferreira e Neves (2023), que propõem reinterpretar a conjuntura crítica pelo conceito de contingência: um período de redução dos constrangimentos institucionais, possibilidade de mudanças significativas, incerteza sobre o futuro e crise de expectativas. Essa convergência aponta para um campo teórico em formação que integra a tradição brasileira de análise de conjuntura com os desenvolvimentos recentes da sociologia histórica comparada — e é justamente essa integração que o presente artigo busca aprofundar.</w:t>
      </w:r>
    </w:p>
    <w:p>
      <w:pPr>
        <w:pStyle w:val="Heading2"/>
        <w:spacing w:after="160" w:before="320"/>
      </w:pPr>
      <w:r>
        <w:rPr>
          <w:rFonts w:ascii="Times New Roman" w:cs="Times New Roman" w:eastAsia="Times New Roman" w:hAnsi="Times New Roman"/>
          <w:b/>
          <w:bCs/>
          <w:sz w:val="26"/>
          <w:szCs w:val="26"/>
        </w:rPr>
        <w:t xml:space="preserve">2.4 Conjunturas Críticas, Conjunturas Fluídas e Ciclos de Protesto</w:t>
      </w:r>
    </w:p>
    <w:p>
      <w:pPr>
        <w:spacing w:after="200" w:line="360"/>
        <w:jc w:val="both"/>
      </w:pPr>
      <w:r>
        <w:rPr>
          <w:rFonts w:ascii="Times New Roman" w:cs="Times New Roman" w:eastAsia="Times New Roman" w:hAnsi="Times New Roman"/>
          <w:sz w:val="24"/>
          <w:szCs w:val="24"/>
        </w:rPr>
        <w:t xml:space="preserve">A literatura sobre conjunturas críticas tem se desenvolvido em duas tradições paralelas. No institucionalismo histórico, o conceito designa períodos de relaxamento dos constrangimentos estruturais, em que múltiplos caminhos se tornam possíveis e a agência coletiva e individual adquire peso explicativo desproporcional ao seu papel em períodos de normalidade institucional (MAHONEY, 2001). Mariano, Ferreira e Neves (2023) criticaram a correlação automática entre conjuntura crítica e mudança institucional — mostrando que conjunturas críticas podem ocorrer sem produzir ruptura — e propuseram a recaracterização do conceito pela ênfase na contingência e na incerteza.</w:t>
      </w:r>
    </w:p>
    <w:p>
      <w:pPr>
        <w:spacing w:after="200" w:line="360"/>
        <w:jc w:val="both"/>
      </w:pPr>
      <w:r>
        <w:rPr>
          <w:rFonts w:ascii="Times New Roman" w:cs="Times New Roman" w:eastAsia="Times New Roman" w:hAnsi="Times New Roman"/>
          <w:sz w:val="24"/>
          <w:szCs w:val="24"/>
        </w:rPr>
        <w:t xml:space="preserve">Na sociologia dos movimentos sociais, della Porta (2018, 2020) mobilizou o conceito para teorizar o que chama de 'protesto eventful' — momentos em que protestos específicos funcionam como choques exógenos que catalizam ondas intensas de contestação. A autora identificou uma sequência de processos: 'cracking' (produção de rupturas súbitas), 'vibrating' (reprodução contingente das rupturas) e 'sedimenting' (estabilização do legado). Em sua obra mais recente, della Porta (2022) aplicou esse framework ao contexto da pandemia de Covid-19, mostrando como emergências sanitárias funcionam como conjunturas críticas que abrem simultaneamente oportunidades para movimentos progressistas e regressivos — confirmando a importância da DOS para determinar qual campo consegue explorar a abertura de forma mais eficaz. Davies (2023) verificou esse argumento empiricamente em quatro cidades (Barcelona, Dublin, Baltimore e Montreal) pós-crise financeira de 2008, identificando a tensão entre subsunção passiva e política anti-sistêmica generativa como o padrão dominante das conjunturas de neoliberalismo austero.</w:t>
      </w:r>
    </w:p>
    <w:p>
      <w:pPr>
        <w:spacing w:after="200" w:line="360"/>
        <w:jc w:val="both"/>
      </w:pPr>
      <w:r>
        <w:rPr>
          <w:rFonts w:ascii="Times New Roman" w:cs="Times New Roman" w:eastAsia="Times New Roman" w:hAnsi="Times New Roman"/>
          <w:sz w:val="24"/>
          <w:szCs w:val="24"/>
        </w:rPr>
        <w:t xml:space="preserve">Michel Dobry (1986), em perspectiva distinta mas complementar, propôs o conceito de 'conjunturas fluídas' para designar momentos em que os campos sociais perdem sua autonomia relativa, as regras de cálculo habituais dos atores se tornam imprevisíveis e as dinâmicas de um setor transbordam para outros, produzindo o que o autor chama de 'crise de desengajamento setorial'. Essa formulação é analiticamente mais precisa do que a de della Porta no que concerne à dimensão estrutural da crise, mas menos desenvolvida no que tange à dimensão discursiva e à agência dos movimentos. A articulação dos dois conceitos — conjunturas críticas e conjunturas fluídas — no interior do triângulo EOP–DOS–Conjuntura é um dos contributos teóricos originais deste artigo.</w:t>
      </w:r>
    </w:p>
    <w:p>
      <w:pPr>
        <w:spacing w:after="200" w:line="360"/>
        <w:jc w:val="both"/>
      </w:pPr>
      <w:r>
        <w:rPr>
          <w:rFonts w:ascii="Times New Roman" w:cs="Times New Roman" w:eastAsia="Times New Roman" w:hAnsi="Times New Roman"/>
          <w:sz w:val="24"/>
          <w:szCs w:val="24"/>
        </w:rPr>
        <w:t xml:space="preserve">Para o caso brasileiro, o trabalho de Alonso et al. (2017) sobre Junho de 2013 demonstrou que o ciclo não foi um movimento unificado, mas um ciclo de protestos heterogêneo que combinou três repertórios de contestação — socialista, autonomista e patriótico — gerando o que os autores chamam de 'performances híbridas'. Saad-Filho (2013) interpretou o mesmo ciclo como expressão de uma 'malestar social' vinculada ao neoliberalismo e às limitações dos governos petistas. Bringel e Pleyers (2019) mostraram que Junho de 2013 produziu uma abertura sociopolítica que gerou novos espaços e atores tanto à esquerda quanto à direita, desafiando os códigos e os atores que haviam dominado o cenário político desde a redemocratização. Green (2019) documentou as conexões entre o ciclo de 2013 e a crise da democracia brasileira subsequente. Essas análises, tomadas em conjunto, confirmam que a DOS fragmentada de Junho de 2013 — sua incapacidade de produzir um master frame convergente — é o fator explicativo central para o resultado 'inacabado' do ciclo, mais do que variáveis estruturais de EOP.</w:t>
      </w:r>
    </w:p>
    <w:p>
      <w:pPr>
        <w:spacing w:after="200" w:line="360"/>
        <w:jc w:val="both"/>
      </w:pPr>
      <w:r>
        <w:rPr>
          <w:rFonts w:ascii="Times New Roman" w:cs="Times New Roman" w:eastAsia="Times New Roman" w:hAnsi="Times New Roman"/>
          <w:sz w:val="24"/>
          <w:szCs w:val="24"/>
        </w:rPr>
        <w:t xml:space="preserve">Para o ciclo do Fora Collor, Sallum (2019) e Figueiredo (2010) identificaram as condições institucionais que converteram a crise presidencial em impeachment: a fraqueza da base parlamentar de Collor, a coalizão da 'frente democratizante' e o alinhamento da imprensa. Smulovitz e Peruzzotti (2000), em perspectiva comparada, situaram o caso brasileiro de 1992 como exemplo paradigmático de 'accountability societal' — em que a mobilização cívica, combinada com os meios de comunicação e com o sistema judicial, produziu constrangimento sobre o Executivo. Liñán (2009) identificou, em comparação latinoamericana, três condições necessárias para o impeachment presidencial: escândalo que erode a autoridade presidencial, opinião pública mobilizada contra o presidente e ausência de recursos para controlar o Congresso — condições que traduzem, em termos institucionais, a configuração de EOP + DOS convergente que o triângulo analítico proposto neste artigo formaliza.</w:t>
      </w:r>
    </w:p>
    <w:p>
      <w:pPr>
        <w:pStyle w:val="Heading1"/>
        <w:spacing w:after="200" w:before="480"/>
      </w:pPr>
      <w:r>
        <w:rPr>
          <w:rFonts w:ascii="Times New Roman" w:cs="Times New Roman" w:eastAsia="Times New Roman" w:hAnsi="Times New Roman"/>
          <w:b/>
          <w:bCs/>
          <w:sz w:val="28"/>
          <w:szCs w:val="28"/>
        </w:rPr>
        <w:t xml:space="preserve">3. O Triângulo EOP–DOS–Análise de Conjuntura: Proposta de Integração</w:t>
      </w:r>
    </w:p>
    <w:p>
      <w:pPr>
        <w:spacing w:after="200" w:line="360"/>
        <w:jc w:val="both"/>
      </w:pPr>
      <w:r>
        <w:rPr>
          <w:rFonts w:ascii="Times New Roman" w:cs="Times New Roman" w:eastAsia="Times New Roman" w:hAnsi="Times New Roman"/>
          <w:sz w:val="24"/>
          <w:szCs w:val="24"/>
        </w:rPr>
        <w:t xml:space="preserve">A integração entre EOP, DOS e análise de conjuntura parte do diagnóstico de que cada uma dessas dimensões, tomada isoladamente, produz explicações incompletas dos ciclos contenciosos. A EOP identifica as condições político-institucionais que tornam a ação coletiva mais ou menos custosa, mas não explica por que alguns atores percebem e exploram essas condições com maior eficácia do que outros. A DOS revela o terreno cultural e comunicativo em que as demandas dos movimentos precisam ser articuladas para encontrar ressonância, mas tende a subestimar a dimensão estratégica e processual da ação dos movimentos. A análise de conjuntura oferece o instrumental interpretativo situado para ler os momentos de crise em tempo real, mas carece de ferramentas para distinguir sistematicamente as condições estruturais das condições discursivas que delimitam as possibilidades de ação.</w:t>
      </w:r>
    </w:p>
    <w:p>
      <w:pPr>
        <w:spacing w:after="200" w:line="360"/>
        <w:jc w:val="both"/>
      </w:pPr>
      <w:r>
        <w:rPr>
          <w:rFonts w:ascii="Times New Roman" w:cs="Times New Roman" w:eastAsia="Times New Roman" w:hAnsi="Times New Roman"/>
          <w:sz w:val="24"/>
          <w:szCs w:val="24"/>
        </w:rPr>
        <w:t xml:space="preserve">O triângulo proposto neste artigo organiza as três dimensões em torno de um nó central — a mobilização multisetorial em conjunturas críticas — que é simultaneamente o fenômeno a explicar e o ponto de convergência das três forças analíticas. Os conceitos de 'conjunturas fluídas' (Dobry, 1986) e 'critical junctures' (della Porta, 2018, 2022) operam nesse nó como qualificadores do momento contencioso: eles descrevem a morfologia do espaço em que EOP e DOS convergem, divergem ou se reforçam mutuamente.</w:t>
      </w:r>
    </w:p>
    <w:p>
      <w:pPr>
        <w:spacing w:after="200" w:line="360"/>
        <w:jc w:val="both"/>
      </w:pPr>
      <w:r>
        <w:rPr>
          <w:rFonts w:ascii="Times New Roman" w:cs="Times New Roman" w:eastAsia="Times New Roman" w:hAnsi="Times New Roman"/>
          <w:sz w:val="24"/>
          <w:szCs w:val="24"/>
        </w:rPr>
        <w:t xml:space="preserve">A EOP conecta-se ao nó central pelo eixo da 'percepção das oportunidades': ela cria as condições materiais e institucionais para que a mobilização seja viável, mas sua ativação depende da interpretação que os atores fazem dessas condições — interpretação que é, em parte, constitutivamente discursiva. A DOS conecta-se ao nó central pelo eixo do 'enquadramento e legitimação': ela determina quais frames são culturalmente inteligíveis e simbolicamente legítimos no contexto em que circulam, condicionando a capacidade de recrutamento dos movimentos e a ressonância de suas demandas junto a públicos mais amplos. A análise de conjuntura conecta-se aos outros dois eixos pela função de 'orientação estratégica da práxis': ela é o instrumento pelo qual os atores políticos identificam, interpretam e tentam explorar as configurações de EOP e DOS vigentes em seu momento histórico — e é a qualidade dessa leitura que diferencia os atores que conseguem transformar uma conjuntura crítica em resultado institucional dos que reagem de forma tardia e defensiva.</w:t>
      </w:r>
    </w:p>
    <w:p>
      <w:pPr>
        <w:spacing w:after="200" w:line="360"/>
        <w:jc w:val="both"/>
      </w:pPr>
      <w:r>
        <w:rPr>
          <w:rFonts w:ascii="Times New Roman" w:cs="Times New Roman" w:eastAsia="Times New Roman" w:hAnsi="Times New Roman"/>
          <w:sz w:val="24"/>
          <w:szCs w:val="24"/>
        </w:rPr>
        <w:t xml:space="preserve">Uma implicação teórica central dessa formulação é que as conjunturas críticas não são meros contextos — são momentos em que EOP e DOS se reconfiguram simultaneamente, de formas que podem ser convergentes (como no Fora Collor) ou divergentes (como em Junho de 2013), e em que a capacidade de leitura conjuntural dos atores se torna determinante para o resultado. Isso qualifica o argumento de della Porta de uma forma precisa: não é apenas a abertura de uma janela de oportunidade que define uma conjuntura crítica, mas a abertura simultânea de oportunidades políticas e discursivas, acompanhada de incerteza sobre qual campo conseguirá explorar essa abertura com mais eficácia.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C3489" w:sz="6"/>
              <w:bottom w:val="single" w:color="CCCCCC" w:sz="1"/>
              <w:right w:val="single" w:color="CCCCCC" w:sz="1"/>
            </w:tcBorders>
            <w:shd w:fill="EEEDFE" w:val="clear"/>
            <w:tcMar>
              <w:top w:type="dxa" w:w="120"/>
              <w:left w:type="dxa" w:w="200"/>
              <w:bottom w:type="dxa" w:w="120"/>
              <w:right w:type="dxa" w:w="160"/>
            </w:tcMar>
          </w:tcPr>
          <w:p>
            <w:pPr>
              <w:spacing w:after="60"/>
            </w:pPr>
            <w:r>
              <w:rPr>
                <w:rFonts w:ascii="Times New Roman" w:cs="Times New Roman" w:eastAsia="Times New Roman" w:hAnsi="Times New Roman"/>
                <w:b/>
                <w:bCs/>
                <w:color w:val="3C3489"/>
                <w:sz w:val="20"/>
                <w:szCs w:val="20"/>
              </w:rPr>
              <w:t xml:space="preserve">Síntese do Triângulo Analítico</w:t>
            </w:r>
          </w:p>
          <w:p>
            <w:pPr>
              <w:spacing w:after="0" w:line="300"/>
              <w:jc w:val="both"/>
            </w:pPr>
            <w:r>
              <w:rPr>
                <w:rFonts w:ascii="Times New Roman" w:cs="Times New Roman" w:eastAsia="Times New Roman" w:hAnsi="Times New Roman"/>
                <w:i/>
                <w:iCs/>
                <w:sz w:val="20"/>
                <w:szCs w:val="20"/>
              </w:rPr>
              <w:t xml:space="preserve">EOP (Tarrow, McAdam) — condições político-institucionais que expandem ou contraem as possibilidades de ação coletiva: abertura do sistema, vulnerabilidade das elites, aliados, repressão. // DOS (Koopmans, Ferree, McCammon) — condições culturais e comunicativas que determinam quais frames encontram ressonância: hegemonia discursiva, papel da mídia, feeling rules, master frames. // Análise de Conjuntura (Jatobá, Vandenberghe) — instrumento de orientação estratégica: mapeamento de atores, forças, linhas de fratura, janelas de oportunidade, cenários prospectivos. // Nó Central: mobilização multisetorial em conjunturas críticas (della Porta) / conjunturas fluídas (Dobry) — o fenômeno que a articulação das três dimensões visa explicar.</w:t>
            </w:r>
          </w:p>
        </w:tc>
      </w:tr>
    </w:tbl>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4. Protocolo de Análise de Eventos de Protesto: o Projeto DoCA e a Automação via LLMs</w:t>
      </w:r>
    </w:p>
    <w:p>
      <w:pPr>
        <w:pStyle w:val="Heading2"/>
        <w:spacing w:after="160" w:before="320"/>
      </w:pPr>
      <w:r>
        <w:rPr>
          <w:rFonts w:ascii="Times New Roman" w:cs="Times New Roman" w:eastAsia="Times New Roman" w:hAnsi="Times New Roman"/>
          <w:b/>
          <w:bCs/>
          <w:sz w:val="26"/>
          <w:szCs w:val="26"/>
        </w:rPr>
        <w:t xml:space="preserve">4.1 Fundamentos do Projeto DoCA e da PEA</w:t>
      </w:r>
    </w:p>
    <w:p>
      <w:pPr>
        <w:spacing w:after="200" w:line="360"/>
        <w:jc w:val="both"/>
      </w:pPr>
      <w:r>
        <w:rPr>
          <w:rFonts w:ascii="Times New Roman" w:cs="Times New Roman" w:eastAsia="Times New Roman" w:hAnsi="Times New Roman"/>
          <w:sz w:val="24"/>
          <w:szCs w:val="24"/>
        </w:rPr>
        <w:t xml:space="preserve">A Análise de Eventos de Protesto (PEA) constitui o método central para o estudo quantitativo dos ciclos contenciosos ao longo do tempo e do espaço. Desde a sistematização de Earl et al. (2003), a PEA baseada em fontes jornalísticas tornou-se metodologia padrão no campo, com a consciência de dois tipos de viés inerentes: o viés de seleção (quais eventos são cobertos) e o viés de descrição (com que precisão são cobertos). A literatura convergiu para um conjunto de boas práticas que incluem: uso de múltiplas fontes para mitigar vieses de seleção; validação cruzada com fontes não-midiáticas quando disponíveis; transparência sobre o protocolo de codificação; e monitoramento da confiabilidade entre codificadores.</w:t>
      </w:r>
    </w:p>
    <w:p>
      <w:pPr>
        <w:spacing w:after="200" w:line="360"/>
        <w:jc w:val="both"/>
      </w:pPr>
      <w:r>
        <w:rPr>
          <w:rFonts w:ascii="Times New Roman" w:cs="Times New Roman" w:eastAsia="Times New Roman" w:hAnsi="Times New Roman"/>
          <w:sz w:val="24"/>
          <w:szCs w:val="24"/>
        </w:rPr>
        <w:t xml:space="preserve">O projeto Dynamics of Collective Action (DoCA), desenvolvido na Universidade de Minnesota e parceiro do Mass Mobilization Project, estabeleceu um dos protocolos mais rigorosos e sistematicamente aplicados para a PEA em contexto norte-americano. O codebook DoCA organiza os eventos em torno de variáveis de identificação, localização, atores, alvos, reivindicações com códigos de quatro dígitos em nove domínios temáticos, tamanho estimado da multidão, resposta policial e consequências. A análise de Ratliff et al. (2014), que aplicou o codebook DoCA a 2.500 eventos reportados no Los Angeles Times e New York Times (2006–2009), demonstrou que a ação dos manifestantes é predominantemente simbólica, estética e não violenta — achado que tem implicações diretas para a interpretação dos ciclos brasileiros, frequentemente caracterizados pela mídia como violentos.</w:t>
      </w:r>
    </w:p>
    <w:p>
      <w:pPr>
        <w:spacing w:after="200" w:line="360"/>
        <w:jc w:val="both"/>
      </w:pPr>
      <w:r>
        <w:rPr>
          <w:rFonts w:ascii="Times New Roman" w:cs="Times New Roman" w:eastAsia="Times New Roman" w:hAnsi="Times New Roman"/>
          <w:sz w:val="24"/>
          <w:szCs w:val="24"/>
        </w:rPr>
        <w:t xml:space="preserve">A adaptação do protocolo DoCA para o contexto brasileiro, proposta por Costa (2024) e Costa (2025), mantém a arquitetura de quatro dígitos e nove domínios temáticos, adaptando os critérios de elegibilidade, as regras de delimitação temporal e espacial e o sistema de codificação das reivindicações à especificidade do contexto político e midiático brasileiro. A fonte primária é o Acervo Folha de S.Paulo, cuja cobertura sistemática do período 1983–2016 permite a reconstrução longitudinal dos ciclos de protesto com uma base de dados verificável e arquivável.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60"/>
            </w:tcMar>
          </w:tcPr>
          <w:p>
            <w:pPr>
              <w:spacing w:after="80"/>
            </w:pPr>
            <w:r>
              <w:rPr>
                <w:rFonts w:ascii="Times New Roman" w:cs="Times New Roman" w:eastAsia="Times New Roman" w:hAnsi="Times New Roman"/>
                <w:b/>
                <w:bCs/>
                <w:color w:val="26215C"/>
                <w:sz w:val="20"/>
                <w:szCs w:val="20"/>
              </w:rPr>
              <w:t xml:space="preserve">Protocolo DoCA — Critérios de Elegibilidade e Estrutura de Variáveis</w:t>
            </w:r>
          </w:p>
          <w:p>
            <w:pPr>
              <w:spacing w:after="60"/>
            </w:pPr>
            <w:r>
              <w:rPr>
                <w:rFonts w:ascii="Times New Roman" w:cs="Times New Roman" w:eastAsia="Times New Roman" w:hAnsi="Times New Roman"/>
                <w:b/>
                <w:bCs/>
                <w:sz w:val="19"/>
                <w:szCs w:val="19"/>
              </w:rPr>
              <w:t xml:space="preserve">CRITÉRIOS DE INCLUSÃO:</w:t>
            </w:r>
          </w:p>
          <w:p>
            <w:pPr>
              <w:spacing w:after="40"/>
            </w:pPr>
            <w:r>
              <w:rPr>
                <w:rFonts w:ascii="Times New Roman" w:cs="Times New Roman" w:eastAsia="Times New Roman" w:hAnsi="Times New Roman"/>
                <w:sz w:val="19"/>
                <w:szCs w:val="19"/>
              </w:rPr>
              <w:t xml:space="preserve">1. Ação coletiva: participação de mais de um indivíduo de forma concomitante.</w:t>
            </w:r>
          </w:p>
          <w:p>
            <w:pPr>
              <w:spacing w:after="40"/>
            </w:pPr>
            <w:r>
              <w:rPr>
                <w:rFonts w:ascii="Times New Roman" w:cs="Times New Roman" w:eastAsia="Times New Roman" w:hAnsi="Times New Roman"/>
                <w:sz w:val="19"/>
                <w:szCs w:val="19"/>
              </w:rPr>
              <w:t xml:space="preserve">2. Natureza pública: ocorrência em espaço de acesso público ou visível publicamente.</w:t>
            </w:r>
          </w:p>
          <w:p>
            <w:pPr>
              <w:spacing w:after="40"/>
            </w:pPr>
            <w:r>
              <w:rPr>
                <w:rFonts w:ascii="Times New Roman" w:cs="Times New Roman" w:eastAsia="Times New Roman" w:hAnsi="Times New Roman"/>
                <w:sz w:val="19"/>
                <w:szCs w:val="19"/>
              </w:rPr>
              <w:t xml:space="preserve">3. Expressão contenciosa: articulação pública de reivindicação, queixa ou posicionamento.</w:t>
            </w:r>
          </w:p>
          <w:p>
            <w:pPr>
              <w:spacing w:after="40"/>
            </w:pPr>
            <w:r>
              <w:rPr>
                <w:rFonts w:ascii="Times New Roman" w:cs="Times New Roman" w:eastAsia="Times New Roman" w:hAnsi="Times New Roman"/>
                <w:sz w:val="19"/>
                <w:szCs w:val="19"/>
              </w:rPr>
              <w:t xml:space="preserve">4. Exceção de violência racial/étnica: agressões decorrentes de fraturas étnico-raciais ou de gênero são válidas mesmo sem demandas explícitas.</w:t>
            </w:r>
          </w:p>
          <w:p>
            <w:pPr>
              <w:spacing w:after="60" w:before="80"/>
            </w:pPr>
            <w:r>
              <w:rPr>
                <w:rFonts w:ascii="Times New Roman" w:cs="Times New Roman" w:eastAsia="Times New Roman" w:hAnsi="Times New Roman"/>
                <w:b/>
                <w:bCs/>
                <w:sz w:val="19"/>
                <w:szCs w:val="19"/>
              </w:rPr>
              <w:t xml:space="preserve">CRITÉRIOS DE EXCLUSÃO:</w:t>
            </w:r>
          </w:p>
          <w:p>
            <w:pPr>
              <w:spacing w:after="40"/>
            </w:pPr>
            <w:r>
              <w:rPr>
                <w:rFonts w:ascii="Times New Roman" w:cs="Times New Roman" w:eastAsia="Times New Roman" w:hAnsi="Times New Roman"/>
                <w:sz w:val="19"/>
                <w:szCs w:val="19"/>
              </w:rPr>
              <w:t xml:space="preserve">1. Iniciativas de elites e do Estado: eventos iniciados por agentes governamentais, legisladores ou comissões formais.</w:t>
            </w:r>
          </w:p>
          <w:p>
            <w:pPr>
              <w:spacing w:after="40"/>
            </w:pPr>
            <w:r>
              <w:rPr>
                <w:rFonts w:ascii="Times New Roman" w:cs="Times New Roman" w:eastAsia="Times New Roman" w:hAnsi="Times New Roman"/>
                <w:sz w:val="19"/>
                <w:szCs w:val="19"/>
              </w:rPr>
              <w:t xml:space="preserve">2. Rotinas institucionais: negociações sindicais em salas fechadas, audiências administrativas, conferências internas.</w:t>
            </w:r>
          </w:p>
          <w:p>
            <w:pPr>
              <w:spacing w:after="40"/>
            </w:pPr>
            <w:r>
              <w:rPr>
                <w:rFonts w:ascii="Times New Roman" w:cs="Times New Roman" w:eastAsia="Times New Roman" w:hAnsi="Times New Roman"/>
                <w:sz w:val="19"/>
                <w:szCs w:val="19"/>
              </w:rPr>
              <w:t xml:space="preserve">3. Apoio de elite sem iniciativa civil: eventos liderados por políticos sem mobilização de base autônoma.</w:t>
            </w:r>
          </w:p>
          <w:p>
            <w:pPr>
              <w:spacing w:after="60" w:before="80"/>
            </w:pPr>
            <w:r>
              <w:rPr>
                <w:rFonts w:ascii="Times New Roman" w:cs="Times New Roman" w:eastAsia="Times New Roman" w:hAnsi="Times New Roman"/>
                <w:b/>
                <w:bCs/>
                <w:sz w:val="19"/>
                <w:szCs w:val="19"/>
              </w:rPr>
              <w:t xml:space="preserve">REGRAS DE DELIMITAÇÃO DE EVENTOS:</w:t>
            </w:r>
          </w:p>
          <w:p>
            <w:pPr>
              <w:spacing w:after="40"/>
            </w:pPr>
            <w:r>
              <w:rPr>
                <w:rFonts w:ascii="Times New Roman" w:cs="Times New Roman" w:eastAsia="Times New Roman" w:hAnsi="Times New Roman"/>
                <w:sz w:val="19"/>
                <w:szCs w:val="19"/>
              </w:rPr>
              <w:t xml:space="preserve">Temporal: 24h de inatividade como critério de separação; greves trabalhistas/estudantis mantêm ID contínuo nos fins de semana.</w:t>
            </w:r>
          </w:p>
          <w:p>
            <w:pPr>
              <w:spacing w:after="40"/>
            </w:pPr>
            <w:r>
              <w:rPr>
                <w:rFonts w:ascii="Times New Roman" w:cs="Times New Roman" w:eastAsia="Times New Roman" w:hAnsi="Times New Roman"/>
                <w:sz w:val="19"/>
                <w:szCs w:val="19"/>
              </w:rPr>
              <w:t xml:space="preserve">Espacial: evento circunscrito a uma mesma localidade municipal; atos síncronos em cidades distintas = eventos separados.</w:t>
            </w:r>
          </w:p>
          <w:p>
            <w:pPr>
              <w:spacing w:after="40"/>
            </w:pPr>
            <w:r>
              <w:rPr>
                <w:rFonts w:ascii="Times New Roman" w:cs="Times New Roman" w:eastAsia="Times New Roman" w:hAnsi="Times New Roman"/>
                <w:sz w:val="19"/>
                <w:szCs w:val="19"/>
              </w:rPr>
              <w:t xml:space="preserve">Agencial: grupos com reivindicações opostas na mesma localização = codificados separadamente.</w:t>
            </w:r>
          </w:p>
          <w:p>
            <w:pPr>
              <w:spacing w:after="60" w:before="80"/>
            </w:pPr>
            <w:r>
              <w:rPr>
                <w:rFonts w:ascii="Times New Roman" w:cs="Times New Roman" w:eastAsia="Times New Roman" w:hAnsi="Times New Roman"/>
                <w:b/>
                <w:bCs/>
                <w:sz w:val="19"/>
                <w:szCs w:val="19"/>
              </w:rPr>
              <w:t xml:space="preserve">VARIÁVEIS PRINCIPAIS DO JSON DE SAÍDA:</w:t>
            </w:r>
          </w:p>
          <w:p>
            <w:pPr>
              <w:spacing w:after="0" w:line="280"/>
              <w:jc w:val="both"/>
            </w:pPr>
            <w:r>
              <w:rPr>
                <w:rFonts w:ascii="Times New Roman" w:cs="Times New Roman" w:eastAsia="Times New Roman" w:hAnsi="Times New Roman"/>
                <w:sz w:val="19"/>
                <w:szCs w:val="19"/>
              </w:rPr>
              <w:t xml:space="preserve">event_id (UUID determinístico) · date (YYYY-MM-DD) · location (city + state) · actors · targets · claims [claim_code 4 dígitos + valência 01/02/03 + descrição] · crowd_size (exact_count ou range_expression) · police_response (presence + tactics + coercive_equipment) · consequences (arrests_count + injuries + fatalities + property_damage).</w:t>
            </w:r>
          </w:p>
        </w:tc>
      </w:tr>
    </w:tbl>
    <w:p>
      <w:pPr>
        <w:spacing w:after="80"/>
      </w:pPr>
      <w:r>
        <w:t xml:space="preserve"/>
      </w:r>
    </w:p>
    <w:p>
      <w:pPr>
        <w:pStyle w:val="Heading2"/>
        <w:spacing w:after="160" w:before="320"/>
      </w:pPr>
      <w:r>
        <w:rPr>
          <w:rFonts w:ascii="Times New Roman" w:cs="Times New Roman" w:eastAsia="Times New Roman" w:hAnsi="Times New Roman"/>
          <w:b/>
          <w:bCs/>
          <w:sz w:val="26"/>
          <w:szCs w:val="26"/>
        </w:rPr>
        <w:t xml:space="preserve">4.2 Automação via LLMs: potencial e limites</w:t>
      </w:r>
    </w:p>
    <w:p>
      <w:pPr>
        <w:spacing w:after="200" w:line="360"/>
        <w:jc w:val="both"/>
      </w:pPr>
      <w:r>
        <w:rPr>
          <w:rFonts w:ascii="Times New Roman" w:cs="Times New Roman" w:eastAsia="Times New Roman" w:hAnsi="Times New Roman"/>
          <w:sz w:val="24"/>
          <w:szCs w:val="24"/>
        </w:rPr>
        <w:t xml:space="preserve">A ascensão dos modelos de linguagem de grande escala (LLMs) abriu perspectivas inéditas para a automação da PEA. Haunss et al. (2025) demonstraram, com o pipeline PAPEA, que LLMs fine-tuned podem automatizar a classificação de eventos de protesto com níveis de acurácia comparáveis a humanos, reduzindo o tempo de anotação em ordens de magnitude. Lorenzini et al. (2021) já haviam demonstrado os ganhos e as limitações de abordagens semiautomáticas com processamento de linguagem natural. Heseltine et al. (2024) testaram o GPT-4 em tarefas de classificação de textos políticos em quatro países — incluindo Chile e Itália — e obtiveram acurácia de até 95% para textos curtos, com queda para textos longos e em línguas não-inglesas. Halterman et al. (2024), em avaliação sistemática de LLMs como ferramentas de medição para conceitos de ciência política, incluindo codebooks de eventos de protesto, concluíram que modelos off-the-shelf apresentam limitações no seguimento rigoroso de codebooks, mas que o instruction-tuning pode melhorar substancialmente o desempenho.</w:t>
      </w:r>
    </w:p>
    <w:p>
      <w:pPr>
        <w:spacing w:after="200" w:line="360"/>
        <w:jc w:val="both"/>
      </w:pPr>
      <w:r>
        <w:rPr>
          <w:rFonts w:ascii="Times New Roman" w:cs="Times New Roman" w:eastAsia="Times New Roman" w:hAnsi="Times New Roman"/>
          <w:sz w:val="24"/>
          <w:szCs w:val="24"/>
        </w:rPr>
        <w:t xml:space="preserve">Para o projeto aqui descrito, o LLM (Claude Sonnet, via API Anthropic) é empregado como codificador de primeiro passo, com sistema prompt baseado no codebook DoCA adaptado para o contexto brasileiro. O output é um objeto JSON estruturado com os campos de event_id, date, location, actors, targets, claims (código de quatro dígitos + valência 01/02/03 + descrição), crowd_size, police_response e consequences. A validação humana opera em dois estágios: um protocolo de amostragem estratificada por ciclo e por tipo de evento (10% do corpus), seguido de cálculo de confiabilidade entre codificadores pelo coeficiente Kappa de Cohen.</w:t>
      </w:r>
    </w:p>
    <w:p>
      <w:pPr>
        <w:spacing w:after="200" w:line="360"/>
        <w:jc w:val="both"/>
      </w:pPr>
      <w:r>
        <w:rPr>
          <w:rFonts w:ascii="Times New Roman" w:cs="Times New Roman" w:eastAsia="Times New Roman" w:hAnsi="Times New Roman"/>
          <w:sz w:val="24"/>
          <w:szCs w:val="24"/>
        </w:rPr>
        <w:t xml:space="preserve">As limitações metodológicas merecem explicitação. Primeiro, o viés de seleção midiática é particularmente relevante para a Folha de S.Paulo, veículo de alcance nacional mas com foco em eventos das principais capitais e propensão a cobrir protestos de maior escala. Daphi et al. (2024) demonstraram que dados locais e nacionais capturam padrões distintos: enquanto os nacionais focam em períodos de protesto intenso, os locais registram com mais precisão demandas materiais e sociais. Segundo, o viés de descrição é especialmente sensível no caso dos ciclos de 2013 e 2015–2016, em que a cobertura da Folha era parte da própria disputa discursiva analisada — o que exige postura reflexiva do pesquisador sobre as condições de produção das fontes. Terceiro, os LLMs podem apresentar alucinações na atribuição de claims ou na estimativa de crowd size quando as fontes são ambíguas, o que reforça a necessidade de validação humana sistemática.</w:t>
      </w:r>
    </w:p>
    <w:p>
      <w:pPr>
        <w:pStyle w:val="Heading1"/>
        <w:spacing w:after="200" w:before="480"/>
      </w:pPr>
      <w:r>
        <w:rPr>
          <w:rFonts w:ascii="Times New Roman" w:cs="Times New Roman" w:eastAsia="Times New Roman" w:hAnsi="Times New Roman"/>
          <w:b/>
          <w:bCs/>
          <w:sz w:val="28"/>
          <w:szCs w:val="28"/>
        </w:rPr>
        <w:t xml:space="preserve">5. Estudo de Caso: Ciclos de Protesto no Brasil Democrático (1992–2016)</w:t>
      </w:r>
    </w:p>
    <w:p>
      <w:pPr>
        <w:pStyle w:val="Heading2"/>
        <w:spacing w:after="160" w:before="320"/>
      </w:pPr>
      <w:r>
        <w:rPr>
          <w:rFonts w:ascii="Times New Roman" w:cs="Times New Roman" w:eastAsia="Times New Roman" w:hAnsi="Times New Roman"/>
          <w:b/>
          <w:bCs/>
          <w:sz w:val="26"/>
          <w:szCs w:val="26"/>
        </w:rPr>
        <w:t xml:space="preserve">5.1 O Ciclo Fora Collor (1992): convergência EOP+DOS, resultado máximo</w:t>
      </w:r>
    </w:p>
    <w:p>
      <w:pPr>
        <w:spacing w:after="200" w:line="360"/>
        <w:jc w:val="both"/>
      </w:pPr>
      <w:r>
        <w:rPr>
          <w:rFonts w:ascii="Times New Roman" w:cs="Times New Roman" w:eastAsia="Times New Roman" w:hAnsi="Times New Roman"/>
          <w:sz w:val="24"/>
          <w:szCs w:val="24"/>
        </w:rPr>
        <w:t xml:space="preserve">O impeachment de Fernando Collor de Mello em 1992 é o caso paradigmático de convergência entre EOP e DOS no contexto brasileiro. Do ponto de vista da EOP, o governo Collor havia acumulado, ao longo de 1991-1992, um conjunto de vulnerabilidades estruturais que Liñán (2009) identificou como condições necessárias para o impeachment presidencial: escândalos de corrupção que erosaram a autoridade presidencial (o esquema PC Farias, denunciado pelo irmão do presidente em maio de 1992), a mobilização da opinião pública contra o presidente (queda de aprovação de 71% na posse para 9% em agosto de 1992, segundo dados Datafolha sistematizados por Costa, 2024) e a perda do controle do Congresso (deserção progressiva de PMDB, PSDB e PDT, culminando na criação da CPMI). Sallum (2019) documentou como a montagem ministerial sem participação dos partidos havia privado Collor de uma base parlamentar orgânica desde o início, tornando-o vulnerável à primeira crise de governabilidade séria.</w:t>
      </w:r>
    </w:p>
    <w:p>
      <w:pPr>
        <w:spacing w:after="200" w:line="360"/>
        <w:jc w:val="both"/>
      </w:pPr>
      <w:r>
        <w:rPr>
          <w:rFonts w:ascii="Times New Roman" w:cs="Times New Roman" w:eastAsia="Times New Roman" w:hAnsi="Times New Roman"/>
          <w:sz w:val="24"/>
          <w:szCs w:val="24"/>
        </w:rPr>
        <w:t xml:space="preserve">A dimensão discursiva é igualmente reveladora. Mische (1995) demonstrou que o movimento dos 'caras pintadas' operou como mediador cívico entre diferentes setores sociais, construindo uma identidade política nova — nem partidária nem estritamente estudantil — que permitiu ao Movimento pela Ética na Política (MEP) agregar CUT, OAB, CNBB, partidos de oposição e movimentos identitários sob o master frame da 'ética na política'. Esse frame era culturalmente ressonante porque ancorado no ethos normativo da Constituição de 1988, que havia codificado expectativas sobre a conduta dos governantes democráticos em um contexto de recente transição. A inversão da cobertura midiática — especialmente da revista Veja, que havia apoiado Collor em 1989 — ampliou a DOS disponível para os movimentos ao transformar o presidente de 'caçador de marajás' em protagonista do esquema que prometera combater. Smulovitz e Peruzzotti (2000) identificaram essa combinação como exemplo canônico de accountability societal — em que movimentos, imprensa e sistema jurídico se articulam para produzir constrangimento sobre o executivo.</w:t>
      </w:r>
    </w:p>
    <w:p>
      <w:pPr>
        <w:pStyle w:val="Heading2"/>
        <w:spacing w:after="160" w:before="320"/>
      </w:pPr>
      <w:r>
        <w:rPr>
          <w:rFonts w:ascii="Times New Roman" w:cs="Times New Roman" w:eastAsia="Times New Roman" w:hAnsi="Times New Roman"/>
          <w:b/>
          <w:bCs/>
          <w:sz w:val="26"/>
          <w:szCs w:val="26"/>
        </w:rPr>
        <w:t xml:space="preserve">5.2 Junho de 2013: abertura caótica de EOP e DOS, resultado indeterminado</w:t>
      </w:r>
    </w:p>
    <w:p>
      <w:pPr>
        <w:spacing w:after="200" w:line="360"/>
        <w:jc w:val="both"/>
      </w:pPr>
      <w:r>
        <w:rPr>
          <w:rFonts w:ascii="Times New Roman" w:cs="Times New Roman" w:eastAsia="Times New Roman" w:hAnsi="Times New Roman"/>
          <w:sz w:val="24"/>
          <w:szCs w:val="24"/>
        </w:rPr>
        <w:t xml:space="preserve">O ciclo de Junho de 2013 constitui o caso mais complexo e teoricamente mais produtivo para a aplicação do triângulo analítico. Alonso et al. (2017), Saad-Filho (2013) e Bringel e Pleyers (2019) convergem na caracterização do ciclo como portador de múltiplas orientações ideológicas e repertórios de contestação incompatíveis — o que Costa (2024) denomina 'ciclo mosaico'. Do ponto de vista da EOP, o ciclo surge em condições paradoxais: o governo Dilma gozava de 65% de aprovação em março de 2013 (dados Datafolha, sistematizados por Costa, 2024), mas o modelo participativo consolidado pelos governos petistas havia saturado os canais institucionais disponíveis, excluindo coletivos autonomistas, movimentos identitários e redes cívicas de classe média que não se reconheciam nas formas de participação disponíveis.</w:t>
      </w:r>
    </w:p>
    <w:p>
      <w:pPr>
        <w:spacing w:after="200" w:line="360"/>
        <w:jc w:val="both"/>
      </w:pPr>
      <w:r>
        <w:rPr>
          <w:rFonts w:ascii="Times New Roman" w:cs="Times New Roman" w:eastAsia="Times New Roman" w:hAnsi="Times New Roman"/>
          <w:sz w:val="24"/>
          <w:szCs w:val="24"/>
        </w:rPr>
        <w:t xml:space="preserve">O evento-gatilho — a repressão policial à manifestação do dia 13 de junho em São Paulo — produziu o que Dobry (1986) chamaria de 'crise de desengajamento setorial': as dinâmicas do campo político e do campo midiático se interpenetraram de forma imprevisível, gerando uma avalanche de mobilização que nenhum ator havia planejado. A aprovação de Dilma caiu de 57% em 7 de junho para 30% em 28 de junho — queda de 27 pontos em três semanas, a mais rápida do período democrático (COSTA, 2024). Mas a DOS aberta pelo evento foi caótica: como documentado por Singer (2013) e reproduzido por Costa (2024), a composição ideológica dos manifestantes no dia 20 de junho era: centro (31%), esquerda/centro-esquerda (36%), direita/centro-direita (21%). A ausência de master frame convergente impediu que a abertura de EOP fosse convertida em resultado institucional. Sørbøe (2022) analisou o caso sob lente rancièriana, mostrando que a heterogeneidade dos manifestantes continha tanto aberturas revolucionárias quanto sementes dos resultados reacionários subsequentes. Martins (2019), em análise longitudinal de 684.361 posts em 252 páginas do Facebook (2013–2018), demonstrou que as redes de movimento de direita pós-junho foram significativamente mais eficazes na construção de frames coerentes do que as redes de esquerda.</w:t>
      </w:r>
    </w:p>
    <w:p>
      <w:pPr>
        <w:spacing w:after="200" w:line="360"/>
        <w:jc w:val="both"/>
      </w:pPr>
      <w:r>
        <w:rPr>
          <w:rFonts w:ascii="Times New Roman" w:cs="Times New Roman" w:eastAsia="Times New Roman" w:hAnsi="Times New Roman"/>
          <w:sz w:val="24"/>
          <w:szCs w:val="24"/>
        </w:rPr>
        <w:t xml:space="preserve">Do ponto de vista da análise de conjuntura, o período exibiu uma incapacidade generalizada de leitura adequada do momento por parte de todos os atores. O governo respondeu com os 'cinco pactos', numa tentativa de reter as manifestações dentro do espaço discursivo das políticas públicas tradicionais — sem compreender que a DOS aberta não tinha centro de gravidade institucional. A oposição tentou reinterpretar os protestos como movimento anticorrupção antipetista, desvinculando-os da esquerda organizada. A esquerda organizada, por sua vez, foi incapaz de oferecer um frame capaz de articular as demandas heterogêneas das ruas. O resultado foi o ciclo 'inacabado' descrito por Gohn (2018) — politicamente transformador em termos de legado discursivo, institucionalmente nulo em termos de mudança imediata.</w:t>
      </w:r>
    </w:p>
    <w:p>
      <w:pPr>
        <w:pStyle w:val="Heading2"/>
        <w:spacing w:after="160" w:before="320"/>
      </w:pPr>
      <w:r>
        <w:rPr>
          <w:rFonts w:ascii="Times New Roman" w:cs="Times New Roman" w:eastAsia="Times New Roman" w:hAnsi="Times New Roman"/>
          <w:b/>
          <w:bCs/>
          <w:sz w:val="26"/>
          <w:szCs w:val="26"/>
        </w:rPr>
        <w:t xml:space="preserve">5.3 O Ciclo do Impeachment (2015–2016): DOS deliberadamente construída, resultado direcional</w:t>
      </w:r>
    </w:p>
    <w:p>
      <w:pPr>
        <w:spacing w:after="200" w:line="360"/>
        <w:jc w:val="both"/>
      </w:pPr>
      <w:r>
        <w:rPr>
          <w:rFonts w:ascii="Times New Roman" w:cs="Times New Roman" w:eastAsia="Times New Roman" w:hAnsi="Times New Roman"/>
          <w:sz w:val="24"/>
          <w:szCs w:val="24"/>
        </w:rPr>
        <w:t xml:space="preserve">O ciclo pelo impeachment de Dilma Rousseff representa o caso analiticamente mais rico para o argumento deste artigo, precisamente porque a DOS não emergiu de forma espontânea como reação a uma crise, mas foi deliberadamente construída ao longo de pelo menos dois anos antes da abertura da janela de EOP. A literatura convergente de Becker et al. (2017), Fontes, Ferracioli e Sampaio (2016) e Santos (2018) — sistematizada em Costa (2024) — documenta como a Operação Lava Jato, a cobertura da revista Veja e da TV Globo, e a rede de think tanks de orientação liberal-conservadora (Instituto Millenium, Instituto Liberal) construíram progressivamente um master frame de alta ressonância — 'PT = corrupção; impeachment = solução' — que estava pronto e amplificado quando a janela de EOP se abriu com a crise econômica de 2015.</w:t>
      </w:r>
    </w:p>
    <w:p>
      <w:pPr>
        <w:spacing w:after="200" w:line="360"/>
        <w:jc w:val="both"/>
      </w:pPr>
      <w:r>
        <w:rPr>
          <w:rFonts w:ascii="Times New Roman" w:cs="Times New Roman" w:eastAsia="Times New Roman" w:hAnsi="Times New Roman"/>
          <w:sz w:val="24"/>
          <w:szCs w:val="24"/>
        </w:rPr>
        <w:t xml:space="preserve">A sequência temporal é reveladora: a DOS antipetista foi construída entre 2013 e 2014; a vulnerabilidade de EOP se tornou aguda em 2015 (PIB -3,5%, inflação 10,67%, aprovação de 13% em dezembro, Lava Jato expandida, deserção do PMDB); as manifestações de março de 2015 e março de 2016 foram a expressão mobilizada de uma DOS já hegemonizada. Natalucci e Pagliarone (2021), em comparação entre Argentina e Brasil no pós-crise financeira, mostraram que a estratégia desmobilizadora do PT, contrastando com o movimentismo kirchnerista argentino, havia enfraquecido as bases sociais do campo progressista — tornando mais custosa a construção de uma DOS alternativa quando a crise se tornou aguda. Sawicka (2023), em análise comparativa dos dois impeachments brasileiros, identificou que o caso de 2016 foi muito mais controverso juridicamente do que o de 1992 — o que significa que a DOS foi o fator decisivo para legitimar um processo que, em termos estritamente institucionais, era muito mais contestável do que o anterior.</w:t>
      </w:r>
    </w:p>
    <w:p>
      <w:pPr>
        <w:pStyle w:val="Heading2"/>
        <w:spacing w:after="160" w:before="320"/>
      </w:pPr>
      <w:r>
        <w:rPr>
          <w:rFonts w:ascii="Times New Roman" w:cs="Times New Roman" w:eastAsia="Times New Roman" w:hAnsi="Times New Roman"/>
          <w:b/>
          <w:bCs/>
          <w:sz w:val="26"/>
          <w:szCs w:val="26"/>
        </w:rPr>
        <w:t xml:space="preserve">5.4 Síntese comparativa</w:t>
      </w:r>
    </w:p>
    <w:p>
      <w:pPr>
        <w:spacing w:after="200" w:line="360"/>
        <w:jc w:val="both"/>
      </w:pPr>
      <w:r>
        <w:rPr>
          <w:rFonts w:ascii="Times New Roman" w:cs="Times New Roman" w:eastAsia="Times New Roman" w:hAnsi="Times New Roman"/>
          <w:sz w:val="24"/>
          <w:szCs w:val="24"/>
        </w:rPr>
        <w:t xml:space="preserve">A análise dos três ciclos permite identificar quatro padrões de articulação entre EOP, DOS e resultado institucional que têm validade heurística para além do caso brasileiro:</w:t>
      </w:r>
    </w:p>
    <w:p>
      <w:pPr>
        <w:pStyle w:val="ListParagraph"/>
        <w:numPr>
          <w:ilvl w:val="0"/>
          <w:numId w:val="2"/>
        </w:numPr>
        <w:spacing w:after="120" w:line="320"/>
        <w:jc w:val="both"/>
      </w:pPr>
      <w:r>
        <w:rPr>
          <w:rFonts w:ascii="Times New Roman" w:cs="Times New Roman" w:eastAsia="Times New Roman" w:hAnsi="Times New Roman"/>
          <w:sz w:val="24"/>
          <w:szCs w:val="24"/>
        </w:rPr>
        <w:t xml:space="preserve">Convergência EOP+DOS: abertura política e discursiva simultâneas em direção convergente → mobilização multisetorial com resultado institucional definido. Caso paradigmático: Fora Collor (1992).</w:t>
      </w:r>
    </w:p>
    <w:p>
      <w:pPr>
        <w:pStyle w:val="ListParagraph"/>
        <w:numPr>
          <w:ilvl w:val="0"/>
          <w:numId w:val="2"/>
        </w:numPr>
        <w:spacing w:after="120" w:line="320"/>
        <w:jc w:val="both"/>
      </w:pPr>
      <w:r>
        <w:rPr>
          <w:rFonts w:ascii="Times New Roman" w:cs="Times New Roman" w:eastAsia="Times New Roman" w:hAnsi="Times New Roman"/>
          <w:sz w:val="24"/>
          <w:szCs w:val="24"/>
        </w:rPr>
        <w:t xml:space="preserve">Abertura caótica EOP+DOS: abertura simultânea mas divergente — acomoda atores com frames incompatíveis → alta mobilização sem resultado institucional. Caso paradigmático: Junho de 2013.</w:t>
      </w:r>
    </w:p>
    <w:p>
      <w:pPr>
        <w:pStyle w:val="ListParagraph"/>
        <w:numPr>
          <w:ilvl w:val="0"/>
          <w:numId w:val="2"/>
        </w:numPr>
        <w:spacing w:after="120" w:line="320"/>
        <w:jc w:val="both"/>
      </w:pPr>
      <w:r>
        <w:rPr>
          <w:rFonts w:ascii="Times New Roman" w:cs="Times New Roman" w:eastAsia="Times New Roman" w:hAnsi="Times New Roman"/>
          <w:sz w:val="24"/>
          <w:szCs w:val="24"/>
        </w:rPr>
        <w:t xml:space="preserve">Construção deliberada de DOS + abertura de EOP: DOS hegemonizada antes da abertura política → resultado direcional (favorece o campo que controla a DOS). Caso paradigmático: Impeachment Dilma (2015–16).</w:t>
      </w:r>
    </w:p>
    <w:p>
      <w:pPr>
        <w:pStyle w:val="ListParagraph"/>
        <w:numPr>
          <w:ilvl w:val="0"/>
          <w:numId w:val="2"/>
        </w:numPr>
        <w:spacing w:after="200" w:line="320"/>
        <w:jc w:val="both"/>
      </w:pPr>
      <w:r>
        <w:rPr>
          <w:rFonts w:ascii="Times New Roman" w:cs="Times New Roman" w:eastAsia="Times New Roman" w:hAnsi="Times New Roman"/>
          <w:sz w:val="24"/>
          <w:szCs w:val="24"/>
        </w:rPr>
        <w:t xml:space="preserve">Assimetria DOS como legado: a DOS produzida por um ciclo condiciona as oportunidades discursivas do ciclo seguinte, independentemente das condições de EOP. O legado discursivo de 2013 moldou a DOS de 2015–16.</w:t>
      </w:r>
    </w:p>
    <w:p>
      <w:pPr>
        <w:pStyle w:val="Heading1"/>
        <w:spacing w:after="200" w:before="480"/>
      </w:pPr>
      <w:r>
        <w:rPr>
          <w:rFonts w:ascii="Times New Roman" w:cs="Times New Roman" w:eastAsia="Times New Roman" w:hAnsi="Times New Roman"/>
          <w:b/>
          <w:bCs/>
          <w:sz w:val="28"/>
          <w:szCs w:val="28"/>
        </w:rPr>
        <w:t xml:space="preserve">6. Quadro de Hipóteses Testáveis</w:t>
      </w:r>
    </w:p>
    <w:p>
      <w:pPr>
        <w:spacing w:after="200" w:line="360"/>
        <w:jc w:val="both"/>
      </w:pPr>
      <w:r>
        <w:rPr>
          <w:rFonts w:ascii="Times New Roman" w:cs="Times New Roman" w:eastAsia="Times New Roman" w:hAnsi="Times New Roman"/>
          <w:sz w:val="24"/>
          <w:szCs w:val="24"/>
        </w:rPr>
        <w:t xml:space="preserve">O quadro a seguir sintetiza as 14 hipóteses testáveis derivadas do arcabouço teórico proposto. As hipóteses estão organizadas em três famílias: H1 (dimensão político-institucional / EOP), H2 (dimensão discursivo-cultural / DOS) e H3 (integração analítica das três dimensões). Para cada hipótese, indicam-se a variável independente principal, a variável dependente e a evidência empírica âncora extraída dos casos brasileiros.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7"/>
        <w:gridCol w:w="1807"/>
      </w:tblGrid>
      <w:tr>
        <w:tc>
          <w:tcPr>
            <w:tcW w:type="dxa" w:w="180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80"/>
            </w:tcMar>
          </w:tcPr>
          <w:p>
            <w:pPr>
              <w:spacing w:after="0"/>
            </w:pPr>
            <w:r>
              <w:rPr>
                <w:rFonts w:ascii="Times New Roman" w:cs="Times New Roman" w:eastAsia="Times New Roman" w:hAnsi="Times New Roman"/>
                <w:b/>
                <w:bCs/>
                <w:color w:val="3C3489"/>
                <w:sz w:val="20"/>
                <w:szCs w:val="20"/>
              </w:rPr>
              <w:t xml:space="preserve">Hipótese</w:t>
            </w:r>
          </w:p>
        </w:tc>
        <w:tc>
          <w:tcPr>
            <w:tcW w:type="dxa" w:w="1806"/>
            <w:tcBorders>
              <w:top w:val="single" w:color="CCCCCC" w:sz="1"/>
              <w:left w:val="single" w:color="CCCCCC" w:sz="1"/>
              <w:bottom w:val="single" w:color="CCCCCC" w:sz="1"/>
              <w:right w:val="single" w:color="CCCCCC" w:sz="1"/>
            </w:tcBorders>
            <w:shd w:fill="26215C" w:val="clear"/>
            <w:tcMar>
              <w:top w:type="dxa" w:w="80"/>
              <w:left w:type="dxa" w:w="100"/>
              <w:bottom w:type="dxa" w:w="80"/>
              <w:right w:type="dxa" w:w="80"/>
            </w:tcMar>
          </w:tcPr>
          <w:p>
            <w:pPr>
              <w:spacing w:after="0"/>
              <w:jc w:val="center"/>
            </w:pPr>
            <w:r>
              <w:rPr>
                <w:rFonts w:ascii="Times New Roman" w:cs="Times New Roman" w:eastAsia="Times New Roman" w:hAnsi="Times New Roman"/>
                <w:b/>
                <w:bCs/>
                <w:color w:val="FFFFFF"/>
                <w:sz w:val="20"/>
                <w:szCs w:val="20"/>
              </w:rPr>
              <w:t xml:space="preserve">Família teórica</w:t>
            </w:r>
          </w:p>
        </w:tc>
        <w:tc>
          <w:tcPr>
            <w:tcW w:type="dxa" w:w="1806"/>
            <w:tcBorders>
              <w:top w:val="single" w:color="CCCCCC" w:sz="1"/>
              <w:left w:val="single" w:color="CCCCCC" w:sz="1"/>
              <w:bottom w:val="single" w:color="CCCCCC" w:sz="1"/>
              <w:right w:val="single" w:color="CCCCCC" w:sz="1"/>
            </w:tcBorders>
            <w:shd w:fill="085041" w:val="clear"/>
            <w:tcMar>
              <w:top w:type="dxa" w:w="80"/>
              <w:left w:type="dxa" w:w="100"/>
              <w:bottom w:type="dxa" w:w="80"/>
              <w:right w:type="dxa" w:w="80"/>
            </w:tcMar>
          </w:tcPr>
          <w:p>
            <w:pPr>
              <w:spacing w:after="0"/>
              <w:jc w:val="center"/>
            </w:pPr>
            <w:r>
              <w:rPr>
                <w:rFonts w:ascii="Times New Roman" w:cs="Times New Roman" w:eastAsia="Times New Roman" w:hAnsi="Times New Roman"/>
                <w:b/>
                <w:bCs/>
                <w:color w:val="FFFFFF"/>
                <w:sz w:val="20"/>
                <w:szCs w:val="20"/>
              </w:rPr>
              <w:t xml:space="preserve">VI principal</w:t>
            </w:r>
          </w:p>
        </w:tc>
        <w:tc>
          <w:tcPr>
            <w:tcW w:type="dxa" w:w="1807"/>
            <w:tcBorders>
              <w:top w:val="single" w:color="CCCCCC" w:sz="1"/>
              <w:left w:val="single" w:color="CCCCCC" w:sz="1"/>
              <w:bottom w:val="single" w:color="CCCCCC" w:sz="1"/>
              <w:right w:val="single" w:color="CCCCCC" w:sz="1"/>
            </w:tcBorders>
            <w:shd w:fill="712B13" w:val="clear"/>
            <w:tcMar>
              <w:top w:type="dxa" w:w="80"/>
              <w:left w:type="dxa" w:w="100"/>
              <w:bottom w:type="dxa" w:w="80"/>
              <w:right w:type="dxa" w:w="80"/>
            </w:tcMar>
          </w:tcPr>
          <w:p>
            <w:pPr>
              <w:spacing w:after="0"/>
              <w:jc w:val="center"/>
            </w:pPr>
            <w:r>
              <w:rPr>
                <w:rFonts w:ascii="Times New Roman" w:cs="Times New Roman" w:eastAsia="Times New Roman" w:hAnsi="Times New Roman"/>
                <w:b/>
                <w:bCs/>
                <w:color w:val="FFFFFF"/>
                <w:sz w:val="20"/>
                <w:szCs w:val="20"/>
              </w:rPr>
              <w:t xml:space="preserve">VD</w:t>
            </w:r>
          </w:p>
        </w:tc>
        <w:tc>
          <w:tcPr>
            <w:tcW w:type="dxa" w:w="1807"/>
            <w:tcBorders>
              <w:top w:val="single" w:color="CCCCCC" w:sz="1"/>
              <w:left w:val="single" w:color="CCCCCC" w:sz="1"/>
              <w:bottom w:val="single" w:color="CCCCCC" w:sz="1"/>
              <w:right w:val="single" w:color="CCCCCC" w:sz="1"/>
            </w:tcBorders>
            <w:shd w:fill="3C3489" w:val="clear"/>
            <w:tcMar>
              <w:top w:type="dxa" w:w="80"/>
              <w:left w:type="dxa" w:w="100"/>
              <w:bottom w:type="dxa" w:w="80"/>
              <w:right w:type="dxa" w:w="80"/>
            </w:tcMar>
          </w:tcPr>
          <w:p>
            <w:pPr>
              <w:spacing w:after="0"/>
              <w:jc w:val="center"/>
            </w:pPr>
            <w:r>
              <w:rPr>
                <w:rFonts w:ascii="Times New Roman" w:cs="Times New Roman" w:eastAsia="Times New Roman" w:hAnsi="Times New Roman"/>
                <w:b/>
                <w:bCs/>
                <w:color w:val="FFFFFF"/>
                <w:sz w:val="20"/>
                <w:szCs w:val="20"/>
              </w:rPr>
              <w:t xml:space="preserve">Evidência âncora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H1.1</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Abertura do sistema político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Escala da mobilização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Fora Collor: abertura pós-CF88 → mobilização de massa</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H1.2</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Vulnerabilidade das elites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Resultado institucional</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Fara Collor e Impeachment Dilma vs. Junho 2013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H1.3</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Intensidade e visibilidade da repressão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Expansão do ciclo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13/06/2013: repressão → 5 mil → 1 milhão</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H1.4</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Aliados intrainstitucionais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Heterogeneidade da coalizão</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OAB+CUT+PT (1992) vs. MBL+Globo+PMDB (2015-16)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H2.1</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Hegemonia discursiva de um campo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Direção ideológica do ciclo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 antipetista construída 2013-14 → impeachment conservador</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H2.2</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Fragmentação da DOS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Resultado indeterminado</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Junho 2013: frames incompatíveis → ciclo inacabado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H2.3</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Alinhamento frame-valores dominantes</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Amplitude do recrutamento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'Ética na política' + ethos CF88 → caras pintadas</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H2.4</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Investimento antecipado em DOS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Disponibilidade de frames ao abrir EOP</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Instituto Millenium + Veja 2013-14 → DOS pronta em 2015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H2.5</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Transformação nas feeling rules</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Emergência de novos frames</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Raiva como emoção política legítima (13/06/2013)</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H3.1</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EOP+DOS</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Convergência EOP+DOS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Resultado institucional máximo</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Fora Collor = padrão de convergência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H3.2</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Conjuntura</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Qualidade da leitura conjuntural</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Eficácia estratégica dos atores</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MBL (leitura precisa) vs. PT (defensiva e tardia)</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H3.3</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EOP+DOS</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Abertura simultânea EOP+DOS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Conjuntura crítica (momentous juncture)</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13/06/2013 = evento bifuncional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H3.4</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w:t>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Assimetria discursiva de um ciclo</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DOS do ciclo subsequente</w:t>
            </w:r>
          </w:p>
        </w:tc>
        <w:tc>
          <w:tcPr>
            <w:tcW w:type="dxa" w:w="1807"/>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Legado de 2013 → DOS pré-construída para 2015-16</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H3.5</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Conjuntura</w:t>
            </w:r>
          </w:p>
        </w:tc>
        <w:tc>
          <w:tcPr>
            <w:tcW w:type="dxa" w:w="180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Legados institucionais e discursivos</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Configuração do próximo ciclo</w:t>
            </w:r>
          </w:p>
        </w:tc>
        <w:tc>
          <w:tcPr>
            <w:tcW w:type="dxa" w:w="180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after="0" w:line="280"/>
              <w:jc w:val="both"/>
            </w:pPr>
            <w:r>
              <w:rPr>
                <w:rFonts w:ascii="Times New Roman" w:cs="Times New Roman" w:eastAsia="Times New Roman" w:hAnsi="Times New Roman"/>
                <w:sz w:val="20"/>
                <w:szCs w:val="20"/>
              </w:rPr>
              <w:t xml:space="preserve">Inacabamento de 2013 → abertura para autoritarismo de 2016-18</w:t>
            </w:r>
          </w:p>
        </w:tc>
      </w:tr>
    </w:tbl>
    <w:p>
      <w:pPr>
        <w:spacing w:after="80"/>
      </w:pPr>
      <w:r>
        <w:t xml:space="preserve"/>
      </w:r>
    </w:p>
    <w:p>
      <w:pPr>
        <w:spacing w:after="200" w:line="360"/>
        <w:jc w:val="both"/>
        <w:rPr>
          <w:i/>
          <w:iCs/>
          <w:sz w:val="20"/>
          <w:szCs w:val="20"/>
        </w:rPr>
      </w:pPr>
      <w:r>
        <w:rPr>
          <w:rFonts w:ascii="Times New Roman" w:cs="Times New Roman" w:eastAsia="Times New Roman" w:hAnsi="Times New Roman"/>
          <w:i/>
          <w:iCs/>
          <w:sz w:val="20"/>
          <w:szCs w:val="20"/>
        </w:rPr>
        <w:t xml:space="preserve">Fonte: elaboração própria a partir de Costa (2024) e da revisão bibliográfica realizada.</w:t>
      </w:r>
    </w:p>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7. Discussão: Implicações Teóricas e Metodológicas</w:t>
      </w:r>
    </w:p>
    <w:p>
      <w:pPr>
        <w:spacing w:after="200" w:line="360"/>
        <w:jc w:val="both"/>
      </w:pPr>
      <w:r>
        <w:rPr>
          <w:rFonts w:ascii="Times New Roman" w:cs="Times New Roman" w:eastAsia="Times New Roman" w:hAnsi="Times New Roman"/>
          <w:sz w:val="24"/>
          <w:szCs w:val="24"/>
        </w:rPr>
        <w:t xml:space="preserve">Os achados do estudo de caso e o quadro de hipóteses derivado do triângulo analítico permitem extrair três implicações de alcance mais geral, que transcendem o caso brasileiro.</w:t>
      </w:r>
    </w:p>
    <w:p>
      <w:pPr>
        <w:spacing w:after="200" w:line="360"/>
        <w:jc w:val="both"/>
      </w:pPr>
      <w:r>
        <w:rPr>
          <w:rFonts w:ascii="Times New Roman" w:cs="Times New Roman" w:eastAsia="Times New Roman" w:hAnsi="Times New Roman"/>
          <w:sz w:val="24"/>
          <w:szCs w:val="24"/>
        </w:rPr>
        <w:t xml:space="preserve">A primeira implicação é de ordem teórica. A integração entre EOP, DOS e análise de conjuntura resolve um problema de sub-especificação que tem limitado a capacidade explicativa de cada uma dessas dimensões tomadas isoladamente. A crítica de Gamson e Meyer (1996) à EOP como 'esponja analítica' pode ser respondida pela distinção sistemática entre condições político-institucionais (EOP) e condições discursivo-culturais (DOS): quando o pesquisador dispõe de instrumentos para medir ambas as dimensões, torna-se possível identificar quais combinações de oportunidade produzem quais tipos de resultado — superando a circularidade que resulta de tratar a EOP como variável residual. A análise de conjuntura, por sua vez, oferece à TPP o que Vandenberghe (2025) chama de orientação à práxis: uma dimensão estratégica e temporal que a teoria tende a subteorizar.</w:t>
      </w:r>
    </w:p>
    <w:p>
      <w:pPr>
        <w:spacing w:after="200" w:line="360"/>
        <w:jc w:val="both"/>
      </w:pPr>
      <w:r>
        <w:rPr>
          <w:rFonts w:ascii="Times New Roman" w:cs="Times New Roman" w:eastAsia="Times New Roman" w:hAnsi="Times New Roman"/>
          <w:sz w:val="24"/>
          <w:szCs w:val="24"/>
        </w:rPr>
        <w:t xml:space="preserve">A segunda implicação é metodológica. A proposição de que a DOS pode ser deliberadamente construída pelos atores — como demonstra o caso do impeachment de Dilma — tem implicações diretas para o protocolo de PEA: a codificação de claims (reivindicações) não pode ser tratada como mera descrição do que os manifestantes dizem, mas deve capturar também o enquadramento midiático que amplifica, silencia ou reconfigura essas reivindicações. Isso exige que o protocolo DoCA seja complementado por análise de conteúdo da cobertura midiática — o que o campo da PEA computacional (HAUNSS et al., 2025; LORENZINI et al., 2021) abre como possibilidade metodológica, ao permitir o processamento simultâneo de grandes volumes de texto jornalístico.</w:t>
      </w:r>
    </w:p>
    <w:p>
      <w:pPr>
        <w:spacing w:after="200" w:line="360"/>
        <w:jc w:val="both"/>
      </w:pPr>
      <w:r>
        <w:rPr>
          <w:rFonts w:ascii="Times New Roman" w:cs="Times New Roman" w:eastAsia="Times New Roman" w:hAnsi="Times New Roman"/>
          <w:sz w:val="24"/>
          <w:szCs w:val="24"/>
        </w:rPr>
        <w:t xml:space="preserve">A terceira implicação é para a análise de conjuntura brasileira. Os três ciclos estudados demonstram que a qualidade da leitura conjuntural dos atores — sua capacidade de identificar as configurações de EOP e DOS vigentes e de orientar suas estratégias a partir dessa leitura — tem impacto direto sobre os resultados das mobilizações. A assimetria de capacidade analítica entre o campo conservador (que produziu leituras mais precisas em 2015–2016) e o campo progressista (que reagiu de forma tardia e defensiva) não pode ser explicada apenas por diferenças de recursos materiais ou organizacionais — ela reflete diferenças na sofisticação do instrumental de análise de conjuntura disponível para cada campo. Incorporar sistematicamente a EOP e a DOS nesse instrumental é, portanto, não apenas uma contribuição teórica: é uma contribuição prática para os sujeitos políticos que utilizam a análise de conjuntura como ferramenta estratégica.</w:t>
      </w:r>
    </w:p>
    <w:p>
      <w:pPr>
        <w:pStyle w:val="Heading1"/>
        <w:spacing w:after="200" w:before="480"/>
      </w:pPr>
      <w:r>
        <w:rPr>
          <w:rFonts w:ascii="Times New Roman" w:cs="Times New Roman" w:eastAsia="Times New Roman" w:hAnsi="Times New Roman"/>
          <w:b/>
          <w:bCs/>
          <w:sz w:val="28"/>
          <w:szCs w:val="28"/>
        </w:rPr>
        <w:t xml:space="preserve">8. Considerações Finais</w:t>
      </w:r>
    </w:p>
    <w:p>
      <w:pPr>
        <w:spacing w:after="200" w:line="360"/>
        <w:jc w:val="both"/>
      </w:pPr>
      <w:r>
        <w:rPr>
          <w:rFonts w:ascii="Times New Roman" w:cs="Times New Roman" w:eastAsia="Times New Roman" w:hAnsi="Times New Roman"/>
          <w:sz w:val="24"/>
          <w:szCs w:val="24"/>
        </w:rPr>
        <w:t xml:space="preserve">Este artigo partiu de uma constatação de assimetria: a Teoria do Processo Político e a tradição brasileira de análise de conjuntura partilham um objeto de interesse comum — a compreensão dos momentos em que a ação coletiva emerge, expande-se e produz (ou não) resultados institucionais — mas têm operado em paralelo, sem diálogo sistemático. A proposição do triângulo EOP–DOS–Análise de Conjuntura não visa substituir nenhuma dessas tradições, mas fornecer um instrumento integrador que as torna analiticamente mais precisas e empiricamente mais robustas quando utilizadas em conjunto.</w:t>
      </w:r>
    </w:p>
    <w:p>
      <w:pPr>
        <w:spacing w:after="200" w:line="360"/>
        <w:jc w:val="both"/>
      </w:pPr>
      <w:r>
        <w:rPr>
          <w:rFonts w:ascii="Times New Roman" w:cs="Times New Roman" w:eastAsia="Times New Roman" w:hAnsi="Times New Roman"/>
          <w:sz w:val="24"/>
          <w:szCs w:val="24"/>
        </w:rPr>
        <w:t xml:space="preserve">O protocolo de PEA baseado no codebook DoCA, com automação via LLMs e validação humana sistemática, oferece o instrumento metodológico para operacionalizar empiricamente as três dimensões do triângulo — permitindo a construção de datasets longitudinais que capturem não apenas os eventos de protesto, mas as reivindicações (claims) articuladas em cada momento e a configuração discursiva em que essas reivindicações circulam.</w:t>
      </w:r>
    </w:p>
    <w:p>
      <w:pPr>
        <w:spacing w:after="200" w:line="360"/>
        <w:jc w:val="both"/>
      </w:pPr>
      <w:r>
        <w:rPr>
          <w:rFonts w:ascii="Times New Roman" w:cs="Times New Roman" w:eastAsia="Times New Roman" w:hAnsi="Times New Roman"/>
          <w:sz w:val="24"/>
          <w:szCs w:val="24"/>
        </w:rPr>
        <w:t xml:space="preserve">O quadro de 14 hipóteses testáveis, ancorado nos três ciclos de protesto brasileiros, constitui a agenda de pesquisa empírica que decorre do quadro teórico. As hipóteses H1.2 (vulnerabilidade das elites e resultado institucional), H2.4 (construção deliberada da DOS) e H3.3 (conjuntura crítica como abertura bifuncional de EOP e DOS) são as proposições de maior alcance explicativo e potencial de generalização para além do caso brasileiro. Sua testagem rigorosa, com dados primários e protocolos transparentes, é o próximo passo da agenda.</w:t>
      </w:r>
    </w:p>
    <w:p>
      <w:pPr>
        <w:spacing w:after="200" w:line="360"/>
        <w:jc w:val="both"/>
      </w:pPr>
      <w:r>
        <w:rPr>
          <w:rFonts w:ascii="Times New Roman" w:cs="Times New Roman" w:eastAsia="Times New Roman" w:hAnsi="Times New Roman"/>
          <w:sz w:val="24"/>
          <w:szCs w:val="24"/>
        </w:rPr>
        <w:t xml:space="preserve">Como limitação principal, o artigo não realizou coleta de dados primários: as evidências empíricas são derivadas de fontes secundárias e da sistematização de Costa (2024). Essa limitação é, ao mesmo tempo, a agenda de pesquisa futura: construir o banco `protest_events` a partir do Acervo Folha de S.Paulo via pipeline PEA-DoCA, complementado pelo banco `cycle_phases` de oportunidades contextuais, constituirá a base empírica para o teste sistemático das hipóteses aqui propostas.</w:t>
      </w:r>
    </w:p>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Declarações</w:t>
      </w:r>
    </w:p>
    <w:p>
      <w:pPr>
        <w:spacing w:after="200" w:line="360"/>
        <w:jc w:val="both"/>
        <w:rPr>
          <w:i/>
          <w:iCs/>
        </w:rPr>
      </w:pPr>
      <w:r>
        <w:rPr>
          <w:rFonts w:ascii="Times New Roman" w:cs="Times New Roman" w:eastAsia="Times New Roman" w:hAnsi="Times New Roman"/>
          <w:i/>
          <w:iCs/>
          <w:sz w:val="24"/>
          <w:szCs w:val="24"/>
        </w:rPr>
        <w:t xml:space="preserve">Disponibilidade de dados: O protocolo DoCA adaptado e o pipeline de processamento (scraper + codificador LLM) estão em desenvolvimento e serão disponibilizados em repositório público mediante publicação.</w:t>
      </w:r>
    </w:p>
    <w:p>
      <w:pPr>
        <w:spacing w:after="200" w:line="360"/>
        <w:jc w:val="both"/>
        <w:rPr>
          <w:i/>
          <w:iCs/>
        </w:rPr>
      </w:pPr>
      <w:r>
        <w:rPr>
          <w:rFonts w:ascii="Times New Roman" w:cs="Times New Roman" w:eastAsia="Times New Roman" w:hAnsi="Times New Roman"/>
          <w:i/>
          <w:iCs/>
          <w:sz w:val="24"/>
          <w:szCs w:val="24"/>
        </w:rPr>
        <w:t xml:space="preserve">Declaração de ética: O estudo não envolve sujeitos humanos e baseia-se exclusivamente em análise documental e de fontes secundárias.</w:t>
      </w:r>
    </w:p>
    <w:p>
      <w:pPr>
        <w:spacing w:after="200" w:line="360"/>
        <w:jc w:val="both"/>
        <w:rPr>
          <w:i/>
          <w:iCs/>
        </w:rPr>
      </w:pPr>
      <w:r>
        <w:rPr>
          <w:rFonts w:ascii="Times New Roman" w:cs="Times New Roman" w:eastAsia="Times New Roman" w:hAnsi="Times New Roman"/>
          <w:i/>
          <w:iCs/>
          <w:sz w:val="24"/>
          <w:szCs w:val="24"/>
        </w:rPr>
        <w:t xml:space="preserve">Conflito de interesses: O autor declara não haver conflito de interesses.</w:t>
      </w:r>
    </w:p>
    <w:p>
      <w:pPr>
        <w:spacing w:after="200" w:line="360"/>
        <w:jc w:val="both"/>
        <w:rPr>
          <w:i/>
          <w:iCs/>
        </w:rPr>
      </w:pPr>
      <w:r>
        <w:rPr>
          <w:rFonts w:ascii="Times New Roman" w:cs="Times New Roman" w:eastAsia="Times New Roman" w:hAnsi="Times New Roman"/>
          <w:i/>
          <w:iCs/>
          <w:sz w:val="24"/>
          <w:szCs w:val="24"/>
        </w:rPr>
        <w:t xml:space="preserve">Financiamento: O autor declara não ter recebido financiamento específico para esta pesquisa.</w:t>
      </w:r>
    </w:p>
    <w:p>
      <w:pPr>
        <w:spacing w:after="200" w:line="360"/>
        <w:jc w:val="both"/>
        <w:rPr>
          <w:i/>
          <w:iCs/>
        </w:rPr>
      </w:pPr>
      <w:r>
        <w:rPr>
          <w:rFonts w:ascii="Times New Roman" w:cs="Times New Roman" w:eastAsia="Times New Roman" w:hAnsi="Times New Roman"/>
          <w:i/>
          <w:iCs/>
          <w:sz w:val="24"/>
          <w:szCs w:val="24"/>
        </w:rPr>
        <w:t xml:space="preserve">Declaração de uso de IA: Este artigo foi redigido com apoio de ferramentas de inteligência artificial (Claude, Anthropic) para revisão de literatura, organização estrutural e sugestões editoriais. Todo o conteúdo analítico, teórico e interpretativo é de responsabilidade exclusiva do autor.</w:t>
      </w:r>
    </w:p>
    <w:p>
      <w:pPr>
        <w:spacing w:after="200" w:line="360"/>
        <w:jc w:val="both"/>
        <w:rPr>
          <w:i/>
          <w:iCs/>
        </w:rPr>
      </w:pPr>
      <w:r>
        <w:rPr>
          <w:rFonts w:ascii="Times New Roman" w:cs="Times New Roman" w:eastAsia="Times New Roman" w:hAnsi="Times New Roman"/>
          <w:i/>
          <w:iCs/>
          <w:sz w:val="24"/>
          <w:szCs w:val="24"/>
        </w:rPr>
        <w:t xml:space="preserve">Contribuição do autor (CRediT): Conceptualization — G.P.C.; Methodology — G.P.C.; Writing (original draft) — G.P.C.; Writing (review &amp; editing) — G.P.C.; Formal Analysis — G.P.C.; Investigation — G.P.C.</w:t>
      </w:r>
    </w:p>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Referências</w:t>
      </w:r>
    </w:p>
    <w:p>
      <w:pPr>
        <w:spacing w:after="160" w:line="320"/>
        <w:ind w:left="720" w:hanging="720"/>
        <w:jc w:val="both"/>
      </w:pPr>
      <w:r>
        <w:rPr>
          <w:rFonts w:ascii="Times New Roman" w:cs="Times New Roman" w:eastAsia="Times New Roman" w:hAnsi="Times New Roman"/>
          <w:sz w:val="22"/>
          <w:szCs w:val="22"/>
        </w:rPr>
        <w:t xml:space="preserve">ALONSO, Angela; MISCHE, Ann. Changing repertoires and partisan ambivalence in the new Brazilian protests. Bulletin of Latin American Research, v. 36, n. 2, p. 144–159, 2017. Disponível em: https://consensus.app/papers/details/e29f38e3d49a59a581afdb7064175951</w:t>
      </w:r>
    </w:p>
    <w:p>
      <w:pPr>
        <w:spacing w:after="160" w:line="320"/>
        <w:ind w:left="720" w:hanging="720"/>
        <w:jc w:val="both"/>
      </w:pPr>
      <w:r>
        <w:rPr>
          <w:rFonts w:ascii="Times New Roman" w:cs="Times New Roman" w:eastAsia="Times New Roman" w:hAnsi="Times New Roman"/>
          <w:sz w:val="22"/>
          <w:szCs w:val="22"/>
        </w:rPr>
        <w:t xml:space="preserve">BECKER, C. et al. Manifestações e votos sobre impeachment de Dilma Rousseff na primeira página de jornais brasileiros. Revista Latinoamericana de Ciencias de la Comunicación, v. 13, n. 24, 2017.</w:t>
      </w:r>
    </w:p>
    <w:p>
      <w:pPr>
        <w:spacing w:after="160" w:line="320"/>
        <w:ind w:left="720" w:hanging="720"/>
        <w:jc w:val="both"/>
      </w:pPr>
      <w:r>
        <w:rPr>
          <w:rFonts w:ascii="Times New Roman" w:cs="Times New Roman" w:eastAsia="Times New Roman" w:hAnsi="Times New Roman"/>
          <w:sz w:val="22"/>
          <w:szCs w:val="22"/>
        </w:rPr>
        <w:t xml:space="preserve">BRINGEL, Breno; PLEYERS, Geoffrey (Ed.). June 2013, five years later: polarization, reconfiguration of activism and challenges for the Brazilian left. In: ______. The Brazilian Left in the 21st Century. [s.l.]: Springer, 2019.</w:t>
      </w:r>
    </w:p>
    <w:p>
      <w:pPr>
        <w:spacing w:after="160" w:line="320"/>
        <w:ind w:left="720" w:hanging="720"/>
        <w:jc w:val="both"/>
      </w:pPr>
      <w:r>
        <w:rPr>
          <w:rFonts w:ascii="Times New Roman" w:cs="Times New Roman" w:eastAsia="Times New Roman" w:hAnsi="Times New Roman"/>
          <w:sz w:val="22"/>
          <w:szCs w:val="22"/>
        </w:rPr>
        <w:t xml:space="preserve">BRUHN, Kathleen. With friends like these: protest strategies and the left in Brazil and Mexico. 2024. Disponível em: https://consensus.app/papers/details/7fc4693346f054d7a2d9bf56fe78cf63</w:t>
      </w:r>
    </w:p>
    <w:p>
      <w:pPr>
        <w:spacing w:after="160" w:line="320"/>
        <w:ind w:left="720" w:hanging="720"/>
        <w:jc w:val="both"/>
      </w:pPr>
      <w:r>
        <w:rPr>
          <w:rFonts w:ascii="Times New Roman" w:cs="Times New Roman" w:eastAsia="Times New Roman" w:hAnsi="Times New Roman"/>
          <w:sz w:val="22"/>
          <w:szCs w:val="22"/>
        </w:rPr>
        <w:t xml:space="preserve">CAMMAERTS, Bart. Protest logics and the mediation opportunity structure. European Journal of Communication, v. 27, n. 2, p. 117–134, 2012. DOI: 10.1177/0267323112441007.</w:t>
      </w:r>
    </w:p>
    <w:p>
      <w:pPr>
        <w:spacing w:after="160" w:line="320"/>
        <w:ind w:left="720" w:hanging="720"/>
        <w:jc w:val="both"/>
      </w:pPr>
      <w:r>
        <w:rPr>
          <w:rFonts w:ascii="Times New Roman" w:cs="Times New Roman" w:eastAsia="Times New Roman" w:hAnsi="Times New Roman"/>
          <w:sz w:val="22"/>
          <w:szCs w:val="22"/>
        </w:rPr>
        <w:t xml:space="preserve">CARLOS, Euzeneia; DOWBOR, Marta; ALBUQUERQUE, Maria do Carmo. Movimentos sociais e seus efeitos nas políticas públicas. Civitas – Revista de Ciências Sociais, v. 17, n. 2, p. 360–378, 2017.</w:t>
      </w:r>
    </w:p>
    <w:p>
      <w:pPr>
        <w:spacing w:after="160" w:line="320"/>
        <w:ind w:left="720" w:hanging="720"/>
        <w:jc w:val="both"/>
      </w:pPr>
      <w:r>
        <w:rPr>
          <w:rFonts w:ascii="Times New Roman" w:cs="Times New Roman" w:eastAsia="Times New Roman" w:hAnsi="Times New Roman"/>
          <w:sz w:val="22"/>
          <w:szCs w:val="22"/>
        </w:rPr>
        <w:t xml:space="preserve">COSTA, Gustavo Paccelli da. Estruturas de mobilização e oportunidades políticas: análise dos ciclos de protestos no Brasil contemporâneo. 2024. 233 f. Tese (Doutorado em Ciências Sociais) — PPGCS/UFJF, Juiz de Fora, 2024.</w:t>
      </w:r>
    </w:p>
    <w:p>
      <w:pPr>
        <w:spacing w:after="160" w:line="320"/>
        <w:ind w:left="720" w:hanging="720"/>
        <w:jc w:val="both"/>
      </w:pPr>
      <w:r>
        <w:rPr>
          <w:rFonts w:ascii="Times New Roman" w:cs="Times New Roman" w:eastAsia="Times New Roman" w:hAnsi="Times New Roman"/>
          <w:sz w:val="22"/>
          <w:szCs w:val="22"/>
        </w:rPr>
        <w:t xml:space="preserve">DAVIES, Jonathan S. Gramscian considerations on the contentious politics of austere neoliberalism. Social Movement Studies, 2023. DOI: https://consensus.app/papers/details/477dc17c424859f29aaa35d86ad2c212</w:t>
      </w:r>
    </w:p>
    <w:p>
      <w:pPr>
        <w:spacing w:after="160" w:line="320"/>
        <w:ind w:left="720" w:hanging="720"/>
        <w:jc w:val="both"/>
      </w:pPr>
      <w:r>
        <w:rPr>
          <w:rFonts w:ascii="Times New Roman" w:cs="Times New Roman" w:eastAsia="Times New Roman" w:hAnsi="Times New Roman"/>
          <w:sz w:val="22"/>
          <w:szCs w:val="22"/>
        </w:rPr>
        <w:t xml:space="preserve">DELLA PORTA, Donatella. Protests as critical junctures: some reflections towards a momentous approach to social movements. Social Movement Studies, v. 19, n. 5–6, p. 556–575, 2020. DOI: 10.1080/14742837.2018.1555458.</w:t>
      </w:r>
    </w:p>
    <w:p>
      <w:pPr>
        <w:spacing w:after="160" w:line="320"/>
        <w:ind w:left="720" w:hanging="720"/>
        <w:jc w:val="both"/>
      </w:pPr>
      <w:r>
        <w:rPr>
          <w:rFonts w:ascii="Times New Roman" w:cs="Times New Roman" w:eastAsia="Times New Roman" w:hAnsi="Times New Roman"/>
          <w:sz w:val="22"/>
          <w:szCs w:val="22"/>
        </w:rPr>
        <w:t xml:space="preserve">DELLA PORTA, Donatella. Contentious Politics in Emergency Critical Junctures. Cambridge: Cambridge University Press, 2022.</w:t>
      </w:r>
    </w:p>
    <w:p>
      <w:pPr>
        <w:spacing w:after="160" w:line="320"/>
        <w:ind w:left="720" w:hanging="720"/>
        <w:jc w:val="both"/>
      </w:pPr>
      <w:r>
        <w:rPr>
          <w:rFonts w:ascii="Times New Roman" w:cs="Times New Roman" w:eastAsia="Times New Roman" w:hAnsi="Times New Roman"/>
          <w:sz w:val="22"/>
          <w:szCs w:val="22"/>
        </w:rPr>
        <w:t xml:space="preserve">DOBRY, Michel. Sociologie des crises politiques. Paris: Presses de Sciences Po, 1986.</w:t>
      </w:r>
    </w:p>
    <w:p>
      <w:pPr>
        <w:spacing w:after="160" w:line="320"/>
        <w:ind w:left="720" w:hanging="720"/>
        <w:jc w:val="both"/>
      </w:pPr>
      <w:r>
        <w:rPr>
          <w:rFonts w:ascii="Times New Roman" w:cs="Times New Roman" w:eastAsia="Times New Roman" w:hAnsi="Times New Roman"/>
          <w:sz w:val="22"/>
          <w:szCs w:val="22"/>
        </w:rPr>
        <w:t xml:space="preserve">EARL, Jennifer et al. The use of newspaper data in the study of collective action. Annual Review of Sociology, v. 29, p. 65–84, 2003. Disponível em: https://consensus.app/papers/details/442a9229fb375d568db7548a8c6ccc49</w:t>
      </w:r>
    </w:p>
    <w:p>
      <w:pPr>
        <w:spacing w:after="160" w:line="320"/>
        <w:ind w:left="720" w:hanging="720"/>
        <w:jc w:val="both"/>
      </w:pPr>
      <w:r>
        <w:rPr>
          <w:rFonts w:ascii="Times New Roman" w:cs="Times New Roman" w:eastAsia="Times New Roman" w:hAnsi="Times New Roman"/>
          <w:sz w:val="22"/>
          <w:szCs w:val="22"/>
        </w:rPr>
        <w:t xml:space="preserve">FERREE, Myra Marx. Resonance and radicalism: feminist framing in the abortion debates of the United States and Germany. American Journal of Sociology, v. 109, n. 2, p. 304–344, 2003.</w:t>
      </w:r>
    </w:p>
    <w:p>
      <w:pPr>
        <w:spacing w:after="160" w:line="320"/>
        <w:ind w:left="720" w:hanging="720"/>
        <w:jc w:val="both"/>
      </w:pPr>
      <w:r>
        <w:rPr>
          <w:rFonts w:ascii="Times New Roman" w:cs="Times New Roman" w:eastAsia="Times New Roman" w:hAnsi="Times New Roman"/>
          <w:sz w:val="22"/>
          <w:szCs w:val="22"/>
        </w:rPr>
        <w:t xml:space="preserve">FERREE, Myra Marx; GAMSON, William A.; GERHARDS, Jürgen; RUCHT, Dieter. Shaping Abortion Discourse: Democracy and the Public Sphere in Germany and the United States. Cambridge: Cambridge University Press, 2002.</w:t>
      </w:r>
    </w:p>
    <w:p>
      <w:pPr>
        <w:spacing w:after="160" w:line="320"/>
        <w:ind w:left="720" w:hanging="720"/>
        <w:jc w:val="both"/>
      </w:pPr>
      <w:r>
        <w:rPr>
          <w:rFonts w:ascii="Times New Roman" w:cs="Times New Roman" w:eastAsia="Times New Roman" w:hAnsi="Times New Roman"/>
          <w:sz w:val="22"/>
          <w:szCs w:val="22"/>
        </w:rPr>
        <w:t xml:space="preserve">FIGUEIREDO, Argelina. The Collor Impeachment and Presidential Government in Brazil. In: LLANOS, Mariana; MARSTEINTREDET, Leiv (Ed.). Presidential Breakdowns in Latin America. New York: Palgrave Macmillan, 2010.</w:t>
      </w:r>
    </w:p>
    <w:p>
      <w:pPr>
        <w:spacing w:after="160" w:line="320"/>
        <w:ind w:left="720" w:hanging="720"/>
        <w:jc w:val="both"/>
      </w:pPr>
      <w:r>
        <w:rPr>
          <w:rFonts w:ascii="Times New Roman" w:cs="Times New Roman" w:eastAsia="Times New Roman" w:hAnsi="Times New Roman"/>
          <w:sz w:val="22"/>
          <w:szCs w:val="22"/>
        </w:rPr>
        <w:t xml:space="preserve">FONTES, G. S.; FERRACIOLI, P.; SAMPAIO, R. Petrolão na mídia: o enquadramento de 18 meses da Operação Lava Jato nas revistas impressas. Revista Agenda Política, v. 4, n. 3, p. 237–269, 2016.</w:t>
      </w:r>
    </w:p>
    <w:p>
      <w:pPr>
        <w:spacing w:after="160" w:line="320"/>
        <w:ind w:left="720" w:hanging="720"/>
        <w:jc w:val="both"/>
      </w:pPr>
      <w:r>
        <w:rPr>
          <w:rFonts w:ascii="Times New Roman" w:cs="Times New Roman" w:eastAsia="Times New Roman" w:hAnsi="Times New Roman"/>
          <w:sz w:val="22"/>
          <w:szCs w:val="22"/>
        </w:rPr>
        <w:t xml:space="preserve">GAMSON, William A.; MEYER, David S. Framing political opportunity. In: McADAM, Doug; McCARTHY, John D.; ZALD, Mayer N. (Ed.). Comparative Perspectives on Social Movements. Cambridge: Cambridge University Press, 1996. p. 275–290.</w:t>
      </w:r>
    </w:p>
    <w:p>
      <w:pPr>
        <w:spacing w:after="160" w:line="320"/>
        <w:ind w:left="720" w:hanging="720"/>
        <w:jc w:val="both"/>
      </w:pPr>
      <w:r>
        <w:rPr>
          <w:rFonts w:ascii="Times New Roman" w:cs="Times New Roman" w:eastAsia="Times New Roman" w:hAnsi="Times New Roman"/>
          <w:sz w:val="22"/>
          <w:szCs w:val="22"/>
        </w:rPr>
        <w:t xml:space="preserve">GLEDITSCH, Kristian Skrede et al. Political opportunity structures, democracy, and civil war. Journal of Peace Research, v. 47, n. 3, p. 299–310, 2010. Disponível em: https://consensus.app/papers/details/f4a421ed9a955af3891a5631087de775</w:t>
      </w:r>
    </w:p>
    <w:p>
      <w:pPr>
        <w:spacing w:after="160" w:line="320"/>
        <w:ind w:left="720" w:hanging="720"/>
        <w:jc w:val="both"/>
      </w:pPr>
      <w:r>
        <w:rPr>
          <w:rFonts w:ascii="Times New Roman" w:cs="Times New Roman" w:eastAsia="Times New Roman" w:hAnsi="Times New Roman"/>
          <w:sz w:val="22"/>
          <w:szCs w:val="22"/>
        </w:rPr>
        <w:t xml:space="preserve">GOHN, Maria da Glória. Movimentos e mobilizações sociais no Brasil: de 2013 aos dias atuais. Saúde em Debate, v. 42, n. especial 2, out. 2018.</w:t>
      </w:r>
    </w:p>
    <w:p>
      <w:pPr>
        <w:spacing w:after="160" w:line="320"/>
        <w:ind w:left="720" w:hanging="720"/>
        <w:jc w:val="both"/>
      </w:pPr>
      <w:r>
        <w:rPr>
          <w:rFonts w:ascii="Times New Roman" w:cs="Times New Roman" w:eastAsia="Times New Roman" w:hAnsi="Times New Roman"/>
          <w:sz w:val="22"/>
          <w:szCs w:val="22"/>
        </w:rPr>
        <w:t xml:space="preserve">GREEN, James N. Understanding the crisis of democracy in Brazil. Latin American Perspectives, v. 46, n. 1, 2019. Disponível em: https://consensus.app/papers/details/3a7f4b614d7b5c10b8c19fa4b04f97e2</w:t>
      </w:r>
    </w:p>
    <w:p>
      <w:pPr>
        <w:spacing w:after="160" w:line="320"/>
        <w:ind w:left="720" w:hanging="720"/>
        <w:jc w:val="both"/>
      </w:pPr>
      <w:r>
        <w:rPr>
          <w:rFonts w:ascii="Times New Roman" w:cs="Times New Roman" w:eastAsia="Times New Roman" w:hAnsi="Times New Roman"/>
          <w:sz w:val="22"/>
          <w:szCs w:val="22"/>
        </w:rPr>
        <w:t xml:space="preserve">HALTERMAN, Andrew et al. Codebook LLMs: evaluating LLMs as measurement tools for political science concepts. Political Analysis, 2024. Disponível em: https://consensus.app/papers/details/a505f4c9fbd45ff3a46b76af4f584012</w:t>
      </w:r>
    </w:p>
    <w:p>
      <w:pPr>
        <w:spacing w:after="160" w:line="320"/>
        <w:ind w:left="720" w:hanging="720"/>
        <w:jc w:val="both"/>
      </w:pPr>
      <w:r>
        <w:rPr>
          <w:rFonts w:ascii="Times New Roman" w:cs="Times New Roman" w:eastAsia="Times New Roman" w:hAnsi="Times New Roman"/>
          <w:sz w:val="22"/>
          <w:szCs w:val="22"/>
        </w:rPr>
        <w:t xml:space="preserve">HAUNSS, Sebastian et al. PAPEA: a modular pipeline for the automation of protest event analysis. Political Science Research and Methods, 2025. DOI: 10.1017/psrm.2025.6.</w:t>
      </w:r>
    </w:p>
    <w:p>
      <w:pPr>
        <w:spacing w:after="160" w:line="320"/>
        <w:ind w:left="720" w:hanging="720"/>
        <w:jc w:val="both"/>
      </w:pPr>
      <w:r>
        <w:rPr>
          <w:rFonts w:ascii="Times New Roman" w:cs="Times New Roman" w:eastAsia="Times New Roman" w:hAnsi="Times New Roman"/>
          <w:sz w:val="22"/>
          <w:szCs w:val="22"/>
        </w:rPr>
        <w:t xml:space="preserve">HESELTINE, Michael et al. Large language models as a substitute for human experts in annotating political text. Research &amp; Politics, 2024. Disponível em: https://consensus.app/papers/details/f5155a14728c527c8bf6f283bf9e70bb</w:t>
      </w:r>
    </w:p>
    <w:p>
      <w:pPr>
        <w:spacing w:after="160" w:line="320"/>
        <w:ind w:left="720" w:hanging="720"/>
        <w:jc w:val="both"/>
      </w:pPr>
      <w:r>
        <w:rPr>
          <w:rFonts w:ascii="Times New Roman" w:cs="Times New Roman" w:eastAsia="Times New Roman" w:hAnsi="Times New Roman"/>
          <w:sz w:val="22"/>
          <w:szCs w:val="22"/>
        </w:rPr>
        <w:t xml:space="preserve">JAMI, Waleed A. et al. Political opportunity, democracy, and 40 years of protest, 1981–2020: a cross-national analysis. Social Science Quarterly, 2022. DOI: 10.1111/ssqu.13114.</w:t>
      </w:r>
    </w:p>
    <w:p>
      <w:pPr>
        <w:spacing w:after="160" w:line="320"/>
        <w:ind w:left="720" w:hanging="720"/>
        <w:jc w:val="both"/>
      </w:pPr>
      <w:r>
        <w:rPr>
          <w:rFonts w:ascii="Times New Roman" w:cs="Times New Roman" w:eastAsia="Times New Roman" w:hAnsi="Times New Roman"/>
          <w:sz w:val="22"/>
          <w:szCs w:val="22"/>
        </w:rPr>
        <w:t xml:space="preserve">JATOBÁ, Daniel. Análise de conjuntura: o que é e como se faz? Juiz de Fora: [s.n.], 2025.</w:t>
      </w:r>
    </w:p>
    <w:p>
      <w:pPr>
        <w:spacing w:after="160" w:line="320"/>
        <w:ind w:left="720" w:hanging="720"/>
        <w:jc w:val="both"/>
      </w:pPr>
      <w:r>
        <w:rPr>
          <w:rFonts w:ascii="Times New Roman" w:cs="Times New Roman" w:eastAsia="Times New Roman" w:hAnsi="Times New Roman"/>
          <w:sz w:val="22"/>
          <w:szCs w:val="22"/>
        </w:rPr>
        <w:t xml:space="preserve">KITSCHELT, Herbert P. Political opportunity structures and political protest: anti-nuclear movements in four democracies. British Journal of Political Science, v. 16, n. 1, p. 57–85, 1986. Disponível em: https://consensus.app/papers/details/26ce2f7e18e95177b3c074f6fb0d4183</w:t>
      </w:r>
    </w:p>
    <w:p>
      <w:pPr>
        <w:spacing w:after="160" w:line="320"/>
        <w:ind w:left="720" w:hanging="720"/>
        <w:jc w:val="both"/>
      </w:pPr>
      <w:r>
        <w:rPr>
          <w:rFonts w:ascii="Times New Roman" w:cs="Times New Roman" w:eastAsia="Times New Roman" w:hAnsi="Times New Roman"/>
          <w:sz w:val="22"/>
          <w:szCs w:val="22"/>
        </w:rPr>
        <w:t xml:space="preserve">KOOPMANS, Ruud; STATHAM, Paul. Political claims analysis: integrating protest event and political discourse approaches. Mobilization, v. 4, n. 2, p. 203–221, 1999. Disponível em: https://consensus.app/papers/details/9e65249070e85a81a98a32721ae87699</w:t>
      </w:r>
    </w:p>
    <w:p>
      <w:pPr>
        <w:spacing w:after="160" w:line="320"/>
        <w:ind w:left="720" w:hanging="720"/>
        <w:jc w:val="both"/>
      </w:pPr>
      <w:r>
        <w:rPr>
          <w:rFonts w:ascii="Times New Roman" w:cs="Times New Roman" w:eastAsia="Times New Roman" w:hAnsi="Times New Roman"/>
          <w:sz w:val="22"/>
          <w:szCs w:val="22"/>
        </w:rPr>
        <w:t xml:space="preserve">LIÑÁN, Aníbal Pérez. ¿Juicio político o golpe legislativo? Sobre las crisis constitucionales en los años noventa. Revista de Ciencia Política, 2009. Disponível em: https://consensus.app/papers/details/162d778e049f52aa843e0762ae8a155e</w:t>
      </w:r>
    </w:p>
    <w:p>
      <w:pPr>
        <w:spacing w:after="160" w:line="320"/>
        <w:ind w:left="720" w:hanging="720"/>
        <w:jc w:val="both"/>
      </w:pPr>
      <w:r>
        <w:rPr>
          <w:rFonts w:ascii="Times New Roman" w:cs="Times New Roman" w:eastAsia="Times New Roman" w:hAnsi="Times New Roman"/>
          <w:sz w:val="22"/>
          <w:szCs w:val="22"/>
        </w:rPr>
        <w:t xml:space="preserve">LI, Mengyu et al. Platform affordances, discursive opportunities, and social media activism. New Media &amp; Society, 2024. Disponível em: https://consensus.app/papers/details/2e84fe47eafd5eaab73778c1c47ba82e</w:t>
      </w:r>
    </w:p>
    <w:p>
      <w:pPr>
        <w:spacing w:after="160" w:line="320"/>
        <w:ind w:left="720" w:hanging="720"/>
        <w:jc w:val="both"/>
      </w:pPr>
      <w:r>
        <w:rPr>
          <w:rFonts w:ascii="Times New Roman" w:cs="Times New Roman" w:eastAsia="Times New Roman" w:hAnsi="Times New Roman"/>
          <w:sz w:val="22"/>
          <w:szCs w:val="22"/>
        </w:rPr>
        <w:t xml:space="preserve">LORENZINI, Jasmine et al. Protest event analysis: developing a semiautomated NLP approach. American Behavioral Scientist, 2021. Disponível em: https://consensus.app/papers/details/92c03748daa85a9890bebbfdd5d225cb</w:t>
      </w:r>
    </w:p>
    <w:p>
      <w:pPr>
        <w:spacing w:after="160" w:line="320"/>
        <w:ind w:left="720" w:hanging="720"/>
        <w:jc w:val="both"/>
      </w:pPr>
      <w:r>
        <w:rPr>
          <w:rFonts w:ascii="Times New Roman" w:cs="Times New Roman" w:eastAsia="Times New Roman" w:hAnsi="Times New Roman"/>
          <w:sz w:val="22"/>
          <w:szCs w:val="22"/>
        </w:rPr>
        <w:t xml:space="preserve">MARIANO, Marcello Peixoto; FERREIRA, Gabriela; NEVES, Bruno. Uma crítica do conceito de conjuntura crítica: a questão da mudança no Institucionalismo Histórico. Revista de Sociologia e Política, v. 31, 2023.</w:t>
      </w:r>
    </w:p>
    <w:p>
      <w:pPr>
        <w:spacing w:after="160" w:line="320"/>
        <w:ind w:left="720" w:hanging="720"/>
        <w:jc w:val="both"/>
      </w:pPr>
      <w:r>
        <w:rPr>
          <w:rFonts w:ascii="Times New Roman" w:cs="Times New Roman" w:eastAsia="Times New Roman" w:hAnsi="Times New Roman"/>
          <w:sz w:val="22"/>
          <w:szCs w:val="22"/>
        </w:rPr>
        <w:t xml:space="preserve">MARTINS, Marcela. Political mobilization in Brazil from 2013 to 2017: a technopolitical analysis using surveys and social network data mining. 2019. Disponível em: https://consensus.app/papers/details/8ff1043213ee53d8903d20ee4fc370ea</w:t>
      </w:r>
    </w:p>
    <w:p>
      <w:pPr>
        <w:spacing w:after="160" w:line="320"/>
        <w:ind w:left="720" w:hanging="720"/>
        <w:jc w:val="both"/>
      </w:pPr>
      <w:r>
        <w:rPr>
          <w:rFonts w:ascii="Times New Roman" w:cs="Times New Roman" w:eastAsia="Times New Roman" w:hAnsi="Times New Roman"/>
          <w:sz w:val="22"/>
          <w:szCs w:val="22"/>
        </w:rPr>
        <w:t xml:space="preserve">McADAM, Doug; McCARTHY, John D.; ZALD, Mayer N. (Ed.). Comparative Perspectives on Social Movements: Political Opportunities, Mobilizing Structures, and Cultural Framings. Cambridge: Cambridge University Press, 1996.</w:t>
      </w:r>
    </w:p>
    <w:p>
      <w:pPr>
        <w:spacing w:after="160" w:line="320"/>
        <w:ind w:left="720" w:hanging="720"/>
        <w:jc w:val="both"/>
      </w:pPr>
      <w:r>
        <w:rPr>
          <w:rFonts w:ascii="Times New Roman" w:cs="Times New Roman" w:eastAsia="Times New Roman" w:hAnsi="Times New Roman"/>
          <w:sz w:val="22"/>
          <w:szCs w:val="22"/>
        </w:rPr>
        <w:t xml:space="preserve">McADAM, Doug; TARROW, Sidney; TILLY, Charles. Dynamics of Contention. Cambridge: Cambridge University Press, 2001.</w:t>
      </w:r>
    </w:p>
    <w:p>
      <w:pPr>
        <w:spacing w:after="160" w:line="320"/>
        <w:ind w:left="720" w:hanging="720"/>
        <w:jc w:val="both"/>
      </w:pPr>
      <w:r>
        <w:rPr>
          <w:rFonts w:ascii="Times New Roman" w:cs="Times New Roman" w:eastAsia="Times New Roman" w:hAnsi="Times New Roman"/>
          <w:sz w:val="22"/>
          <w:szCs w:val="22"/>
        </w:rPr>
        <w:t xml:space="preserve">McCAMMON, Holly J. Discursive opportunity structure. In: SNOW, David A. et al. (Ed.). The Wiley-Blackwell Encyclopedia of Social and Political Movements. Oxford: Wiley-Blackwell, 2013.</w:t>
      </w:r>
    </w:p>
    <w:p>
      <w:pPr>
        <w:spacing w:after="160" w:line="320"/>
        <w:ind w:left="720" w:hanging="720"/>
        <w:jc w:val="both"/>
      </w:pPr>
      <w:r>
        <w:rPr>
          <w:rFonts w:ascii="Times New Roman" w:cs="Times New Roman" w:eastAsia="Times New Roman" w:hAnsi="Times New Roman"/>
          <w:sz w:val="22"/>
          <w:szCs w:val="22"/>
        </w:rPr>
        <w:t xml:space="preserve">McCAMMON, Holly J. et al. Movement framing and discursive opportunity structures: the political successes of the US Women's Jury movements. American Sociological Review, v. 72, n. 5, p. 725–749, 2007. Disponível em: https://consensus.app/papers/details/03c975b93e0a5d8daa2c2c558b492f9a</w:t>
      </w:r>
    </w:p>
    <w:p>
      <w:pPr>
        <w:spacing w:after="160" w:line="320"/>
        <w:ind w:left="720" w:hanging="720"/>
        <w:jc w:val="both"/>
      </w:pPr>
      <w:r>
        <w:rPr>
          <w:rFonts w:ascii="Times New Roman" w:cs="Times New Roman" w:eastAsia="Times New Roman" w:hAnsi="Times New Roman"/>
          <w:sz w:val="22"/>
          <w:szCs w:val="22"/>
        </w:rPr>
        <w:t xml:space="preserve">MISCHE, Ann. Projecting democracy: the formation of citizenship across youth networks in Brazil. International Review of Social History, v. 40, Supplement, p. 131–158, 1995. Disponível em: https://consensus.app/papers/details/0cda4c86e5325319b99f39b8c70435b5</w:t>
      </w:r>
    </w:p>
    <w:p>
      <w:pPr>
        <w:spacing w:after="160" w:line="320"/>
        <w:ind w:left="720" w:hanging="720"/>
        <w:jc w:val="both"/>
      </w:pPr>
      <w:r>
        <w:rPr>
          <w:rFonts w:ascii="Times New Roman" w:cs="Times New Roman" w:eastAsia="Times New Roman" w:hAnsi="Times New Roman"/>
          <w:sz w:val="22"/>
          <w:szCs w:val="22"/>
        </w:rPr>
        <w:t xml:space="preserve">MOLAEI, Hamideh. Discursive opportunity structure and the contribution of social media to the success of social movements in Indonesia. Information, Communication &amp; Society, v. 18, n. 1, p. 84–98, 2015. DOI: 10.1080/1369118X.2014.919836.</w:t>
      </w:r>
    </w:p>
    <w:p>
      <w:pPr>
        <w:spacing w:after="160" w:line="320"/>
        <w:ind w:left="720" w:hanging="720"/>
        <w:jc w:val="both"/>
      </w:pPr>
      <w:r>
        <w:rPr>
          <w:rFonts w:ascii="Times New Roman" w:cs="Times New Roman" w:eastAsia="Times New Roman" w:hAnsi="Times New Roman"/>
          <w:sz w:val="22"/>
          <w:szCs w:val="22"/>
        </w:rPr>
        <w:t xml:space="preserve">MOTTA, Rachel. Transnational discursive opportunities and social movement risk frames opposing GMOs. Social Movement Studies, v. 14, n. 3, p. 284–300, 2015. DOI: 10.1080/14742837.2014.958529.</w:t>
      </w:r>
    </w:p>
    <w:p>
      <w:pPr>
        <w:spacing w:after="160" w:line="320"/>
        <w:ind w:left="720" w:hanging="720"/>
        <w:jc w:val="both"/>
      </w:pPr>
      <w:r>
        <w:rPr>
          <w:rFonts w:ascii="Times New Roman" w:cs="Times New Roman" w:eastAsia="Times New Roman" w:hAnsi="Times New Roman"/>
          <w:sz w:val="22"/>
          <w:szCs w:val="22"/>
        </w:rPr>
        <w:t xml:space="preserve">NATALUCCI, Ana; PAGLIARONE, María Florencia. Social mobilization and political change in countries governed by the left: the cases of Argentina and Brazil. British Journal of Sociology, 2021. Disponível em: https://consensus.app/papers/details/f0c0743a5b1a5c7c8990ba3b8df5d896</w:t>
      </w:r>
    </w:p>
    <w:p>
      <w:pPr>
        <w:spacing w:after="160" w:line="320"/>
        <w:ind w:left="720" w:hanging="720"/>
        <w:jc w:val="both"/>
      </w:pPr>
      <w:r>
        <w:rPr>
          <w:rFonts w:ascii="Times New Roman" w:cs="Times New Roman" w:eastAsia="Times New Roman" w:hAnsi="Times New Roman"/>
          <w:sz w:val="22"/>
          <w:szCs w:val="22"/>
        </w:rPr>
        <w:t xml:space="preserve">RATLIFF, Thomas; JASPER, James. Practicing the art of dissent. Humanity &amp; Society, v. 38, n. 1, 2014. Disponível em: https://consensus.app/papers/details/be07863880da5953b20805e3638614d8</w:t>
      </w:r>
    </w:p>
    <w:p>
      <w:pPr>
        <w:spacing w:after="160" w:line="320"/>
        <w:ind w:left="720" w:hanging="720"/>
        <w:jc w:val="both"/>
      </w:pPr>
      <w:r>
        <w:rPr>
          <w:rFonts w:ascii="Times New Roman" w:cs="Times New Roman" w:eastAsia="Times New Roman" w:hAnsi="Times New Roman"/>
          <w:sz w:val="22"/>
          <w:szCs w:val="22"/>
        </w:rPr>
        <w:t xml:space="preserve">SAAD-FILHO, Alfredo. Mass protests under 'Left Neoliberalism': Brazil, June-July 2013. Critical Sociology, v. 39, n. 6, p. 789–796, 2013. Disponível em: https://consensus.app/papers/details/43987fcf169c5508a6bf1e1196f01a7c</w:t>
      </w:r>
    </w:p>
    <w:p>
      <w:pPr>
        <w:spacing w:after="160" w:line="320"/>
        <w:ind w:left="720" w:hanging="720"/>
        <w:jc w:val="both"/>
      </w:pPr>
      <w:r>
        <w:rPr>
          <w:rFonts w:ascii="Times New Roman" w:cs="Times New Roman" w:eastAsia="Times New Roman" w:hAnsi="Times New Roman"/>
          <w:sz w:val="22"/>
          <w:szCs w:val="22"/>
        </w:rPr>
        <w:t xml:space="preserve">SALLUM JR., Brasilio. The Collor presidency from the electoral campaign to the impeachment. Oxford Research Encyclopedia of Latin American History, 2019. Disponível em: https://consensus.app/papers/details/b59b1a5e27f358b38e4bd028e7e5a825</w:t>
      </w:r>
    </w:p>
    <w:p>
      <w:pPr>
        <w:spacing w:after="160" w:line="320"/>
        <w:ind w:left="720" w:hanging="720"/>
        <w:jc w:val="both"/>
      </w:pPr>
      <w:r>
        <w:rPr>
          <w:rFonts w:ascii="Times New Roman" w:cs="Times New Roman" w:eastAsia="Times New Roman" w:hAnsi="Times New Roman"/>
          <w:sz w:val="22"/>
          <w:szCs w:val="22"/>
        </w:rPr>
        <w:t xml:space="preserve">SANTIAGO, Cláudio; DE MORAES, Reginaldo. Como fazer análise de conjuntura. [s.l.: s.n.], 2008.</w:t>
      </w:r>
    </w:p>
    <w:p>
      <w:pPr>
        <w:spacing w:after="160" w:line="320"/>
        <w:ind w:left="720" w:hanging="720"/>
        <w:jc w:val="both"/>
      </w:pPr>
      <w:r>
        <w:rPr>
          <w:rFonts w:ascii="Times New Roman" w:cs="Times New Roman" w:eastAsia="Times New Roman" w:hAnsi="Times New Roman"/>
          <w:sz w:val="22"/>
          <w:szCs w:val="22"/>
        </w:rPr>
        <w:t xml:space="preserve">SAWICKA, Marta. Constitutional atomic bomb or paper tiger? The institution of impeachment in the Federative Republic of Brazil. Politeja, 2023. Disponível em: https://consensus.app/papers/details/25283390f4015ea29d262faa9b1bb1f7</w:t>
      </w:r>
    </w:p>
    <w:p>
      <w:pPr>
        <w:spacing w:after="160" w:line="320"/>
        <w:ind w:left="720" w:hanging="720"/>
        <w:jc w:val="both"/>
      </w:pPr>
      <w:r>
        <w:rPr>
          <w:rFonts w:ascii="Times New Roman" w:cs="Times New Roman" w:eastAsia="Times New Roman" w:hAnsi="Times New Roman"/>
          <w:sz w:val="22"/>
          <w:szCs w:val="22"/>
        </w:rPr>
        <w:t xml:space="preserve">SINGER, André. Brasil, junho de 2013: classes e ideologias cruzadas. Novos Estudos CEBRAP, n. 97, p. 23–40, nov. 2013.</w:t>
      </w:r>
    </w:p>
    <w:p>
      <w:pPr>
        <w:spacing w:after="160" w:line="320"/>
        <w:ind w:left="720" w:hanging="720"/>
        <w:jc w:val="both"/>
      </w:pPr>
      <w:r>
        <w:rPr>
          <w:rFonts w:ascii="Times New Roman" w:cs="Times New Roman" w:eastAsia="Times New Roman" w:hAnsi="Times New Roman"/>
          <w:sz w:val="22"/>
          <w:szCs w:val="22"/>
        </w:rPr>
        <w:t xml:space="preserve">SMULOVITZ, Catalina; PERUZZOTTI, Enrique. Societal accountability in Latin America. Journal of Democracy, v. 11, n. 4, p. 147–158, 2000. Disponível em: https://consensus.app/papers/details/495f4e15d9365ed99bf21baf2cfd5ac5</w:t>
      </w:r>
    </w:p>
    <w:p>
      <w:pPr>
        <w:spacing w:after="160" w:line="320"/>
        <w:ind w:left="720" w:hanging="720"/>
        <w:jc w:val="both"/>
      </w:pPr>
      <w:r>
        <w:rPr>
          <w:rFonts w:ascii="Times New Roman" w:cs="Times New Roman" w:eastAsia="Times New Roman" w:hAnsi="Times New Roman"/>
          <w:sz w:val="22"/>
          <w:szCs w:val="22"/>
        </w:rPr>
        <w:t xml:space="preserve">SØRBØE, Celina Myrann. Urban uprisings between revolutionary openings and reactionary outcomes: making sense of the 2013 'June Days' in Brazil. Urban Geography, 2022. Disponível em: https://consensus.app/papers/details/1b23a27e57055ba5bc49ce46cbabeef0</w:t>
      </w:r>
    </w:p>
    <w:p>
      <w:pPr>
        <w:spacing w:after="160" w:line="320"/>
        <w:ind w:left="720" w:hanging="720"/>
        <w:jc w:val="both"/>
      </w:pPr>
      <w:r>
        <w:rPr>
          <w:rFonts w:ascii="Times New Roman" w:cs="Times New Roman" w:eastAsia="Times New Roman" w:hAnsi="Times New Roman"/>
          <w:sz w:val="22"/>
          <w:szCs w:val="22"/>
        </w:rPr>
        <w:t xml:space="preserve">TARROW, Sidney. O poder em movimento: movimentos sociais e confronto político. Petrópolis: Vozes, 2009.</w:t>
      </w:r>
    </w:p>
    <w:p>
      <w:pPr>
        <w:spacing w:after="160" w:line="320"/>
        <w:ind w:left="720" w:hanging="720"/>
        <w:jc w:val="both"/>
      </w:pPr>
      <w:r>
        <w:rPr>
          <w:rFonts w:ascii="Times New Roman" w:cs="Times New Roman" w:eastAsia="Times New Roman" w:hAnsi="Times New Roman"/>
          <w:sz w:val="22"/>
          <w:szCs w:val="22"/>
        </w:rPr>
        <w:t xml:space="preserve">VANDENBERGHE, Frédéric. Conjunctural analysis. Revista Brasileira de Sociologia – RBS, v. 13, 2025. Disponível em: https://consensus.app/papers/details/97dd8d57a06652779b2e0257b6b31a73</w:t>
      </w:r>
    </w:p>
    <w:p>
      <w:pPr>
        <w:spacing w:after="160" w:line="320"/>
        <w:ind w:left="720" w:hanging="720"/>
        <w:jc w:val="both"/>
      </w:pPr>
      <w:r>
        <w:rPr>
          <w:rFonts w:ascii="Times New Roman" w:cs="Times New Roman" w:eastAsia="Times New Roman" w:hAnsi="Times New Roman"/>
          <w:sz w:val="22"/>
          <w:szCs w:val="22"/>
        </w:rPr>
        <w:t xml:space="preserve">VIRGENS, Janilson; TEIXEIRA, Carlos. Análise de conjuntura: contribuições teórico-metodológicas. Lua Nova, n. 120, p. 325–357, 2023.</w:t>
      </w:r>
    </w:p>
    <w:p>
      <w:pPr>
        <w:spacing w:after="160" w:line="320"/>
        <w:ind w:left="720" w:hanging="720"/>
        <w:jc w:val="both"/>
      </w:pPr>
      <w:r>
        <w:rPr>
          <w:rFonts w:ascii="Times New Roman" w:cs="Times New Roman" w:eastAsia="Times New Roman" w:hAnsi="Times New Roman"/>
          <w:sz w:val="22"/>
          <w:szCs w:val="22"/>
        </w:rPr>
        <w:t xml:space="preserve">VRÁBLÍKOVÁ, Kateřina. How context matters? Mobilization, political opportunity structures, and nonelectoral political participation in old and new democracies. Comparative Political Studies, v. 47, n. 2, p. 203–228, 2014. Disponível em: https://consensus.app/papers/details/b6e2c3b043c754ccae2939a0400af5a4</w:t>
      </w:r>
    </w:p>
    <w:p>
      <w:pPr>
        <w:spacing w:after="160" w:line="320"/>
        <w:ind w:left="720" w:hanging="720"/>
        <w:jc w:val="both"/>
      </w:pPr>
      <w:r>
        <w:rPr>
          <w:rFonts w:ascii="Times New Roman" w:cs="Times New Roman" w:eastAsia="Times New Roman" w:hAnsi="Times New Roman"/>
          <w:sz w:val="22"/>
          <w:szCs w:val="22"/>
        </w:rPr>
        <w:t xml:space="preserve">WAHLSTRÖM, Mattias et al. Social media mechanisms for right-wing political violence in the 21st century. Terrorism and Political Violence, 2019. Disponível em: https://consensus.app/papers/details/84900e4825085569a72ac3ce57f7e379</w:t>
      </w:r>
    </w:p>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2026-07-03T16:47:40.135Z</dcterms:created>
  <dcterms:modified xsi:type="dcterms:W3CDTF">2026-07-03T16:47:40.147Z</dcterms:modified>
</cp:coreProperties>
</file>

<file path=docProps/custom.xml><?xml version="1.0" encoding="utf-8"?>
<Properties xmlns="http://schemas.openxmlformats.org/officeDocument/2006/custom-properties" xmlns:vt="http://schemas.openxmlformats.org/officeDocument/2006/docPropsVTypes"/>
</file>