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sz w:val="32"/>
          <w:szCs w:val="32"/>
        </w:rPr>
        <w:t xml:space="preserve">Teoria do Processo Político na Análise de Conjuntura de Ciclos de Protesto Contemporâneos</w:t>
      </w:r>
    </w:p>
    <w:p>
      <w:pPr>
        <w:spacing w:after="120"/>
      </w:pPr>
      <w:r>
        <w:t xml:space="preserve"/>
      </w:r>
    </w:p>
    <w:p>
      <w:pPr>
        <w:spacing w:after="400"/>
        <w:jc w:val="center"/>
      </w:pPr>
      <w:r>
        <w:rPr>
          <w:rFonts w:ascii="Times New Roman" w:cs="Times New Roman" w:eastAsia="Times New Roman" w:hAnsi="Times New Roman"/>
          <w:i/>
          <w:iCs/>
          <w:sz w:val="24"/>
          <w:szCs w:val="24"/>
        </w:rPr>
        <w:t xml:space="preserve">Gustavo Paccelli</w:t>
      </w:r>
    </w:p>
    <w:p>
      <w:pPr>
        <w:pStyle w:val="Heading1"/>
        <w:spacing w:after="200" w:before="400"/>
      </w:pPr>
      <w:r>
        <w:rPr>
          <w:rFonts w:ascii="Times New Roman" w:cs="Times New Roman" w:eastAsia="Times New Roman" w:hAnsi="Times New Roman"/>
          <w:b/>
          <w:bCs/>
          <w:sz w:val="28"/>
          <w:szCs w:val="28"/>
        </w:rPr>
        <w:t xml:space="preserve">Resumo</w:t>
      </w:r>
    </w:p>
    <w:p>
      <w:pPr>
        <w:spacing w:after="200" w:line="360"/>
        <w:jc w:val="both"/>
      </w:pPr>
      <w:r>
        <w:rPr>
          <w:rFonts w:ascii="Times New Roman" w:cs="Times New Roman" w:eastAsia="Times New Roman" w:hAnsi="Times New Roman"/>
          <w:sz w:val="24"/>
          <w:szCs w:val="24"/>
        </w:rPr>
        <w:t xml:space="preserve">Este artigo propõe a integração analítica entre a Teoria do Processo Político (TPP) e a tradição brasileira de análise de conjuntura, argumentando que o diálogo entre essas duas tradições — até agora conduzido de forma assistemática — é necessário tanto do ponto de vista teórico quanto do ponto de vista da orientação estratégica da ação coletiva. A contribuição central do artigo é a construção de um triângulo analítico composto por três dimensões: a estrutura de oportunidades políticas (EOP), a estrutura de oportunidades discursivas (DOS) e a análise de conjuntura propriamente dita. O nó central desse triângulo é o fenômeno da mobilização multisetorial em conjunturas críticas — momentos em que a lógica ordinária do campo político se desestabiliza, os constrangimentos institucionais se reduzem e a agência coletiva torna-se decisiva para os desdobramentos. Para demonstrar a fertilidade heurística do modelo, o artigo desenvolve um estudo de caso comparativo dos três principais ciclos de protestos de massa no Brasil democrático: o Fora Collor (1992), as manifestações de Junho de 2013 e o ciclo do impeachment de Dilma Rousseff (2015–2016), a partir do material empírico sistematizado por Costa (2024).</w:t>
      </w:r>
    </w:p>
    <w:p>
      <w:pPr>
        <w:spacing w:after="120"/>
      </w:pPr>
      <w:r>
        <w:t xml:space="preserve"/>
      </w:r>
    </w:p>
    <w:p>
      <w:pPr>
        <w:spacing w:after="200" w:line="360"/>
        <w:jc w:val="both"/>
        <w:rPr>
          <w:i/>
          <w:iCs/>
        </w:rPr>
      </w:pPr>
      <w:r>
        <w:rPr>
          <w:rFonts w:ascii="Times New Roman" w:cs="Times New Roman" w:eastAsia="Times New Roman" w:hAnsi="Times New Roman"/>
          <w:i/>
          <w:iCs/>
          <w:sz w:val="24"/>
          <w:szCs w:val="24"/>
        </w:rPr>
        <w:t xml:space="preserve">Palavras-chave: estrutura de oportunidades políticas; estrutura de oportunidades discursivas; análise de conjuntura; ciclos de protesto; movimentos sociais; Brasil.</w:t>
      </w:r>
    </w:p>
    <w:p>
      <w:pPr>
        <w:pStyle w:val="Heading1"/>
        <w:spacing w:after="200" w:before="400"/>
      </w:pPr>
      <w:r>
        <w:rPr>
          <w:rFonts w:ascii="Times New Roman" w:cs="Times New Roman" w:eastAsia="Times New Roman" w:hAnsi="Times New Roman"/>
          <w:b/>
          <w:bCs/>
          <w:sz w:val="28"/>
          <w:szCs w:val="28"/>
        </w:rPr>
        <w:t xml:space="preserve">1. Introdução</w:t>
      </w:r>
    </w:p>
    <w:p>
      <w:pPr>
        <w:spacing w:after="200" w:line="360"/>
        <w:jc w:val="both"/>
      </w:pPr>
      <w:r>
        <w:rPr>
          <w:rFonts w:ascii="Times New Roman" w:cs="Times New Roman" w:eastAsia="Times New Roman" w:hAnsi="Times New Roman"/>
          <w:sz w:val="24"/>
          <w:szCs w:val="24"/>
        </w:rPr>
        <w:t xml:space="preserve">A Teoria do Processo Político consolidou-se como uma abordagem central para a compreensão da ação coletiva, destacando-se por analisar os movimentos sociais a partir das estruturas e processos institucionais em que os atores estão inseridos (FERREIRA, 2016). Central a este arcabouço teórico está o conceito de estrutura de oportunidades políticas, o qual investiga como variações na força e na articulação do Estado influenciam a dinâmica do protesto e moldam as possibilidades de ação dos movimentos sociais (ANCELOVICI, 2010; BOUDREAU, 1996). Nessa perspectiva, a ação coletiva é entendida não apenas como resultado de recursos organizacionais, mas como uma resposta dependente do contexto político e institucional, que funciona como uma matriz propulsora ou restritiva para os atores sociais (FERNANDES; JÚNIOR; OLIVEIRA, 2022).</w:t>
      </w:r>
    </w:p>
    <w:p>
      <w:pPr>
        <w:spacing w:after="200" w:line="360"/>
        <w:jc w:val="both"/>
      </w:pPr>
      <w:r>
        <w:rPr>
          <w:rFonts w:ascii="Times New Roman" w:cs="Times New Roman" w:eastAsia="Times New Roman" w:hAnsi="Times New Roman"/>
          <w:sz w:val="24"/>
          <w:szCs w:val="24"/>
        </w:rPr>
        <w:t xml:space="preserve">Tais oportunidades políticas referem-se a dimensões consistentes — porém não necessariamente formais, permanentes ou nacionais — do ambiente político que facilitam ou dificultam a ação coletiva, incluindo fatores como o grau de abertura ou fechamento do sistema político, a estabilidade dos alinhamentos das elites, a presença de aliados e a capacidade do Estado para a repressão (CARLOS; DOWBOR; ALBUQUERQUE, 2017; MACIEL; PRATA, 2011). Esses elementos configuram um ambiente dinâmico que, embora exista objetivamente, exige interpretação por parte dos atores para ser traduzido em mobilização coletiva (CARLOS; DOWBOR; ALBUQUERQUE, 2017). Compreender essa dimensão interpretativa é essencial, pois as oportunidades não são meramente estruturas objetivas que determinam a ação, mas sim cenários que necessitam ser percebidos e acionados subjetivamente pelas organizações em meio às dinâmicas conjunturais (AVALLE, 2020; MENEZES, 2018).</w:t>
      </w:r>
    </w:p>
    <w:p>
      <w:pPr>
        <w:spacing w:after="200" w:line="360"/>
        <w:jc w:val="both"/>
      </w:pPr>
      <w:r>
        <w:rPr>
          <w:rFonts w:ascii="Times New Roman" w:cs="Times New Roman" w:eastAsia="Times New Roman" w:hAnsi="Times New Roman"/>
          <w:sz w:val="24"/>
          <w:szCs w:val="24"/>
        </w:rPr>
        <w:t xml:space="preserve">A percepção de mudanças estruturais e ideológicas nas elites detentoras do poder também fortalece a emergência de movimentos sociais, tornando o contexto crucial para a ação coletiva (FERNANDES; ALMEIDA; PEDRO, 2019). Ademais, a análise da estabilidade das alianças políticas e da postura de atores estatais e não estatais, como a imprensa e o judiciário, é fundamental para delinear a amplitude e a direção das oportunidades políticas percebidas pelos movimentos (VAHOS, 2012).</w:t>
      </w:r>
    </w:p>
    <w:p>
      <w:pPr>
        <w:spacing w:after="200" w:line="360"/>
        <w:jc w:val="both"/>
      </w:pPr>
      <w:r>
        <w:rPr>
          <w:rFonts w:ascii="Times New Roman" w:cs="Times New Roman" w:eastAsia="Times New Roman" w:hAnsi="Times New Roman"/>
          <w:sz w:val="24"/>
          <w:szCs w:val="24"/>
        </w:rPr>
        <w:t xml:space="preserve">É nesse cenário que este artigo se insere, propondo um diálogo entre a TPP e a tradição brasileira de análise de conjuntura. A análise de conjuntura possui uma trajetória longa e reconhecida na intelectualidade brasileira — de Souza (1986) a Jatobá (2025), passando por Santiago e De Moraes (2008) e Virgens e Teixeira (2023) — e constitui um instrumento amplamente utilizado por movimentos sociais, partidos políticos e pesquisadores para a leitura do presente político. Sua incorporação sistemática dos conceitos de EOP e de estrutura de oportunidades discursivas (DOS) pode enriquecer substancialmente essa tradição, ao dotá-la de ferramentas mais precisas para distinguir as condições político-institucionais das condições simbólico-discursivas que condicionam a ação coletiva em momentos de crise.</w:t>
      </w:r>
    </w:p>
    <w:p>
      <w:pPr>
        <w:pStyle w:val="Heading1"/>
        <w:spacing w:after="200" w:before="400"/>
      </w:pPr>
      <w:r>
        <w:rPr>
          <w:rFonts w:ascii="Times New Roman" w:cs="Times New Roman" w:eastAsia="Times New Roman" w:hAnsi="Times New Roman"/>
          <w:b/>
          <w:bCs/>
          <w:sz w:val="28"/>
          <w:szCs w:val="28"/>
        </w:rPr>
        <w:t xml:space="preserve">2. Revisão da Literatura</w:t>
      </w:r>
    </w:p>
    <w:p>
      <w:pPr>
        <w:pStyle w:val="Heading2"/>
        <w:spacing w:after="160" w:before="320"/>
      </w:pPr>
      <w:r>
        <w:rPr>
          <w:rFonts w:ascii="Times New Roman" w:cs="Times New Roman" w:eastAsia="Times New Roman" w:hAnsi="Times New Roman"/>
          <w:b/>
          <w:bCs/>
          <w:sz w:val="26"/>
          <w:szCs w:val="26"/>
        </w:rPr>
        <w:t xml:space="preserve">2.1 A análise de conjuntura como instrumento metodológico</w:t>
      </w:r>
    </w:p>
    <w:p>
      <w:pPr>
        <w:spacing w:after="200" w:line="360"/>
        <w:jc w:val="both"/>
      </w:pPr>
      <w:r>
        <w:rPr>
          <w:rFonts w:ascii="Times New Roman" w:cs="Times New Roman" w:eastAsia="Times New Roman" w:hAnsi="Times New Roman"/>
          <w:sz w:val="24"/>
          <w:szCs w:val="24"/>
        </w:rPr>
        <w:t xml:space="preserve">A análise de conjuntura pode ser definida como uma operação interpretativa e uma leitura especializada da realidade que se situa entre o conhecimento e a descoberta (HAS, 2023; PAULA; ROSA, 2021). Não se trata de uma mera descrição linear de fatos, mas sim de um esforço para apreender a essência do real, indo além das aparências e compreendendo as lógicas de funcionamento e os fatores dinâmicos em disputa em um determinado momento (JATOBÁ, 2025; SILVA, 2018). É uma tarefa complexa que exige não só conhecimento detalhado dos elementos importantes de uma situação, mas também a capacidade de perceber, compreender e descobrir sentidos, relações e tendências a partir dos dados e informações disponíveis (HAS, 2023; PAULA; ROSA, 2021).</w:t>
      </w:r>
    </w:p>
    <w:p>
      <w:pPr>
        <w:spacing w:after="200" w:line="360"/>
        <w:jc w:val="both"/>
      </w:pPr>
      <w:r>
        <w:rPr>
          <w:rFonts w:ascii="Times New Roman" w:cs="Times New Roman" w:eastAsia="Times New Roman" w:hAnsi="Times New Roman"/>
          <w:sz w:val="24"/>
          <w:szCs w:val="24"/>
        </w:rPr>
        <w:t xml:space="preserve">Essa análise é intrinsecamente um ato político, não neutro ou desinteressado, e serve como um instrumento para a inteligibilidade de uma conjuntura específica (HAS, 2023; JATOBÁ, 2025; PAULA; ROSA, 2021). Ela busca compreender a interação de diversas forças — sociais, políticas, econômicas — que agem em um determinado tempo e espaço, influenciando e, por vezes, determinando os acontecimentos (SANTIAGO; DE MORAES, 2008; VANDENBERGHE, 2025).</w:t>
      </w:r>
    </w:p>
    <w:p>
      <w:pPr>
        <w:spacing w:after="200" w:line="360"/>
        <w:jc w:val="both"/>
      </w:pPr>
      <w:r>
        <w:rPr>
          <w:rFonts w:ascii="Times New Roman" w:cs="Times New Roman" w:eastAsia="Times New Roman" w:hAnsi="Times New Roman"/>
          <w:sz w:val="24"/>
          <w:szCs w:val="24"/>
        </w:rPr>
        <w:t xml:space="preserve">De certa maneira, o objetivo central da análise de conjuntura é fornecer subsídios cognitivos para a tomada de decisões e o planejamento estratégico de ação por parte de sujeitos políticos, organizações, movimentos sociais, instituições estatais e atores econômicos (JATOBÁ, 2025; SANTIAGO; DE MORAES, 2008), oferecendo alternativas de ação e identificando os caminhos mais viáveis e eficazes, além de mapear riscos e oportunidades ao explicitar margens de manobra e constrangimentos.</w:t>
      </w:r>
    </w:p>
    <w:p>
      <w:pPr>
        <w:spacing w:after="200" w:line="360"/>
        <w:jc w:val="both"/>
      </w:pPr>
      <w:r>
        <w:rPr>
          <w:rFonts w:ascii="Times New Roman" w:cs="Times New Roman" w:eastAsia="Times New Roman" w:hAnsi="Times New Roman"/>
          <w:sz w:val="24"/>
          <w:szCs w:val="24"/>
        </w:rPr>
        <w:t xml:space="preserve">A literatura especializada aponta para pelo menos nove componentes essenciais para a realização da análise de conjuntura, incluindo: a identificação dos atores envolvidos; a análise das forças em jogo; o mapeamento dos interesses; a avaliação dos recursos disponíveis; a compreensão das estratégias e táticas adotadas; a identificação de eventos-chave; a avaliação dos cenários prospectivos; a dimensão comunicativa e simbólica; e as orientações estratégicas (JATOBÁ, 2025; SOUZA; MELLO, 1996).</w:t>
      </w:r>
    </w:p>
    <w:p>
      <w:pPr>
        <w:spacing w:after="200" w:line="360"/>
        <w:jc w:val="both"/>
      </w:pPr>
      <w:r>
        <w:rPr>
          <w:rFonts w:ascii="Times New Roman" w:cs="Times New Roman" w:eastAsia="Times New Roman" w:hAnsi="Times New Roman"/>
          <w:sz w:val="24"/>
          <w:szCs w:val="24"/>
        </w:rPr>
        <w:t xml:space="preserve">Frédéric Vandenberghe (2025) critica a análise conjuntural tradicional por, muitas vezes, limitar-se a uma descrição superficial dos eventos, sem aprofundar nas estruturas subjacentes e nas lógicas de poder que as sustentam. Ele enfatiza que a conjuntura não é uma mera sequência de fatos, mas sim um 'momento' ou 'configuração' que emerge da intersecção de diferentes temporalidades e causalidades. Para Vandenberghe, a análise deve ir além do 'o quê', buscando o 'como' e o 'porquê', e explorando as relações complexas entre estrutura e agência. Sua perspectiva propõe que a análise conjuntural seja uma ferramenta para revelar 'linhas de fratura' e 'pontos de inflexão', indicando onde e como a intervenção política pode ser mais eficaz.</w:t>
      </w:r>
    </w:p>
    <w:p>
      <w:pPr>
        <w:pStyle w:val="Heading2"/>
        <w:spacing w:after="160" w:before="320"/>
      </w:pPr>
      <w:r>
        <w:rPr>
          <w:rFonts w:ascii="Times New Roman" w:cs="Times New Roman" w:eastAsia="Times New Roman" w:hAnsi="Times New Roman"/>
          <w:b/>
          <w:bCs/>
          <w:sz w:val="26"/>
          <w:szCs w:val="26"/>
        </w:rPr>
        <w:t xml:space="preserve">2.2 Conjunturas críticas e ciclos de protesto</w:t>
      </w:r>
    </w:p>
    <w:p>
      <w:pPr>
        <w:spacing w:after="200" w:line="360"/>
        <w:jc w:val="both"/>
      </w:pPr>
      <w:r>
        <w:rPr>
          <w:rFonts w:ascii="Times New Roman" w:cs="Times New Roman" w:eastAsia="Times New Roman" w:hAnsi="Times New Roman"/>
          <w:sz w:val="24"/>
          <w:szCs w:val="24"/>
        </w:rPr>
        <w:t xml:space="preserve">Por outro lado, as chamadas 'conjunturas críticas' são momentos de instabilidade política e social caracterizados por incerteza e intensificação das disputas (PORTA, 2022). Donatella della Porta, em 'Protests as critical junctures' (PORTA, 2018) e 'Contentious Politics in Emergency Critical Junctures' (PORTA, 2022), define-as como períodos em que as regras do jogo político e as relações de poder estabelecidas são questionadas, abrindo caminho para mudanças significativas. As características das conjunturas críticas incluem: incerteza e contingência, com o futuro imprevisível e múltiplos caminhos possíveis; intensificação da ação coletiva; reconfiguração do poder; emergência de novas questões; e vulnerabilidade dos oponentes (PORTA, 2018, 2022).</w:t>
      </w:r>
    </w:p>
    <w:p>
      <w:pPr>
        <w:spacing w:after="200" w:line="360"/>
        <w:jc w:val="both"/>
      </w:pPr>
      <w:r>
        <w:rPr>
          <w:rFonts w:ascii="Times New Roman" w:cs="Times New Roman" w:eastAsia="Times New Roman" w:hAnsi="Times New Roman"/>
          <w:sz w:val="24"/>
          <w:szCs w:val="24"/>
        </w:rPr>
        <w:t xml:space="preserve">A crítica de Mariano, Ferreira e Neves (2023) ao conceito de conjuntura crítica dentro do Institucionalismo Histórico aponta para uma correlação problemática entre conjuntura crítica e mudança institucional, que impede a identificação do fenômeno enquanto está se desenvolvendo. Para superar essas limitações, os autores propõem reinterpretar a conjuntura crítica a partir da ideia de contingência, caracterizando-a como um período de redução dos constrangimentos institucionais, de possibilidade de mudanças significativas, de incerteza sobre o futuro e de crise de expectativas (MARIANO; FERREIRA; NEVES, 2023).</w:t>
      </w:r>
    </w:p>
    <w:p>
      <w:pPr>
        <w:spacing w:after="200" w:line="360"/>
        <w:jc w:val="both"/>
      </w:pPr>
      <w:r>
        <w:rPr>
          <w:rFonts w:ascii="Times New Roman" w:cs="Times New Roman" w:eastAsia="Times New Roman" w:hAnsi="Times New Roman"/>
          <w:sz w:val="24"/>
          <w:szCs w:val="24"/>
        </w:rPr>
        <w:t xml:space="preserve">Harold R. Kerbo, por sua vez, distingue dois tipos de movimentos sociais com base nas condições socioeconômicas que os geram: os movimentos de crise — que emergem de privações materiais extremas — e os movimentos de afluência — que surgem em contextos de prosperidade. Entretanto, a Teoria do Processo Político argumenta que a mobilização coletiva transcende a mera privação ou afluência, enfatizando a relevância das estruturas de oportunidades políticas, dos repertórios de ação coletiva e dos quadros interpretativos na deflagração e sustentação dos ciclos de protesto, mesmo em cenários de crise ou de relativa estabilidade (PORTA, 2018; VESTENA, 2017).</w:t>
      </w:r>
    </w:p>
    <w:p>
      <w:pPr>
        <w:pStyle w:val="Heading2"/>
        <w:spacing w:after="160" w:before="320"/>
      </w:pPr>
      <w:r>
        <w:rPr>
          <w:rFonts w:ascii="Times New Roman" w:cs="Times New Roman" w:eastAsia="Times New Roman" w:hAnsi="Times New Roman"/>
          <w:b/>
          <w:bCs/>
          <w:sz w:val="26"/>
          <w:szCs w:val="26"/>
        </w:rPr>
        <w:t xml:space="preserve">2.3 A estrutura de oportunidades políticas</w:t>
      </w:r>
    </w:p>
    <w:p>
      <w:pPr>
        <w:spacing w:after="200" w:line="360"/>
        <w:jc w:val="both"/>
      </w:pPr>
      <w:r>
        <w:rPr>
          <w:rFonts w:ascii="Times New Roman" w:cs="Times New Roman" w:eastAsia="Times New Roman" w:hAnsi="Times New Roman"/>
          <w:sz w:val="24"/>
          <w:szCs w:val="24"/>
        </w:rPr>
        <w:t xml:space="preserve">A literatura especializada destaca que a estrutura de oportunidades políticas constitui uma variável ambiental que abrange as dimensões econômicas, políticas e sociais relativas à estabilidade da realidade social, proporcionando condições para que atores empreendam ações coletivas frente aos seus opositores (HAMDAN, 2024). Essas dimensões consistentes do ambiente político estabelecem incentivos e restrições para a mobilização, tais como o nível de repressão estatal, a presença de aliados no campo de disputa e a abertura do sistema político formal (JIMÉNEZ, 2016; MOISSONNIER, 2011).</w:t>
      </w:r>
    </w:p>
    <w:p>
      <w:pPr>
        <w:spacing w:after="200" w:line="360"/>
        <w:jc w:val="both"/>
      </w:pPr>
      <w:r>
        <w:rPr>
          <w:rFonts w:ascii="Times New Roman" w:cs="Times New Roman" w:eastAsia="Times New Roman" w:hAnsi="Times New Roman"/>
          <w:sz w:val="24"/>
          <w:szCs w:val="24"/>
        </w:rPr>
        <w:t xml:space="preserve">Segundo Tarrow e McAdam, tais sinais contínuos, ainda que não permanentes, são percebidos pelos atores sociais como incentivos ao uso de seus recursos, condicionando a formação, o desenvolvimento e os resultados da ação coletiva (ALCÁZAR; SÁNCHEZ, 2020). Gamson e Meyer (1996) alertam, contudo, que o conceito de oportunidade política corre o risco de se tornar uma 'esponja analítica' que absorve praticamente todo o ambiente do movimento social. Essa abertura excessiva do conceito enfraquecia sua potência explicativa, uma vez que não permitia distinguir com precisão entre os fatores institucionais e os culturais-discursivos que condicionam a ação coletiva.</w:t>
      </w:r>
    </w:p>
    <w:p>
      <w:pPr>
        <w:spacing w:after="200" w:line="360"/>
        <w:jc w:val="both"/>
      </w:pPr>
      <w:r>
        <w:rPr>
          <w:rFonts w:ascii="Times New Roman" w:cs="Times New Roman" w:eastAsia="Times New Roman" w:hAnsi="Times New Roman"/>
          <w:sz w:val="24"/>
          <w:szCs w:val="24"/>
        </w:rPr>
        <w:t xml:space="preserve">A dinâmica dos ciclos de confronto é caracterizada por uma fase de conflito acentuado que atravessa o sistema social, marcada pela rápida difusão da ação coletiva de setores mais mobilizados para outros menos mobilizados, bem como por um ritmo acelerado de inovação nas formas de confronto (SEVERO; SAN, 2017). Essa dinâmica de difusão e inovação é impulsionada pela interação entre a agência dos movimentos e a reação estatal, onde a luta simbólica pela significação dos eventos desempenha um papel crucial na manutenção e expansão do ciclo (PAIVA; SANCHES, 2023).</w:t>
      </w:r>
    </w:p>
    <w:p>
      <w:pPr>
        <w:pStyle w:val="Heading2"/>
        <w:spacing w:after="160" w:before="320"/>
      </w:pPr>
      <w:r>
        <w:rPr>
          <w:rFonts w:ascii="Times New Roman" w:cs="Times New Roman" w:eastAsia="Times New Roman" w:hAnsi="Times New Roman"/>
          <w:b/>
          <w:bCs/>
          <w:sz w:val="26"/>
          <w:szCs w:val="26"/>
        </w:rPr>
        <w:t xml:space="preserve">2.4 A estrutura de oportunidades discursivas: a dimensão ausente</w:t>
      </w:r>
    </w:p>
    <w:p>
      <w:pPr>
        <w:spacing w:after="200" w:line="360"/>
        <w:jc w:val="both"/>
      </w:pPr>
      <w:r>
        <w:rPr>
          <w:rFonts w:ascii="Times New Roman" w:cs="Times New Roman" w:eastAsia="Times New Roman" w:hAnsi="Times New Roman"/>
          <w:sz w:val="24"/>
          <w:szCs w:val="24"/>
        </w:rPr>
        <w:t xml:space="preserve">É nesse contexto de revisão crítica da EOP que Koopmans e Statham (1999) propõem o conceito de estrutura de oportunidades discursivas (DOS). Em sua formulação original, a DOS designa o conjunto de ideias, valores e narrativas presentes na cultura política mais ampla que são percebidos pelos atores como 'sensatos', 'realistas' e 'legítimos' — e cuja ressonância prévia tende a facilitar a recepção dos enquadramentos produzidos pelos movimentos sociais. A DOS, portanto, não é o conteúdo do discurso dos movimentos, mas o contexto discursivo no qual esse conteúdo precisa ser anunciado para ter eficácia política e simbólica.</w:t>
      </w:r>
    </w:p>
    <w:p>
      <w:pPr>
        <w:spacing w:after="200" w:line="360"/>
        <w:jc w:val="both"/>
      </w:pPr>
      <w:r>
        <w:rPr>
          <w:rFonts w:ascii="Times New Roman" w:cs="Times New Roman" w:eastAsia="Times New Roman" w:hAnsi="Times New Roman"/>
          <w:sz w:val="24"/>
          <w:szCs w:val="24"/>
        </w:rPr>
        <w:t xml:space="preserve">A distinção entre EOP e DOS é fundamental para o argumento desenvolvido neste artigo. A EOP opera predominantemente no plano das estruturas político-institucionais: o grau de abertura do sistema político, a estabilidade das alianças de elite, a disponibilidade de aliados dentro do Estado e a capacidade repressiva dos oponentes (TARROW, 1994; McADAM, 1982). A DOS, por sua vez, opera no plano das estruturas culturais e comunicativas: ela diz respeito às condições que determinam quais discursos podem ser ditos com eficácia num dado momento, ou seja, quais enquadramentos encontram terreno fértil na esfera pública, nos meios de comunicação e no senso comum prevalecente (KOOPMANS; OLZAK, 2004).</w:t>
      </w:r>
    </w:p>
    <w:p>
      <w:pPr>
        <w:spacing w:after="200" w:line="360"/>
        <w:jc w:val="both"/>
      </w:pPr>
      <w:r>
        <w:rPr>
          <w:rFonts w:ascii="Times New Roman" w:cs="Times New Roman" w:eastAsia="Times New Roman" w:hAnsi="Times New Roman"/>
          <w:sz w:val="24"/>
          <w:szCs w:val="24"/>
        </w:rPr>
        <w:t xml:space="preserve">McCammon (2013) sistematiza os dois componentes centrais da DOS. O primeiro é de natureza cultural: refere-se às crenças amplamente compartilhadas, aos valores dominantes e às narrativas hegemônicas que constituem o horizonte de inteligibilidade de uma conjuntura. O segundo componente é de natureza institucional: diz respeito ao papel dos meios de comunicação como filtros e gatekeepers do debate público. A obra de Ferree, Gamson, Gerhards e Rucht (2002), Shaping Abortion Discourse, constitui a demonstração empírica mais rigorosa do conceito.</w:t>
      </w:r>
    </w:p>
    <w:p>
      <w:pPr>
        <w:spacing w:after="200" w:line="360"/>
        <w:jc w:val="both"/>
      </w:pPr>
      <w:r>
        <w:rPr>
          <w:rFonts w:ascii="Times New Roman" w:cs="Times New Roman" w:eastAsia="Times New Roman" w:hAnsi="Times New Roman"/>
          <w:sz w:val="24"/>
          <w:szCs w:val="24"/>
        </w:rPr>
        <w:t xml:space="preserve">Um desdobramento particularmente produtivo da DOS é a distinção, elaborada por Ferree (2003), entre ressonância e radicalismo. A autora argumenta que o sucesso cultural de um frame — sua aceitação e difusão — não é idêntico ao sucesso político de um movimento — sua capacidade de produzir mudanças institucionais. Movimentos que optam por frames radicais, que desafiam as estruturas discursivas hegemônicas em vez de se ajustar a elas, podem ter menor ressonância imediata, mas contribuem para ampliar o horizonte do dizível. Bröer e Duyvendak (2009) acrescentam a dimensão das feeling rules — as normas sociais que regulam o que é permitido sentir e expressar publicamente em determinado contexto — como componente da DOS.</w:t>
      </w:r>
    </w:p>
    <w:p>
      <w:pPr>
        <w:pStyle w:val="Heading2"/>
        <w:spacing w:after="160" w:before="320"/>
      </w:pPr>
      <w:r>
        <w:rPr>
          <w:rFonts w:ascii="Times New Roman" w:cs="Times New Roman" w:eastAsia="Times New Roman" w:hAnsi="Times New Roman"/>
          <w:b/>
          <w:bCs/>
          <w:sz w:val="26"/>
          <w:szCs w:val="26"/>
        </w:rPr>
        <w:t xml:space="preserve">2.5 EOP, DOS e análise de conjuntura: a proposta de integração</w:t>
      </w:r>
    </w:p>
    <w:p>
      <w:pPr>
        <w:spacing w:after="200" w:line="360"/>
        <w:jc w:val="both"/>
      </w:pPr>
      <w:r>
        <w:rPr>
          <w:rFonts w:ascii="Times New Roman" w:cs="Times New Roman" w:eastAsia="Times New Roman" w:hAnsi="Times New Roman"/>
          <w:sz w:val="24"/>
          <w:szCs w:val="24"/>
        </w:rPr>
        <w:t xml:space="preserve">A integração entre EOP, DOS e análise de conjuntura, tal como se propõe neste artigo, parte do pressuposto de que nenhuma dessas dimensões é suficiente por si só para explicar os fenômenos de crise que envolvem os movimentos sociais e as mobilizações multisetoriais.</w:t>
      </w:r>
    </w:p>
    <w:p>
      <w:pPr>
        <w:spacing w:after="200" w:line="360"/>
        <w:jc w:val="both"/>
      </w:pPr>
      <w:r>
        <w:rPr>
          <w:rFonts w:ascii="Times New Roman" w:cs="Times New Roman" w:eastAsia="Times New Roman" w:hAnsi="Times New Roman"/>
          <w:sz w:val="24"/>
          <w:szCs w:val="24"/>
        </w:rPr>
        <w:t xml:space="preserve">A EOP identifica as condições político-institucionais que expandem ou contraem as possibilidades de ação coletiva: a abertura de canais de acesso ao Estado, o surgimento de aliados em posições de poder, a desunião das elites dominantes ou o recuo da capacidade repressiva dos oponentes (TARROW, 1994). A análise de conjuntura, tal como sistematizada por Jatobá (2025) e revisada por Vandenberghe (2025), é precisamente o instrumento analítico e prático que permite aos sujeitos políticos identificar e interpretar essas janelas de oportunidade em tempo real. A DOS, por sua vez, completa esse quadro ao revelar que a exploração eficaz das oportunidades políticas depende também de condições discursivas: de que os enquadramentos mobilizados pelos movimentos sejam culturalmente inteligíveis e simbolicamente legítimos no contexto em que circulam.</w:t>
      </w:r>
    </w:p>
    <w:p>
      <w:pPr>
        <w:spacing w:after="200" w:line="360"/>
        <w:jc w:val="both"/>
      </w:pPr>
      <w:r>
        <w:rPr>
          <w:rFonts w:ascii="Times New Roman" w:cs="Times New Roman" w:eastAsia="Times New Roman" w:hAnsi="Times New Roman"/>
          <w:sz w:val="24"/>
          <w:szCs w:val="24"/>
        </w:rPr>
        <w:t xml:space="preserve">Em conjunturas críticas — caracterizadas por della Porta (2018, 2022) como momentos de incerteza, intensificação da ação coletiva e reconfiguração das relações de poder —, a DOS tende a se tornar mais fluida e aberta. A instabilidade política fragiliza os discursos dominantes, amplia o que pode ser dito e produz condições favoráveis para que enquadramentos antes marginalizados ganhem visibilidade e aceitação. Nesse sentido, as conjunturas críticas não apenas criam oportunidades políticas no sentido institucional, mas também oportunidades discursivas que os movimentos sociais podem explorar para reconfigurar o horizonte simbólico do debate público.</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7F77DD" w:sz="4"/>
              <w:bottom w:val="single" w:color="CCCCCC" w:sz="1"/>
              <w:right w:val="single" w:color="CCCCCC" w:sz="1"/>
            </w:tcBorders>
            <w:shd w:fill="EEEDFE" w:val="clear"/>
            <w:tcMar>
              <w:top w:type="dxa" w:w="120"/>
              <w:left w:type="dxa" w:w="200"/>
              <w:bottom w:type="dxa" w:w="120"/>
              <w:right w:type="dxa" w:w="160"/>
            </w:tcMar>
          </w:tcPr>
          <w:p>
            <w:pPr>
              <w:spacing w:after="80"/>
            </w:pPr>
            <w:r>
              <w:rPr>
                <w:rFonts w:ascii="Times New Roman" w:cs="Times New Roman" w:eastAsia="Times New Roman" w:hAnsi="Times New Roman"/>
                <w:b/>
                <w:bCs/>
                <w:color w:val="26215C"/>
                <w:sz w:val="22"/>
                <w:szCs w:val="22"/>
              </w:rPr>
              <w:t xml:space="preserve">Diagrama 1 — Triângulo EOP–DOS–Análise de Conjuntura</w:t>
            </w:r>
          </w:p>
          <w:p>
            <w:pPr>
              <w:spacing w:after="80" w:line="300"/>
              <w:jc w:val="both"/>
            </w:pPr>
            <w:r>
              <w:rPr>
                <w:rFonts w:ascii="Times New Roman" w:cs="Times New Roman" w:eastAsia="Times New Roman" w:hAnsi="Times New Roman"/>
                <w:i w:val="false"/>
                <w:iCs w:val="false"/>
                <w:sz w:val="22"/>
                <w:szCs w:val="22"/>
              </w:rPr>
              <w:t xml:space="preserve">O diagrama representa a articulação entre as três dimensões analíticas propostas. Os vértices correspondem às estruturas de oportunidades políticas (EOP, em teal), às estruturas de oportunidades discursivas (DOS, em coral) e à análise de conjuntura / conjunturas críticas (em roxo). O nó central (em âmbar) designa o fenômeno que a integração das três dimensões visa explicar: a mobilização multisetorial em momentos de conjuntura crítica. Os conceitos de 'conjunturas fluídas' (Dobry, 1986), 'critical junctures' (della Porta, 2018, 2022), 'ciclos de confronto' (Tarrow, 1994) e 'contramovimentos' (Kriesi et al., 1995) são inscritos nesse nó como qualificadores analíticos do fenômeno central.</w:t>
            </w:r>
          </w:p>
          <w:p>
            <w:pPr>
              <w:spacing w:after="0" w:line="300"/>
              <w:jc w:val="both"/>
            </w:pPr>
            <w:r>
              <w:rPr>
                <w:rFonts w:ascii="Times New Roman" w:cs="Times New Roman" w:eastAsia="Times New Roman" w:hAnsi="Times New Roman"/>
                <w:i/>
                <w:iCs/>
                <w:color w:val="5F5E5A"/>
                <w:sz w:val="22"/>
                <w:szCs w:val="22"/>
              </w:rPr>
              <w:t xml:space="preserve">Os eixos bidirecionais entre os vértices expressam as relações de condicionamento mútuo: o eixo EOP–Conjuntura nomeia a 'percepção das oportunidades'; o eixo DOS–Conjuntura nomeia o 'enquadramento e legitimação'; o eixo EOP–DOS nomeia a articulação entre 'condições institucionais e contexto cultural'. As anotações laterais (Dobry e della Porta) indicam as famílias conceituais que fundamentam o nó central.</w:t>
            </w:r>
          </w:p>
        </w:tc>
      </w:tr>
    </w:tbl>
    <w:p>
      <w:pPr>
        <w:spacing w:after="120"/>
      </w:pPr>
      <w:r>
        <w:t xml:space="preserve"/>
      </w:r>
    </w:p>
    <w:p>
      <w:pPr>
        <w:spacing w:after="200" w:line="360"/>
        <w:jc w:val="both"/>
      </w:pPr>
      <w:r>
        <w:rPr>
          <w:rFonts w:ascii="Times New Roman" w:cs="Times New Roman" w:eastAsia="Times New Roman" w:hAnsi="Times New Roman"/>
          <w:sz w:val="24"/>
          <w:szCs w:val="24"/>
        </w:rPr>
        <w:t xml:space="preserve">O diagrama acima sintetiza a proposta analítica. O nó central — mobilização multisetorial — é qualificado pelos conceitos de 'conjunturas fluídas' (Dobry, 1986), que enfatiza a crise de desengajamento setorial e a imprevisibilidade dos cálculos dos atores quando os campos sociais perdem sua autonomia relativa, e 'critical junctures' (della Porta, 2018, 2022), que enfatiza a incerteza, a reconfiguração do poder e a ampliação da agência coletiva. O que o triângulo propõe é que, nesses momentos, EOP e DOS funcionam como os dois eixos que condicionam o que é possível fazer e o que é possível dizer com eficácia — e é sobre essa combinação que a análise de conjuntura deve incidir como instrumento interpretativo e estratégico.</w:t>
      </w:r>
    </w:p>
    <w:p>
      <w:pPr>
        <w:pStyle w:val="Heading2"/>
        <w:spacing w:after="160" w:before="320"/>
      </w:pPr>
      <w:r>
        <w:rPr>
          <w:rFonts w:ascii="Times New Roman" w:cs="Times New Roman" w:eastAsia="Times New Roman" w:hAnsi="Times New Roman"/>
          <w:b/>
          <w:bCs/>
          <w:sz w:val="26"/>
          <w:szCs w:val="26"/>
        </w:rPr>
        <w:t xml:space="preserve">2.6 Os cinco estágios do ciclo de protesto: uma leitura integrada</w:t>
      </w:r>
    </w:p>
    <w:p>
      <w:pPr>
        <w:spacing w:after="200" w:line="360"/>
        <w:jc w:val="both"/>
      </w:pPr>
      <w:r>
        <w:rPr>
          <w:rFonts w:ascii="Times New Roman" w:cs="Times New Roman" w:eastAsia="Times New Roman" w:hAnsi="Times New Roman"/>
          <w:sz w:val="24"/>
          <w:szCs w:val="24"/>
        </w:rPr>
        <w:t xml:space="preserve">A integração entre EOP, DOS e análise de conjuntura não opera de forma estática, mas ao longo de um processo que se desdobra em estágios relativamente identificáveis no tempo. O quadro a seguir sistematiza essa dinâmica a partir de cinco momentos típicos de um ciclo de protesto, mostrando como cada uma das três dimensões analíticas opera em cada estágio e como sua interação produz os fenômenos contenciosos observados empiricamente.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Estágio 1</w:t>
            </w:r>
          </w:p>
        </w:tc>
        <w:tc>
          <w:tcPr>
            <w:tcW w:type="dxa" w:w="7826"/>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20"/>
            </w:tcMar>
          </w:tcPr>
          <w:p>
            <w:r>
              <w:rPr>
                <w:rFonts w:ascii="Times New Roman" w:cs="Times New Roman" w:eastAsia="Times New Roman" w:hAnsi="Times New Roman"/>
                <w:b/>
                <w:bCs/>
                <w:color w:val="26215C"/>
                <w:sz w:val="22"/>
                <w:szCs w:val="22"/>
              </w:rPr>
              <w:t xml:space="preserve">Latência e acúmulo de tensões</w:t>
            </w:r>
          </w:p>
          <w:p>
            <w:r>
              <w:rPr>
                <w:rFonts w:ascii="Times New Roman" w:cs="Times New Roman" w:eastAsia="Times New Roman" w:hAnsi="Times New Roman"/>
                <w:i/>
                <w:iCs/>
                <w:color w:val="534AB7"/>
                <w:sz w:val="20"/>
                <w:szCs w:val="20"/>
              </w:rPr>
              <w:t xml:space="preserve">Antes do protesto visível — as condições se formam silenciosamente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
            </w:r>
          </w:p>
        </w:tc>
        <w:tc>
          <w:tcPr>
            <w:tcW w:type="dxa" w:w="782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Times New Roman" w:cs="Times New Roman" w:eastAsia="Times New Roman" w:hAnsi="Times New Roman"/>
                <w:b/>
                <w:bCs/>
                <w:color w:val="0F6E56"/>
                <w:sz w:val="20"/>
                <w:szCs w:val="20"/>
              </w:rPr>
              <w:t xml:space="preserve">EOP: </w:t>
            </w:r>
            <w:r>
              <w:rPr>
                <w:rFonts w:ascii="Times New Roman" w:cs="Times New Roman" w:eastAsia="Times New Roman" w:hAnsi="Times New Roman"/>
                <w:color w:val="085041"/>
                <w:sz w:val="20"/>
                <w:szCs w:val="20"/>
              </w:rPr>
              <w:t xml:space="preserve">Sistema político relativamente fechado. Elites unidas. Pouco acesso institucional. Repressão moderada mas presente.</w:t>
            </w:r>
          </w:p>
          <w:p>
            <w:pPr>
              <w:spacing w:after="60"/>
            </w:pPr>
            <w:r>
              <w:rPr>
                <w:rFonts w:ascii="Times New Roman" w:cs="Times New Roman" w:eastAsia="Times New Roman" w:hAnsi="Times New Roman"/>
                <w:b/>
                <w:bCs/>
                <w:color w:val="993C1D"/>
                <w:sz w:val="20"/>
                <w:szCs w:val="20"/>
              </w:rPr>
              <w:t xml:space="preserve">DOS: </w:t>
            </w:r>
            <w:r>
              <w:rPr>
                <w:rFonts w:ascii="Times New Roman" w:cs="Times New Roman" w:eastAsia="Times New Roman" w:hAnsi="Times New Roman"/>
                <w:color w:val="712B13"/>
                <w:sz w:val="20"/>
                <w:szCs w:val="20"/>
              </w:rPr>
              <w:t xml:space="preserve">Discurso dominante hegemônico. Demandas contestatórias existem, mas sem legitimidade pública. Mídia filtra ou ignora.</w:t>
            </w:r>
          </w:p>
          <w:p>
            <w:pPr>
              <w:spacing w:after="0"/>
            </w:pPr>
            <w:r>
              <w:rPr>
                <w:rFonts w:ascii="Times New Roman" w:cs="Times New Roman" w:eastAsia="Times New Roman" w:hAnsi="Times New Roman"/>
                <w:b/>
                <w:bCs/>
                <w:color w:val="534AB7"/>
                <w:sz w:val="20"/>
                <w:szCs w:val="20"/>
              </w:rPr>
              <w:t xml:space="preserve">Conjuntura: </w:t>
            </w:r>
            <w:r>
              <w:rPr>
                <w:rFonts w:ascii="Times New Roman" w:cs="Times New Roman" w:eastAsia="Times New Roman" w:hAnsi="Times New Roman"/>
                <w:color w:val="3C3489"/>
                <w:sz w:val="20"/>
                <w:szCs w:val="20"/>
              </w:rPr>
              <w:t xml:space="preserve">Atores identificam correlação de forças desfavorável. Acumulam recursos, constroem redes, aguardam janelas.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Times New Roman" w:cs="Times New Roman" w:eastAsia="Times New Roman" w:hAnsi="Times New Roman"/>
                <w:i/>
                <w:iCs/>
                <w:color w:val="888780"/>
                <w:sz w:val="18"/>
                <w:szCs w:val="18"/>
              </w:rPr>
              <w:t xml:space="preserve">Ex.</w:t>
            </w:r>
          </w:p>
        </w:tc>
        <w:tc>
          <w:tcPr>
            <w:tcW w:type="dxa" w:w="7826"/>
            <w:tcBorders>
              <w:top w:val="single" w:color="CCCCCC" w:sz="1"/>
              <w:left w:val="single" w:color="CCCCCC" w:sz="1"/>
              <w:bottom w:val="single" w:color="CCCCCC" w:sz="1"/>
              <w:right w:val="single" w:color="CCCCCC" w:sz="1"/>
            </w:tcBorders>
            <w:shd w:fill="FAFAF8" w:val="clear"/>
            <w:tcMar>
              <w:top w:type="dxa" w:w="80"/>
              <w:left w:type="dxa" w:w="160"/>
              <w:bottom w:type="dxa" w:w="80"/>
              <w:right w:type="dxa" w:w="120"/>
            </w:tcMar>
          </w:tcPr>
          <w:p>
            <w:pPr>
              <w:spacing w:after="40"/>
            </w:pPr>
            <w:r>
              <w:rPr>
                <w:rFonts w:ascii="Times New Roman" w:cs="Times New Roman" w:eastAsia="Times New Roman" w:hAnsi="Times New Roman"/>
                <w:b/>
                <w:bCs/>
                <w:color w:val="5F5E5A"/>
                <w:sz w:val="18"/>
                <w:szCs w:val="18"/>
              </w:rPr>
              <w:t xml:space="preserve">Brasil pré-2013:</w:t>
            </w:r>
          </w:p>
          <w:p>
            <w:pPr>
              <w:spacing w:after="0" w:line="300"/>
              <w:jc w:val="both"/>
            </w:pPr>
            <w:r>
              <w:rPr>
                <w:rFonts w:ascii="Times New Roman" w:cs="Times New Roman" w:eastAsia="Times New Roman" w:hAnsi="Times New Roman"/>
                <w:i/>
                <w:iCs/>
                <w:sz w:val="20"/>
                <w:szCs w:val="20"/>
              </w:rPr>
              <w:t xml:space="preserve">Crescimento econômico encobre insatisfações. MPL e coletivos de periferia organizam-se localmente. A narrativa do 'Brasil que deu certo' domina a esfera pública. As queixas com o transporte existem, mas são tratadas como problemas técnicos, não políticos.</w:t>
            </w:r>
          </w:p>
        </w:tc>
      </w:tr>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Estágio 2</w:t>
            </w:r>
          </w:p>
        </w:tc>
        <w:tc>
          <w:tcPr>
            <w:tcW w:type="dxa" w:w="7826"/>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20"/>
            </w:tcMar>
          </w:tcPr>
          <w:p>
            <w:r>
              <w:rPr>
                <w:rFonts w:ascii="Times New Roman" w:cs="Times New Roman" w:eastAsia="Times New Roman" w:hAnsi="Times New Roman"/>
                <w:b/>
                <w:bCs/>
                <w:color w:val="26215C"/>
                <w:sz w:val="22"/>
                <w:szCs w:val="22"/>
              </w:rPr>
              <w:t xml:space="preserve">Precipitação — o evento-gatilho</w:t>
            </w:r>
          </w:p>
          <w:p>
            <w:r>
              <w:rPr>
                <w:rFonts w:ascii="Times New Roman" w:cs="Times New Roman" w:eastAsia="Times New Roman" w:hAnsi="Times New Roman"/>
                <w:i/>
                <w:iCs/>
                <w:color w:val="534AB7"/>
                <w:sz w:val="20"/>
                <w:szCs w:val="20"/>
              </w:rPr>
              <w:t xml:space="preserve">Uma ação ou acontecimento abre simultaneamente EOP e DOS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
            </w:r>
          </w:p>
        </w:tc>
        <w:tc>
          <w:tcPr>
            <w:tcW w:type="dxa" w:w="782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Times New Roman" w:cs="Times New Roman" w:eastAsia="Times New Roman" w:hAnsi="Times New Roman"/>
                <w:b/>
                <w:bCs/>
                <w:color w:val="0F6E56"/>
                <w:sz w:val="20"/>
                <w:szCs w:val="20"/>
              </w:rPr>
              <w:t xml:space="preserve">EOP: </w:t>
            </w:r>
            <w:r>
              <w:rPr>
                <w:rFonts w:ascii="Times New Roman" w:cs="Times New Roman" w:eastAsia="Times New Roman" w:hAnsi="Times New Roman"/>
                <w:color w:val="085041"/>
                <w:sz w:val="20"/>
                <w:szCs w:val="20"/>
              </w:rPr>
              <w:t xml:space="preserve">Fissura nas elites ou erro governamental. Janela de oportunidade se abre — custo de protestar cai abruptamente.</w:t>
            </w:r>
          </w:p>
          <w:p>
            <w:pPr>
              <w:spacing w:after="60"/>
            </w:pPr>
            <w:r>
              <w:rPr>
                <w:rFonts w:ascii="Times New Roman" w:cs="Times New Roman" w:eastAsia="Times New Roman" w:hAnsi="Times New Roman"/>
                <w:b/>
                <w:bCs/>
                <w:color w:val="993C1D"/>
                <w:sz w:val="20"/>
                <w:szCs w:val="20"/>
              </w:rPr>
              <w:t xml:space="preserve">DOS: </w:t>
            </w:r>
            <w:r>
              <w:rPr>
                <w:rFonts w:ascii="Times New Roman" w:cs="Times New Roman" w:eastAsia="Times New Roman" w:hAnsi="Times New Roman"/>
                <w:color w:val="712B13"/>
                <w:sz w:val="20"/>
                <w:szCs w:val="20"/>
              </w:rPr>
              <w:t xml:space="preserve">Evento cria nova narrativa. Enquadramentos antes ilegítimos tornam-se sensatos. A mídia começa a cobrir.</w:t>
            </w:r>
          </w:p>
          <w:p>
            <w:pPr>
              <w:spacing w:after="0"/>
            </w:pPr>
            <w:r>
              <w:rPr>
                <w:rFonts w:ascii="Times New Roman" w:cs="Times New Roman" w:eastAsia="Times New Roman" w:hAnsi="Times New Roman"/>
                <w:b/>
                <w:bCs/>
                <w:color w:val="534AB7"/>
                <w:sz w:val="20"/>
                <w:szCs w:val="20"/>
              </w:rPr>
              <w:t xml:space="preserve">Conjuntura: </w:t>
            </w:r>
            <w:r>
              <w:rPr>
                <w:rFonts w:ascii="Times New Roman" w:cs="Times New Roman" w:eastAsia="Times New Roman" w:hAnsi="Times New Roman"/>
                <w:color w:val="3C3489"/>
                <w:sz w:val="20"/>
                <w:szCs w:val="20"/>
              </w:rPr>
              <w:t xml:space="preserve">Analistas reconhecem o 'acontecimento' como catalisador. Atores reposicionam estratégias em tempo real.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Times New Roman" w:cs="Times New Roman" w:eastAsia="Times New Roman" w:hAnsi="Times New Roman"/>
                <w:i/>
                <w:iCs/>
                <w:color w:val="888780"/>
                <w:sz w:val="18"/>
                <w:szCs w:val="18"/>
              </w:rPr>
              <w:t xml:space="preserve">Ex.</w:t>
            </w:r>
          </w:p>
        </w:tc>
        <w:tc>
          <w:tcPr>
            <w:tcW w:type="dxa" w:w="7826"/>
            <w:tcBorders>
              <w:top w:val="single" w:color="CCCCCC" w:sz="1"/>
              <w:left w:val="single" w:color="CCCCCC" w:sz="1"/>
              <w:bottom w:val="single" w:color="CCCCCC" w:sz="1"/>
              <w:right w:val="single" w:color="CCCCCC" w:sz="1"/>
            </w:tcBorders>
            <w:shd w:fill="FAFAF8" w:val="clear"/>
            <w:tcMar>
              <w:top w:type="dxa" w:w="80"/>
              <w:left w:type="dxa" w:w="160"/>
              <w:bottom w:type="dxa" w:w="80"/>
              <w:right w:type="dxa" w:w="120"/>
            </w:tcMar>
          </w:tcPr>
          <w:p>
            <w:pPr>
              <w:spacing w:after="40"/>
            </w:pPr>
            <w:r>
              <w:rPr>
                <w:rFonts w:ascii="Times New Roman" w:cs="Times New Roman" w:eastAsia="Times New Roman" w:hAnsi="Times New Roman"/>
                <w:b/>
                <w:bCs/>
                <w:color w:val="5F5E5A"/>
                <w:sz w:val="18"/>
                <w:szCs w:val="18"/>
              </w:rPr>
              <w:t xml:space="preserve">Junho de 2013 — 13 de junho:</w:t>
            </w:r>
          </w:p>
          <w:p>
            <w:pPr>
              <w:spacing w:after="0" w:line="300"/>
              <w:jc w:val="both"/>
            </w:pPr>
            <w:r>
              <w:rPr>
                <w:rFonts w:ascii="Times New Roman" w:cs="Times New Roman" w:eastAsia="Times New Roman" w:hAnsi="Times New Roman"/>
                <w:i/>
                <w:iCs/>
                <w:sz w:val="20"/>
                <w:szCs w:val="20"/>
              </w:rPr>
              <w:t xml:space="preserve">O aumento de R$ 0,20 nas passagens funciona como gatilho. A repressão policial à manifestação inverte a narrativa: o Estado agressor legitima os manifestantes. EOP e DOS se abrem simultaneamente.</w:t>
            </w:r>
          </w:p>
        </w:tc>
      </w:tr>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Estágio 3</w:t>
            </w:r>
          </w:p>
        </w:tc>
        <w:tc>
          <w:tcPr>
            <w:tcW w:type="dxa" w:w="7826"/>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20"/>
            </w:tcMar>
          </w:tcPr>
          <w:p>
            <w:r>
              <w:rPr>
                <w:rFonts w:ascii="Times New Roman" w:cs="Times New Roman" w:eastAsia="Times New Roman" w:hAnsi="Times New Roman"/>
                <w:b/>
                <w:bCs/>
                <w:color w:val="26215C"/>
                <w:sz w:val="22"/>
                <w:szCs w:val="22"/>
              </w:rPr>
              <w:t xml:space="preserve">Expansão multisetorial</w:t>
            </w:r>
          </w:p>
          <w:p>
            <w:r>
              <w:rPr>
                <w:rFonts w:ascii="Times New Roman" w:cs="Times New Roman" w:eastAsia="Times New Roman" w:hAnsi="Times New Roman"/>
                <w:i/>
                <w:iCs/>
                <w:color w:val="534AB7"/>
                <w:sz w:val="20"/>
                <w:szCs w:val="20"/>
              </w:rPr>
              <w:t xml:space="preserve">Difusão do protesto — outros atores entram no ciclo com agendas distintas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
            </w:r>
          </w:p>
        </w:tc>
        <w:tc>
          <w:tcPr>
            <w:tcW w:type="dxa" w:w="782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Times New Roman" w:cs="Times New Roman" w:eastAsia="Times New Roman" w:hAnsi="Times New Roman"/>
                <w:b/>
                <w:bCs/>
                <w:color w:val="0F6E56"/>
                <w:sz w:val="20"/>
                <w:szCs w:val="20"/>
              </w:rPr>
              <w:t xml:space="preserve">EOP: </w:t>
            </w:r>
            <w:r>
              <w:rPr>
                <w:rFonts w:ascii="Times New Roman" w:cs="Times New Roman" w:eastAsia="Times New Roman" w:hAnsi="Times New Roman"/>
                <w:color w:val="085041"/>
                <w:sz w:val="20"/>
                <w:szCs w:val="20"/>
              </w:rPr>
              <w:t xml:space="preserve">Elites divididas. Governo recua ou concede. Aliados surgem em arenas diversas. Repressão torna-se politicamente custosa.</w:t>
            </w:r>
          </w:p>
          <w:p>
            <w:pPr>
              <w:spacing w:after="60"/>
            </w:pPr>
            <w:r>
              <w:rPr>
                <w:rFonts w:ascii="Times New Roman" w:cs="Times New Roman" w:eastAsia="Times New Roman" w:hAnsi="Times New Roman"/>
                <w:b/>
                <w:bCs/>
                <w:color w:val="993C1D"/>
                <w:sz w:val="20"/>
                <w:szCs w:val="20"/>
              </w:rPr>
              <w:t xml:space="preserve">DOS: </w:t>
            </w:r>
            <w:r>
              <w:rPr>
                <w:rFonts w:ascii="Times New Roman" w:cs="Times New Roman" w:eastAsia="Times New Roman" w:hAnsi="Times New Roman"/>
                <w:color w:val="712B13"/>
                <w:sz w:val="20"/>
                <w:szCs w:val="20"/>
              </w:rPr>
              <w:t xml:space="preserve">Múltiplos frames competem no espaço público. Master frames emergem para agregar demandas heterogêneas. Ressonância ampliada.</w:t>
            </w:r>
          </w:p>
          <w:p>
            <w:pPr>
              <w:spacing w:after="0"/>
            </w:pPr>
            <w:r>
              <w:rPr>
                <w:rFonts w:ascii="Times New Roman" w:cs="Times New Roman" w:eastAsia="Times New Roman" w:hAnsi="Times New Roman"/>
                <w:b/>
                <w:bCs/>
                <w:color w:val="534AB7"/>
                <w:sz w:val="20"/>
                <w:szCs w:val="20"/>
              </w:rPr>
              <w:t xml:space="preserve">Conjuntura: </w:t>
            </w:r>
            <w:r>
              <w:rPr>
                <w:rFonts w:ascii="Times New Roman" w:cs="Times New Roman" w:eastAsia="Times New Roman" w:hAnsi="Times New Roman"/>
                <w:color w:val="3C3489"/>
                <w:sz w:val="20"/>
                <w:szCs w:val="20"/>
              </w:rPr>
              <w:t xml:space="preserve">A correlação de forças muda rapidamente. Novos atores mapeados. Arenas de disputa se multiplicam. Incerteza aumenta.</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Times New Roman" w:cs="Times New Roman" w:eastAsia="Times New Roman" w:hAnsi="Times New Roman"/>
                <w:i/>
                <w:iCs/>
                <w:color w:val="888780"/>
                <w:sz w:val="18"/>
                <w:szCs w:val="18"/>
              </w:rPr>
              <w:t xml:space="preserve">Ex.</w:t>
            </w:r>
          </w:p>
        </w:tc>
        <w:tc>
          <w:tcPr>
            <w:tcW w:type="dxa" w:w="7826"/>
            <w:tcBorders>
              <w:top w:val="single" w:color="CCCCCC" w:sz="1"/>
              <w:left w:val="single" w:color="CCCCCC" w:sz="1"/>
              <w:bottom w:val="single" w:color="CCCCCC" w:sz="1"/>
              <w:right w:val="single" w:color="CCCCCC" w:sz="1"/>
            </w:tcBorders>
            <w:shd w:fill="FAFAF8" w:val="clear"/>
            <w:tcMar>
              <w:top w:type="dxa" w:w="80"/>
              <w:left w:type="dxa" w:w="160"/>
              <w:bottom w:type="dxa" w:w="80"/>
              <w:right w:type="dxa" w:w="120"/>
            </w:tcMar>
          </w:tcPr>
          <w:p>
            <w:pPr>
              <w:spacing w:after="40"/>
            </w:pPr>
            <w:r>
              <w:rPr>
                <w:rFonts w:ascii="Times New Roman" w:cs="Times New Roman" w:eastAsia="Times New Roman" w:hAnsi="Times New Roman"/>
                <w:b/>
                <w:bCs/>
                <w:color w:val="5F5E5A"/>
                <w:sz w:val="18"/>
                <w:szCs w:val="18"/>
              </w:rPr>
              <w:t xml:space="preserve">Junho de 2013 (continuação):</w:t>
            </w:r>
          </w:p>
          <w:p>
            <w:pPr>
              <w:spacing w:after="0" w:line="300"/>
              <w:jc w:val="both"/>
            </w:pPr>
            <w:r>
              <w:rPr>
                <w:rFonts w:ascii="Times New Roman" w:cs="Times New Roman" w:eastAsia="Times New Roman" w:hAnsi="Times New Roman"/>
                <w:i/>
                <w:iCs/>
                <w:sz w:val="20"/>
                <w:szCs w:val="20"/>
              </w:rPr>
              <w:t xml:space="preserve">Após o dia 13, atores com agendas opostas — esquerda organizada, grupos conservadores, partidos — adentram o ciclo. O master frame 'contra a corrupção' passa a competir com 'direito à cidade'. A DOS aberta acomoda frames contraditórios.</w:t>
            </w:r>
          </w:p>
        </w:tc>
      </w:tr>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Estágio 4</w:t>
            </w:r>
          </w:p>
        </w:tc>
        <w:tc>
          <w:tcPr>
            <w:tcW w:type="dxa" w:w="7826"/>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20"/>
            </w:tcMar>
          </w:tcPr>
          <w:p>
            <w:r>
              <w:rPr>
                <w:rFonts w:ascii="Times New Roman" w:cs="Times New Roman" w:eastAsia="Times New Roman" w:hAnsi="Times New Roman"/>
                <w:b/>
                <w:bCs/>
                <w:color w:val="26215C"/>
                <w:sz w:val="22"/>
                <w:szCs w:val="22"/>
              </w:rPr>
              <w:t xml:space="preserve">Pico — conjuntura crítica</w:t>
            </w:r>
          </w:p>
          <w:p>
            <w:r>
              <w:rPr>
                <w:rFonts w:ascii="Times New Roman" w:cs="Times New Roman" w:eastAsia="Times New Roman" w:hAnsi="Times New Roman"/>
                <w:i/>
                <w:iCs/>
                <w:color w:val="534AB7"/>
                <w:sz w:val="20"/>
                <w:szCs w:val="20"/>
              </w:rPr>
              <w:t xml:space="preserve">Máxima incerteza. O resultado institucional permanece em aberto</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
            </w:r>
          </w:p>
        </w:tc>
        <w:tc>
          <w:tcPr>
            <w:tcW w:type="dxa" w:w="782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Times New Roman" w:cs="Times New Roman" w:eastAsia="Times New Roman" w:hAnsi="Times New Roman"/>
                <w:b/>
                <w:bCs/>
                <w:color w:val="0F6E56"/>
                <w:sz w:val="20"/>
                <w:szCs w:val="20"/>
              </w:rPr>
              <w:t xml:space="preserve">EOP: </w:t>
            </w:r>
            <w:r>
              <w:rPr>
                <w:rFonts w:ascii="Times New Roman" w:cs="Times New Roman" w:eastAsia="Times New Roman" w:hAnsi="Times New Roman"/>
                <w:color w:val="085041"/>
                <w:sz w:val="20"/>
                <w:szCs w:val="20"/>
              </w:rPr>
              <w:t xml:space="preserve">Vulnerabilidade máxima dos oponentes. Constrangimentos institucionais reduzidos. Múltiplos cenários possíveis.</w:t>
            </w:r>
          </w:p>
          <w:p>
            <w:pPr>
              <w:spacing w:after="60"/>
            </w:pPr>
            <w:r>
              <w:rPr>
                <w:rFonts w:ascii="Times New Roman" w:cs="Times New Roman" w:eastAsia="Times New Roman" w:hAnsi="Times New Roman"/>
                <w:b/>
                <w:bCs/>
                <w:color w:val="993C1D"/>
                <w:sz w:val="20"/>
                <w:szCs w:val="20"/>
              </w:rPr>
              <w:t xml:space="preserve">DOS: </w:t>
            </w:r>
            <w:r>
              <w:rPr>
                <w:rFonts w:ascii="Times New Roman" w:cs="Times New Roman" w:eastAsia="Times New Roman" w:hAnsi="Times New Roman"/>
                <w:color w:val="712B13"/>
                <w:sz w:val="20"/>
                <w:szCs w:val="20"/>
              </w:rPr>
              <w:t xml:space="preserve">Esfera pública em disputa aberta. Frames radicais ganham visibilidade. Hegemonia discursiva prévia se fragmenta.</w:t>
            </w:r>
          </w:p>
          <w:p>
            <w:pPr>
              <w:spacing w:after="0"/>
            </w:pPr>
            <w:r>
              <w:rPr>
                <w:rFonts w:ascii="Times New Roman" w:cs="Times New Roman" w:eastAsia="Times New Roman" w:hAnsi="Times New Roman"/>
                <w:b/>
                <w:bCs/>
                <w:color w:val="534AB7"/>
                <w:sz w:val="20"/>
                <w:szCs w:val="20"/>
              </w:rPr>
              <w:t xml:space="preserve">Conjuntura: </w:t>
            </w:r>
            <w:r>
              <w:rPr>
                <w:rFonts w:ascii="Times New Roman" w:cs="Times New Roman" w:eastAsia="Times New Roman" w:hAnsi="Times New Roman"/>
                <w:color w:val="3C3489"/>
                <w:sz w:val="20"/>
                <w:szCs w:val="20"/>
              </w:rPr>
              <w:t xml:space="preserve">Momento de maior demanda analítica. Atores interpretam 'linhas de fratura'. A agência torna-se decisiva para os desdobramentos.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Times New Roman" w:cs="Times New Roman" w:eastAsia="Times New Roman" w:hAnsi="Times New Roman"/>
                <w:i/>
                <w:iCs/>
                <w:color w:val="888780"/>
                <w:sz w:val="18"/>
                <w:szCs w:val="18"/>
              </w:rPr>
              <w:t xml:space="preserve">Ex.</w:t>
            </w:r>
          </w:p>
        </w:tc>
        <w:tc>
          <w:tcPr>
            <w:tcW w:type="dxa" w:w="7826"/>
            <w:tcBorders>
              <w:top w:val="single" w:color="CCCCCC" w:sz="1"/>
              <w:left w:val="single" w:color="CCCCCC" w:sz="1"/>
              <w:bottom w:val="single" w:color="CCCCCC" w:sz="1"/>
              <w:right w:val="single" w:color="CCCCCC" w:sz="1"/>
            </w:tcBorders>
            <w:shd w:fill="FAFAF8" w:val="clear"/>
            <w:tcMar>
              <w:top w:type="dxa" w:w="80"/>
              <w:left w:type="dxa" w:w="160"/>
              <w:bottom w:type="dxa" w:w="80"/>
              <w:right w:type="dxa" w:w="120"/>
            </w:tcMar>
          </w:tcPr>
          <w:p>
            <w:pPr>
              <w:spacing w:after="40"/>
            </w:pPr>
            <w:r>
              <w:rPr>
                <w:rFonts w:ascii="Times New Roman" w:cs="Times New Roman" w:eastAsia="Times New Roman" w:hAnsi="Times New Roman"/>
                <w:b/>
                <w:bCs/>
                <w:color w:val="5F5E5A"/>
                <w:sz w:val="18"/>
                <w:szCs w:val="18"/>
              </w:rPr>
              <w:t xml:space="preserve">Della Porta (2018) — conjuntura crítica:</w:t>
            </w:r>
          </w:p>
          <w:p>
            <w:pPr>
              <w:spacing w:after="0" w:line="300"/>
              <w:jc w:val="both"/>
            </w:pPr>
            <w:r>
              <w:rPr>
                <w:rFonts w:ascii="Times New Roman" w:cs="Times New Roman" w:eastAsia="Times New Roman" w:hAnsi="Times New Roman"/>
                <w:i/>
                <w:iCs/>
                <w:sz w:val="20"/>
                <w:szCs w:val="20"/>
              </w:rPr>
              <w:t xml:space="preserve">Este é o momento que della Porta chama de 'conjuntura crítica': incerteza, intensificação, reconfiguração. Mariano, Ferreira e Neves (2023) lembram que mudança não é resultado necessário — a contingência domina. É aqui que EOP, DOS e análise de conjuntura convergem com mais força.</w:t>
            </w:r>
          </w:p>
        </w:tc>
      </w:tr>
      <w:tr>
        <w:tc>
          <w:tcPr>
            <w:tcW w:type="dxa" w:w="1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Estágio 5</w:t>
            </w:r>
          </w:p>
        </w:tc>
        <w:tc>
          <w:tcPr>
            <w:tcW w:type="dxa" w:w="7826"/>
            <w:tcBorders>
              <w:top w:val="single" w:color="CCCCCC" w:sz="1"/>
              <w:left w:val="single" w:color="CCCCCC" w:sz="1"/>
              <w:bottom w:val="single" w:color="CCCCCC" w:sz="1"/>
              <w:right w:val="single" w:color="CCCCCC" w:sz="1"/>
            </w:tcBorders>
            <w:shd w:fill="EEEDFE" w:val="clear"/>
            <w:tcMar>
              <w:top w:type="dxa" w:w="80"/>
              <w:left w:type="dxa" w:w="160"/>
              <w:bottom w:type="dxa" w:w="80"/>
              <w:right w:type="dxa" w:w="120"/>
            </w:tcMar>
          </w:tcPr>
          <w:p>
            <w:r>
              <w:rPr>
                <w:rFonts w:ascii="Times New Roman" w:cs="Times New Roman" w:eastAsia="Times New Roman" w:hAnsi="Times New Roman"/>
                <w:b/>
                <w:bCs/>
                <w:color w:val="26215C"/>
                <w:sz w:val="22"/>
                <w:szCs w:val="22"/>
              </w:rPr>
              <w:t xml:space="preserve">Refluxo e reconfiguração</w:t>
            </w:r>
          </w:p>
          <w:p>
            <w:r>
              <w:rPr>
                <w:rFonts w:ascii="Times New Roman" w:cs="Times New Roman" w:eastAsia="Times New Roman" w:hAnsi="Times New Roman"/>
                <w:i/>
                <w:iCs/>
                <w:color w:val="534AB7"/>
                <w:sz w:val="20"/>
                <w:szCs w:val="20"/>
              </w:rPr>
              <w:t xml:space="preserve">O ciclo se encerra — mas deixa heranças institucionais e discursivas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
            </w:r>
          </w:p>
        </w:tc>
        <w:tc>
          <w:tcPr>
            <w:tcW w:type="dxa" w:w="7826"/>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after="60"/>
            </w:pPr>
            <w:r>
              <w:rPr>
                <w:rFonts w:ascii="Times New Roman" w:cs="Times New Roman" w:eastAsia="Times New Roman" w:hAnsi="Times New Roman"/>
                <w:b/>
                <w:bCs/>
                <w:color w:val="0F6E56"/>
                <w:sz w:val="20"/>
                <w:szCs w:val="20"/>
              </w:rPr>
              <w:t xml:space="preserve">EOP: </w:t>
            </w:r>
            <w:r>
              <w:rPr>
                <w:rFonts w:ascii="Times New Roman" w:cs="Times New Roman" w:eastAsia="Times New Roman" w:hAnsi="Times New Roman"/>
                <w:color w:val="085041"/>
                <w:sz w:val="20"/>
                <w:szCs w:val="20"/>
              </w:rPr>
              <w:t xml:space="preserve">Nova configuração de elites. Canais institucionais reformados ou fechados. Repressão pode aumentar ou diminuir.</w:t>
            </w:r>
          </w:p>
          <w:p>
            <w:pPr>
              <w:spacing w:after="60"/>
            </w:pPr>
            <w:r>
              <w:rPr>
                <w:rFonts w:ascii="Times New Roman" w:cs="Times New Roman" w:eastAsia="Times New Roman" w:hAnsi="Times New Roman"/>
                <w:b/>
                <w:bCs/>
                <w:color w:val="993C1D"/>
                <w:sz w:val="20"/>
                <w:szCs w:val="20"/>
              </w:rPr>
              <w:t xml:space="preserve">DOS: </w:t>
            </w:r>
            <w:r>
              <w:rPr>
                <w:rFonts w:ascii="Times New Roman" w:cs="Times New Roman" w:eastAsia="Times New Roman" w:hAnsi="Times New Roman"/>
                <w:color w:val="712B13"/>
                <w:sz w:val="20"/>
                <w:szCs w:val="20"/>
              </w:rPr>
              <w:t xml:space="preserve">Alguns frames antes marginalizados tornam-se legítimos. Outros são cooptados. O horizonte discursivo se expande — ou retrai.</w:t>
            </w:r>
          </w:p>
          <w:p>
            <w:pPr>
              <w:spacing w:after="0"/>
            </w:pPr>
            <w:r>
              <w:rPr>
                <w:rFonts w:ascii="Times New Roman" w:cs="Times New Roman" w:eastAsia="Times New Roman" w:hAnsi="Times New Roman"/>
                <w:b/>
                <w:bCs/>
                <w:color w:val="534AB7"/>
                <w:sz w:val="20"/>
                <w:szCs w:val="20"/>
              </w:rPr>
              <w:t xml:space="preserve">Conjuntura: </w:t>
            </w:r>
            <w:r>
              <w:rPr>
                <w:rFonts w:ascii="Times New Roman" w:cs="Times New Roman" w:eastAsia="Times New Roman" w:hAnsi="Times New Roman"/>
                <w:color w:val="3C3489"/>
                <w:sz w:val="20"/>
                <w:szCs w:val="20"/>
              </w:rPr>
              <w:t xml:space="preserve">Avaliação de cenários prospectivos. Atores identificam o que foi conquistado, o que foi perdido, quais margens de manobra restam.</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Times New Roman" w:cs="Times New Roman" w:eastAsia="Times New Roman" w:hAnsi="Times New Roman"/>
                <w:i/>
                <w:iCs/>
                <w:color w:val="888780"/>
                <w:sz w:val="18"/>
                <w:szCs w:val="18"/>
              </w:rPr>
              <w:t xml:space="preserve">Ex.</w:t>
            </w:r>
          </w:p>
        </w:tc>
        <w:tc>
          <w:tcPr>
            <w:tcW w:type="dxa" w:w="7826"/>
            <w:tcBorders>
              <w:top w:val="single" w:color="CCCCCC" w:sz="1"/>
              <w:left w:val="single" w:color="CCCCCC" w:sz="1"/>
              <w:bottom w:val="single" w:color="CCCCCC" w:sz="1"/>
              <w:right w:val="single" w:color="CCCCCC" w:sz="1"/>
            </w:tcBorders>
            <w:shd w:fill="FAFAF8" w:val="clear"/>
            <w:tcMar>
              <w:top w:type="dxa" w:w="80"/>
              <w:left w:type="dxa" w:w="160"/>
              <w:bottom w:type="dxa" w:w="80"/>
              <w:right w:type="dxa" w:w="120"/>
            </w:tcMar>
          </w:tcPr>
          <w:p>
            <w:pPr>
              <w:spacing w:after="40"/>
            </w:pPr>
            <w:r>
              <w:rPr>
                <w:rFonts w:ascii="Times New Roman" w:cs="Times New Roman" w:eastAsia="Times New Roman" w:hAnsi="Times New Roman"/>
                <w:b/>
                <w:bCs/>
                <w:color w:val="5F5E5A"/>
                <w:sz w:val="18"/>
                <w:szCs w:val="18"/>
              </w:rPr>
              <w:t xml:space="preserve">Legado do ciclo 2013–2016 (Brasil):</w:t>
            </w:r>
          </w:p>
          <w:p>
            <w:pPr>
              <w:spacing w:after="0" w:line="300"/>
              <w:jc w:val="both"/>
            </w:pPr>
            <w:r>
              <w:rPr>
                <w:rFonts w:ascii="Times New Roman" w:cs="Times New Roman" w:eastAsia="Times New Roman" w:hAnsi="Times New Roman"/>
                <w:i/>
                <w:iCs/>
                <w:sz w:val="20"/>
                <w:szCs w:val="20"/>
              </w:rPr>
              <w:t xml:space="preserve">O refluxo de Junho de 2013 não produziu reforma política — as mobilizações permaneceram 'inacabadas' (Gohn, 2018). Mas reconfiguraram a DOS: tornaram legítimos frames conservadores que antes careciam de ressonância de massa, abrindo caminho para o ciclo de 2015-2016 e o impeachment.</w:t>
            </w:r>
          </w:p>
        </w:tc>
      </w:tr>
    </w:tbl>
    <w:p>
      <w:pPr>
        <w:spacing w:after="120"/>
      </w:pPr>
      <w:r>
        <w:t xml:space="preserve"/>
      </w:r>
    </w:p>
    <w:p>
      <w:pPr>
        <w:spacing w:after="200" w:line="360"/>
        <w:jc w:val="both"/>
      </w:pPr>
      <w:r>
        <w:rPr>
          <w:rFonts w:ascii="Times New Roman" w:cs="Times New Roman" w:eastAsia="Times New Roman" w:hAnsi="Times New Roman"/>
          <w:sz w:val="24"/>
          <w:szCs w:val="24"/>
        </w:rPr>
        <w:t xml:space="preserve">A leitura integrada dos cinco estágios permite observar que EOP e DOS não operam em sequência, mas em paralelo e com efeitos recíprocos. Quando uma janela de oportunidade política se abre, ela tende a abrir simultaneamente uma janela discursiva, porque os enquadramentos antes ilegítimos tornam-se subitamente sensatos. A análise de conjuntura é o instrumento que conecta essas duas estruturas à prática dos atores — operando como instrumento de mapeamento estratégico na latência, de leitura interpretativa do pico e de avaliação prospectiva dos legados no refluxo.</w:t>
      </w:r>
    </w:p>
    <w:p>
      <w:pPr>
        <w:pStyle w:val="Heading1"/>
        <w:spacing w:after="200" w:before="400"/>
      </w:pPr>
      <w:r>
        <w:rPr>
          <w:rFonts w:ascii="Times New Roman" w:cs="Times New Roman" w:eastAsia="Times New Roman" w:hAnsi="Times New Roman"/>
          <w:b/>
          <w:bCs/>
          <w:sz w:val="28"/>
          <w:szCs w:val="28"/>
        </w:rPr>
        <w:t xml:space="preserve">3. Metodologia</w:t>
      </w:r>
    </w:p>
    <w:p>
      <w:pPr>
        <w:spacing w:after="200" w:line="360"/>
        <w:jc w:val="both"/>
      </w:pPr>
      <w:r>
        <w:rPr>
          <w:rFonts w:ascii="Times New Roman" w:cs="Times New Roman" w:eastAsia="Times New Roman" w:hAnsi="Times New Roman"/>
          <w:sz w:val="24"/>
          <w:szCs w:val="24"/>
        </w:rPr>
        <w:t xml:space="preserve">O presente artigo se inscreve no campo dos estudos teórico-analíticos sobre movimentos sociais e adota uma perspectiva de pesquisa qualitativa de caráter exploratório e interpretativo. Seu objetivo não é testar hipóteses causais por meio de inferência estatística, mas produzir uma contribuição à construção de um quadro analítico integrado que articule conceitos provenientes de tradições teóricas distintas — a Teoria do Processo Político de matriz norte-americana e europeia e a tradição brasileira de análise de conjuntura — em torno de um problema substantivo comum: a compreensão dos fatores que condicionam a emergência, a expansão e o refluxo dos ciclos de protesto em contextos democráticos.</w:t>
      </w:r>
    </w:p>
    <w:p>
      <w:pPr>
        <w:spacing w:after="200" w:line="360"/>
        <w:jc w:val="both"/>
      </w:pPr>
      <w:r>
        <w:rPr>
          <w:rFonts w:ascii="Times New Roman" w:cs="Times New Roman" w:eastAsia="Times New Roman" w:hAnsi="Times New Roman"/>
          <w:sz w:val="24"/>
          <w:szCs w:val="24"/>
        </w:rPr>
        <w:t xml:space="preserve">A estratégia metodológica central é a análise comparativa de casos históricos (HOPKIN, 2010; RITTER, 2014), desenvolvida em duas dimensões complementares. Na primeira dimensão, de caráter teórico-conceitual, o artigo realiza uma revisão sistemática da literatura sobre EOP, DOS e análise de conjuntura, com vistas a identificar pontos de convergência, zonas de tensão e lacunas de diálogo entre essas tradições. Na segunda dimensão, de caráter empírico-analítico, o artigo mobiliza o material produzido por Costa (2024) em sua tese de doutorado sobre os ciclos de protestos no Brasil contemporâneo como base para a aplicação do triângulo EOP–DOS–Análise de Conjuntura.</w:t>
      </w:r>
    </w:p>
    <w:p>
      <w:pPr>
        <w:spacing w:after="200" w:line="360"/>
        <w:jc w:val="both"/>
      </w:pPr>
      <w:r>
        <w:rPr>
          <w:rFonts w:ascii="Times New Roman" w:cs="Times New Roman" w:eastAsia="Times New Roman" w:hAnsi="Times New Roman"/>
          <w:sz w:val="24"/>
          <w:szCs w:val="24"/>
        </w:rPr>
        <w:t xml:space="preserve">A escolha de uma investigação doutoral como fonte primária de evidências empíricas é metodologicamente justificada por três razões. Primeiro, pela profundidade do material: a investigação de Costa (2024) combina análise documental extensiva, revisão bibliográfica abrangente e análise de dados de opinião pública longitudinais, produzindo um mapeamento detalhado das condições estruturais, discursivas e conjunturais dos três ciclos analisados. Segundo, pela compatibilidade teórica: a tese já opera com os conceitos de EOP e oportunidades discursivas como categorias analíticas centrais. Terceiro, pela coerência epistêmica: ao articular o argumento teórico com evidências produzidas em pesquisa empiricamente fundamentada, o artigo evita a abstração especulativa.</w:t>
      </w:r>
    </w:p>
    <w:p>
      <w:pPr>
        <w:spacing w:after="200" w:line="360"/>
        <w:jc w:val="both"/>
      </w:pPr>
      <w:r>
        <w:rPr>
          <w:rFonts w:ascii="Times New Roman" w:cs="Times New Roman" w:eastAsia="Times New Roman" w:hAnsi="Times New Roman"/>
          <w:sz w:val="24"/>
          <w:szCs w:val="24"/>
        </w:rPr>
        <w:t xml:space="preserve">O método de análise dos casos é o do process tracing analítico (MAHONEY, 2001), adaptado ao propósito do artigo. A análise busca identificar, em cada ciclo: (a) como a EOP se configurou, com atenção às dimensões de abertura democrática, alinhamento de elites, presença de aliados e capacidade repressiva do Estado; (b) como a DOS se estruturou, com atenção ao papel dos meios de comunicação, à ressonância dos frames mobilizados e à distribuição assimétrica de legitimidade discursiva; e (c) como os atores produziram leituras conjunturais que orientaram suas estratégias.</w:t>
      </w:r>
    </w:p>
    <w:p>
      <w:pPr>
        <w:spacing w:after="200" w:line="360"/>
        <w:jc w:val="both"/>
      </w:pPr>
      <w:r>
        <w:rPr>
          <w:rFonts w:ascii="Times New Roman" w:cs="Times New Roman" w:eastAsia="Times New Roman" w:hAnsi="Times New Roman"/>
          <w:sz w:val="24"/>
          <w:szCs w:val="24"/>
        </w:rPr>
        <w:t xml:space="preserve">A comparação entre os três ciclos combina dimensões de 'most similar systems' — todos ocorrem em contexto democrático presidencialista brasileiro, todos envolvem mobilizações multisetoriais de grande escala, todos convergem em torno de crises de governabilidade presidencial — com dimensões de 'most different systems', especialmente no que concerne à configuração de EOP e DOS e ao perfil ideológico dos atores protagonistas. Essa combinação permite isolar analiticamente os fatores que variam entre os ciclos e observar seu impacto diferenciado nos resultados das mobilizações.</w:t>
      </w:r>
    </w:p>
    <w:p>
      <w:pPr>
        <w:spacing w:after="200" w:line="360"/>
        <w:jc w:val="both"/>
      </w:pPr>
      <w:r>
        <w:rPr>
          <w:rFonts w:ascii="Times New Roman" w:cs="Times New Roman" w:eastAsia="Times New Roman" w:hAnsi="Times New Roman"/>
          <w:sz w:val="24"/>
          <w:szCs w:val="24"/>
        </w:rPr>
        <w:t xml:space="preserve">Uma limitação metodológica importante deve ser explicitada: o artigo não realizou coleta de dados primários. As interpretações produzidas têm, portanto, caráter analítico-indutivo — partem de evidências empíricas sistematizadas por outros pesquisadores para construir proposições teóricas de alcance mais geral sobre a relação entre EOP, DOS e análise de conjuntura em contextos de mobilização multisetorial.</w:t>
      </w:r>
    </w:p>
    <w:p>
      <w:pPr>
        <w:pStyle w:val="Heading1"/>
        <w:spacing w:after="200" w:before="400"/>
      </w:pPr>
      <w:r>
        <w:rPr>
          <w:rFonts w:ascii="Times New Roman" w:cs="Times New Roman" w:eastAsia="Times New Roman" w:hAnsi="Times New Roman"/>
          <w:b/>
          <w:bCs/>
          <w:sz w:val="28"/>
          <w:szCs w:val="28"/>
        </w:rPr>
        <w:t xml:space="preserve">4. Análise de conjuntura, processo político e ciclos de protesto no Brasil</w:t>
      </w:r>
    </w:p>
    <w:p>
      <w:pPr>
        <w:spacing w:after="200" w:line="360"/>
        <w:jc w:val="both"/>
      </w:pPr>
      <w:r>
        <w:rPr>
          <w:rFonts w:ascii="Times New Roman" w:cs="Times New Roman" w:eastAsia="Times New Roman" w:hAnsi="Times New Roman"/>
          <w:sz w:val="24"/>
          <w:szCs w:val="24"/>
        </w:rPr>
        <w:t xml:space="preserve">A tradição intelectual e ensaística brasileira tem na análise de conjuntura uma de suas ferramentas mais duradouras e politicamente consequentes. Desde os manuais produzidos no âmbito das organizações de esquerda e dos movimentos sociais das décadas de 1970 e 1980 — de que são exemplares os trabalhos de Souza (1986) e Santiago e De Moraes (2008) —, passando pelas contribuições de Velasco e Cruz (2000) sobre seu estatuto teórico-metodológico e chegando às sistematizações mais recentes de Jatobá (2025), Vieira (2015) e Virgens e Teixeira (2023), a análise de conjuntura constitui-se como prática reflexiva de leitura do presente que transcende a mera descrição dos eventos para alcançar a compreensão das forças estruturais e dos campos de possibilidade que os engendram.</w:t>
      </w:r>
    </w:p>
    <w:p>
      <w:pPr>
        <w:spacing w:after="200" w:line="360"/>
        <w:jc w:val="both"/>
      </w:pPr>
      <w:r>
        <w:rPr>
          <w:rFonts w:ascii="Times New Roman" w:cs="Times New Roman" w:eastAsia="Times New Roman" w:hAnsi="Times New Roman"/>
          <w:sz w:val="24"/>
          <w:szCs w:val="24"/>
        </w:rPr>
        <w:t xml:space="preserve">Não obstante essa tradição robusta, a análise de conjuntura brasileira tem operado, em sua maior parte, sem estabelecer diálogo sistemático com o instrumental teórico que a sociologia dos movimentos sociais de matriz norte-americana e europeia acumulou ao longo das últimas quatro décadas. Em particular, a Teoria do Processo Político, com seus conceitos de EOP, estruturas de mobilização e processos de enquadramento, permanece subutilizada como ferramenta de refinamento da análise de conjuntura. Este artigo propõe que essa lacuna de diálogo é simultaneamente um problema teórico e uma limitação prática: a análise de conjuntura carece de instrumentos mais precisos para distinguir as condições político-institucionais das condições simbólico-discursivas que determinam quais demandas podem ser articuladas com eficácia na esfera pública.</w:t>
      </w:r>
    </w:p>
    <w:p>
      <w:pPr>
        <w:pStyle w:val="Heading2"/>
        <w:spacing w:after="160" w:before="320"/>
      </w:pPr>
      <w:r>
        <w:rPr>
          <w:rFonts w:ascii="Times New Roman" w:cs="Times New Roman" w:eastAsia="Times New Roman" w:hAnsi="Times New Roman"/>
          <w:b/>
          <w:bCs/>
          <w:sz w:val="26"/>
          <w:szCs w:val="26"/>
        </w:rPr>
        <w:t xml:space="preserve">4.1 O ciclo do Fora Collor (1992): EOP estreita, DOS convergente</w:t>
      </w:r>
    </w:p>
    <w:p>
      <w:pPr>
        <w:spacing w:after="200" w:line="360"/>
        <w:jc w:val="both"/>
      </w:pPr>
      <w:r>
        <w:rPr>
          <w:rFonts w:ascii="Times New Roman" w:cs="Times New Roman" w:eastAsia="Times New Roman" w:hAnsi="Times New Roman"/>
          <w:sz w:val="24"/>
          <w:szCs w:val="24"/>
        </w:rPr>
        <w:t xml:space="preserve">Do ponto de vista da EOP, o impeachment de Collor se desenvolveu em uma conjuntura marcada pela articulação entre abertura democrática recente e erosão acelerada da governabilidade presidencial. A Constituição de 1988 havia expandido as franquias democráticas — ampliando os canais de participação institucional e incorporando novos atores coletivos à arena política —, mas a recente transição democrática tornava o sistema ainda relativamente fechado à pressão direta dos movimentos sociais (COSTA, 2024). O que a EOP oferecia, nesse caso, não era tanto a abertura de canais formais de acesso, mas a vulnerabilidade crescente de um governo que havia acumulado fissuras críticas em três dimensões simultâneas: o fracasso dos planos econômicos de estabilização, a desagregação progressiva da base parlamentar e a exposição de escândalos de corrupção centrados na figura do presidente. A queda dos índices de aprovação de Collor de 71% antes da posse para 9% após dois anos e meio de governo (COSTA, 2024) sinalizava a magnitude da janela de oportunidade que se abria para a ação coletiva.</w:t>
      </w:r>
    </w:p>
    <w:p>
      <w:pPr>
        <w:spacing w:after="200" w:line="360"/>
        <w:jc w:val="both"/>
      </w:pPr>
      <w:r>
        <w:rPr>
          <w:rFonts w:ascii="Times New Roman" w:cs="Times New Roman" w:eastAsia="Times New Roman" w:hAnsi="Times New Roman"/>
          <w:sz w:val="24"/>
          <w:szCs w:val="24"/>
        </w:rPr>
        <w:t xml:space="preserve">O Movimento pela Ética na Política (MEP) constituiu a estrutura de mobilização central do Fora Collor, articulando de forma inédita partidos de esquerda (PT e PC do B), centrais sindicais (CUT), movimento estudantil e entidades da sociedade civil organizada. O caráter hierárquico e formalizado dessa estrutura — com comitês organizados, lideranças identificáveis e deliberação interna — contrastaria radicalmente com as formas de mobilização que emergiriam em 2013. A juventude secundarista, agindo sob uma identidade 'cívica' de novo tipo descrita por Mische (1997, apud COSTA, 2024), desempenhou papel catalisador: os 'caras pintadas' funcionaram simultaneamente como símbolo midiático da indignação popular e como articuladores de redes de lideranças que atravessavam o movimento estudantil, os partidos e as organizações de base.</w:t>
      </w:r>
    </w:p>
    <w:p>
      <w:pPr>
        <w:spacing w:after="200" w:line="360"/>
        <w:jc w:val="both"/>
      </w:pPr>
      <w:r>
        <w:rPr>
          <w:rFonts w:ascii="Times New Roman" w:cs="Times New Roman" w:eastAsia="Times New Roman" w:hAnsi="Times New Roman"/>
          <w:sz w:val="24"/>
          <w:szCs w:val="24"/>
        </w:rPr>
        <w:t xml:space="preserve">A dimensão discursiva do ciclo é igualmente reveladora. A DOS que prevalecia no Fora Collor era relativamente convergente: o frame da 'ética na política' encontrou ressonância ampla em diferentes setores sociais, justamente porque articulava o repertório normativo da nova ordem democrática — construída ao longo do processo constituinte de 1987-88 — com o repúdio às práticas clientelistas que o próprio Collor havia prometido extirpar. A Veja, que havia apoiado a candidatura de Collor em 1989 com o enquadramento do 'caçador de marajás', operou uma inversão progressiva ao longo de 1992, construindo ativamente o consenso sobre a necessidade do impeachment — o que Costa (2024) descreve como o processo pelo qual a grande mídia atrelou progressivamente a imagem de Collor à corrupção.</w:t>
      </w:r>
    </w:p>
    <w:p>
      <w:pPr>
        <w:spacing w:after="200" w:line="360"/>
        <w:jc w:val="both"/>
      </w:pPr>
      <w:r>
        <w:rPr>
          <w:rFonts w:ascii="Times New Roman" w:cs="Times New Roman" w:eastAsia="Times New Roman" w:hAnsi="Times New Roman"/>
          <w:sz w:val="24"/>
          <w:szCs w:val="24"/>
        </w:rPr>
        <w:t xml:space="preserve">Do ponto de vista da DOS, um aspecto central é que a multiplicidade de atores envolvidos no Fora Collor conseguiu convergir em torno de um master frame suficientemente amplo para acomodar demandas distintas sem fragmentar a coalização. A narrativa da ética na política funcionava como frame-ponte: era suficientemente vaga para ser apropriada por atores com agendas diversas, mas suficientemente concreta para orientar a ação coletiva em direção a um alvo identificável — a saída do presidente.</w:t>
      </w:r>
    </w:p>
    <w:p>
      <w:pPr>
        <w:pStyle w:val="Heading2"/>
        <w:spacing w:after="160" w:before="320"/>
      </w:pPr>
      <w:r>
        <w:rPr>
          <w:rFonts w:ascii="Times New Roman" w:cs="Times New Roman" w:eastAsia="Times New Roman" w:hAnsi="Times New Roman"/>
          <w:b/>
          <w:bCs/>
          <w:sz w:val="26"/>
          <w:szCs w:val="26"/>
        </w:rPr>
        <w:t xml:space="preserve">4.2 Junho de 2013: EOP ambígua, DOS fragmentada — a conjuntura crítica por excelência</w:t>
      </w:r>
    </w:p>
    <w:p>
      <w:pPr>
        <w:spacing w:after="200" w:line="360"/>
        <w:jc w:val="both"/>
      </w:pPr>
      <w:r>
        <w:rPr>
          <w:rFonts w:ascii="Times New Roman" w:cs="Times New Roman" w:eastAsia="Times New Roman" w:hAnsi="Times New Roman"/>
          <w:sz w:val="24"/>
          <w:szCs w:val="24"/>
        </w:rPr>
        <w:t xml:space="preserve">O ciclo de Junho de 2013 representa o caso mais complexo e teoricamente mais produtivo para a aplicação do triângulo analítico, precisamente porque nele EOP e DOS se abriram de forma simultânea e caótica, sem que qualquer ator tivesse a capacidade de controlar os enquadramentos que emergiram. Costa (2024) caracteriza esse momento como um 'ciclo mosaico': eclodiram demandas heterogêneas e repertórios distintos — do autonomismo de esquerda ao nacionalismo conservador nascente — sob o guarda-chuva de uma insatisfação difusa com o sistema político.</w:t>
      </w:r>
    </w:p>
    <w:p>
      <w:pPr>
        <w:spacing w:after="200" w:line="360"/>
        <w:jc w:val="both"/>
      </w:pPr>
      <w:r>
        <w:rPr>
          <w:rFonts w:ascii="Times New Roman" w:cs="Times New Roman" w:eastAsia="Times New Roman" w:hAnsi="Times New Roman"/>
          <w:sz w:val="24"/>
          <w:szCs w:val="24"/>
        </w:rPr>
        <w:t xml:space="preserve">A EOP de Junho de 2013 era, paradoxalmente, uma EOP de excesso e não de escassez. O contexto dos governos petistas havia ampliado os canais de participação institucional e incorporado movimentos sociais a arenas de formulação de políticas públicas, o que Avritzer (2016, apud COSTA, 2024) denomina como o ciclo de participação social pós-1988. Mas esse mesmo processo produziu um efeito colateral decisivo: ao incorporar uma parte dos movimentos sociais às estruturas do Estado, deixou de fora um conjunto crescente de atores — coletivos autonomistas, movimentos identitários, redes cívicas de classe média — que não se identificavam com os canais institucionais disponíveis e cujas demandas não encontravam resposta no modelo participativo dominante.</w:t>
      </w:r>
    </w:p>
    <w:p>
      <w:pPr>
        <w:spacing w:after="200" w:line="360"/>
        <w:jc w:val="both"/>
      </w:pPr>
      <w:r>
        <w:rPr>
          <w:rFonts w:ascii="Times New Roman" w:cs="Times New Roman" w:eastAsia="Times New Roman" w:hAnsi="Times New Roman"/>
          <w:sz w:val="24"/>
          <w:szCs w:val="24"/>
        </w:rPr>
        <w:t xml:space="preserve">Os coletivos autonomistas — o MPL como referência central, mas também inúmeros outros grupos que emergiram nas periferias das cidades e nas redes digitais — operavam segundo uma lógica descentralizada, horizontal e antihierárquica que deliberadamente se recusava a se identificar com partidos, sindicatos ou movimentos sociais tradicionais. Essa gramática organizativa, que Costa (2024) analisa a partir de Alonso (2023) como expressão de 'redes cívicas' autonomistas construídas ao longo da década anterior, produzia ao mesmo tempo alta capacidade de mobilização viral e baixa capacidade de construção de um frame unificador.</w:t>
      </w:r>
    </w:p>
    <w:p>
      <w:pPr>
        <w:spacing w:after="200" w:line="360"/>
        <w:jc w:val="both"/>
      </w:pPr>
      <w:r>
        <w:rPr>
          <w:rFonts w:ascii="Times New Roman" w:cs="Times New Roman" w:eastAsia="Times New Roman" w:hAnsi="Times New Roman"/>
          <w:sz w:val="24"/>
          <w:szCs w:val="24"/>
        </w:rPr>
        <w:t xml:space="preserve">O evento-gatilho — o aumento de R$ 0,20 nas tarifas de transporte e, sobretudo, a repressão policial à manifestação do dia 13 de junho em São Paulo — operou a abertura simultânea de EOP e DOS com uma eficácia que nenhum ator havia planejado. Do ponto de vista da EOP, a violência policial tornou politicamente custosa a repressão e gerou solidariedade ampliada com os manifestantes. Do ponto de vista da DOS, a inversão narrativa foi igualmente dramática: o enquadramento que a grande imprensa havia produzido — chamando os manifestantes de 'vândalos' e 'baderneiros' — perdeu rapidamente legitimidade diante da cobertura alternativa produzida pelos coletivos midiativistas como a Mídia Ninja, que transmitia ao vivo os excessos policiais e desautorizava a narrativa dominante (COSTA, 2024).</w:t>
      </w:r>
    </w:p>
    <w:p>
      <w:pPr>
        <w:spacing w:after="200" w:line="360"/>
        <w:jc w:val="both"/>
      </w:pPr>
      <w:r>
        <w:rPr>
          <w:rFonts w:ascii="Times New Roman" w:cs="Times New Roman" w:eastAsia="Times New Roman" w:hAnsi="Times New Roman"/>
          <w:sz w:val="24"/>
          <w:szCs w:val="24"/>
        </w:rPr>
        <w:t xml:space="preserve">A fragmentação da DOS em Junho de 2013 é o ponto mais analiticamente relevante para os propósitos deste artigo. Ao contrário do Fora Collor, onde um master frame convergente organizava a ação coletiva, em 2013 a DOS aberta acomodou simultaneamente frames incompatíveis: o frame dos direitos urbanos (MPL), o frame da corrupção como problema sistêmico, o frame do aprofundamento democrático e o frame moralizador anticorrupção. Costa (2024) documenta, com dados de Singer (2013), que na manifestação do dia 20 de junho a composição ideológica era: centro (31%), esquerda e centro-esquerda (36%), direita e centro-direita (21%) — evidenciando empiricamente a heterogeneidade que tornava impossível a hegemonia de qualquer frame específico.</w:t>
      </w:r>
    </w:p>
    <w:p>
      <w:pPr>
        <w:pStyle w:val="Heading2"/>
        <w:spacing w:after="160" w:before="320"/>
      </w:pPr>
      <w:r>
        <w:rPr>
          <w:rFonts w:ascii="Times New Roman" w:cs="Times New Roman" w:eastAsia="Times New Roman" w:hAnsi="Times New Roman"/>
          <w:b/>
          <w:bCs/>
          <w:sz w:val="26"/>
          <w:szCs w:val="26"/>
        </w:rPr>
        <w:t xml:space="preserve">4.3 O ciclo do impeachment (2015–2016): EOP reconstruída, DOS hegemonizada</w:t>
      </w:r>
    </w:p>
    <w:p>
      <w:pPr>
        <w:spacing w:after="200" w:line="360"/>
        <w:jc w:val="both"/>
      </w:pPr>
      <w:r>
        <w:rPr>
          <w:rFonts w:ascii="Times New Roman" w:cs="Times New Roman" w:eastAsia="Times New Roman" w:hAnsi="Times New Roman"/>
          <w:sz w:val="24"/>
          <w:szCs w:val="24"/>
        </w:rPr>
        <w:t xml:space="preserve">O ciclo do impeachment de Dilma Rousseff representa um caso analiticamente distinto dos anteriores: nele, a EOP e a DOS foram deliberadamente construídas ao longo de um período relativamente longo — as eleições de 2014 funcionaram como um ciclo intermediário de reconstrução das oportunidades — antes de se converterem em mobilização de massa. Costa (2024) identifica esse ciclo como 'patriota' (na tipologia de Alonso, 2017), caracterizado pela centralidade do antipetismo e pelo uso estratégico da corrupção como master frame unificador.</w:t>
      </w:r>
    </w:p>
    <w:p>
      <w:pPr>
        <w:spacing w:after="200" w:line="360"/>
        <w:jc w:val="both"/>
      </w:pPr>
      <w:r>
        <w:rPr>
          <w:rFonts w:ascii="Times New Roman" w:cs="Times New Roman" w:eastAsia="Times New Roman" w:hAnsi="Times New Roman"/>
          <w:sz w:val="24"/>
          <w:szCs w:val="24"/>
        </w:rPr>
        <w:t xml:space="preserve">O MBL (Movimento Brasil Livre), o Vem Pra Rua e o Revoltados Online operavam a partir de redes de think tanks de orientação liberal-conservadora que forneciam quadros interpretativos, financiamento e conexões com o empresariado nacional desembarcado do governo Dilma. A retórica moralizadora em torno da anticorrupção funcionava como master frame que unia atores com agendas distintas: havia desde liberais que demandavam redução do Estado até conservadores religiosos que mobilizavam símbolos nacionais e familiares.</w:t>
      </w:r>
    </w:p>
    <w:p>
      <w:pPr>
        <w:spacing w:after="200" w:line="360"/>
        <w:jc w:val="both"/>
      </w:pPr>
      <w:r>
        <w:rPr>
          <w:rFonts w:ascii="Times New Roman" w:cs="Times New Roman" w:eastAsia="Times New Roman" w:hAnsi="Times New Roman"/>
          <w:sz w:val="24"/>
          <w:szCs w:val="24"/>
        </w:rPr>
        <w:t xml:space="preserve">A DOS do ciclo do impeachment era muito mais hegemonizada do que a de Junho de 2013. O trabalho discursivo acumulado pela grande mídia ao longo de anos — associando sistematicamente o PT à corrupção, construindo figuras como o juiz Sérgio Moro como 'herói da República' e operando enquadramentos como 'petrolão' e 'propinoduto' (COSTA, 2024) — havia produzido uma estrutura discursiva na qual o master frame da corrupção tinha altíssima ressonância junto às classes médias. Como identifica Costa (2024), a revista Veja operava um master frame que 'atribuía ao PT a responsabilidade pela corrupção e promovia o impeachment como alternativa', o que possibilitou a recuperação e fortalecimento da identidade da direita brasileira.</w:t>
      </w:r>
    </w:p>
    <w:p>
      <w:pPr>
        <w:spacing w:after="200" w:line="360"/>
        <w:jc w:val="both"/>
      </w:pPr>
      <w:r>
        <w:rPr>
          <w:rFonts w:ascii="Times New Roman" w:cs="Times New Roman" w:eastAsia="Times New Roman" w:hAnsi="Times New Roman"/>
          <w:sz w:val="24"/>
          <w:szCs w:val="24"/>
        </w:rPr>
        <w:t xml:space="preserve">Essa DOS hegemonizada produziu assimetria discursiva entre os campos em disputa. Os movimentos pró-impeachment operavam em terreno discursivo favorável: seus enquadramentos eram amplificados e legitimados pela mídia hegemônica. Os movimentos contrários ao impeachment operavam em condições de DOS desfavorável: seus frames tinham menor ressonância e eram sistematicamente desqualificados. O Quadro 8 elaborado por Costa (2024) captura essa assimetria ao registrar que a 'cobertura intensa, com narrativas fortemente polarizadas e tendenciadas' caracterizou a participação da mídia no ciclo Fora Dilma.</w:t>
      </w:r>
    </w:p>
    <w:p>
      <w:pPr>
        <w:pStyle w:val="Heading2"/>
        <w:spacing w:after="160" w:before="320"/>
      </w:pPr>
      <w:r>
        <w:rPr>
          <w:rFonts w:ascii="Times New Roman" w:cs="Times New Roman" w:eastAsia="Times New Roman" w:hAnsi="Times New Roman"/>
          <w:b/>
          <w:bCs/>
          <w:sz w:val="26"/>
          <w:szCs w:val="26"/>
        </w:rPr>
        <w:t xml:space="preserve">4.4 Síntese comparativa</w:t>
      </w:r>
    </w:p>
    <w:p>
      <w:pPr>
        <w:spacing w:after="200" w:line="360"/>
        <w:jc w:val="both"/>
      </w:pPr>
      <w:r>
        <w:rPr>
          <w:rFonts w:ascii="Times New Roman" w:cs="Times New Roman" w:eastAsia="Times New Roman" w:hAnsi="Times New Roman"/>
          <w:sz w:val="24"/>
          <w:szCs w:val="24"/>
        </w:rPr>
        <w:t xml:space="preserve">O quadro a seguir sintetiza as principais dimensões analíticas dos três ciclos estudados: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80"/>
            </w:tcMar>
          </w:tcPr>
          <w:p>
            <w:pPr>
              <w:jc w:val="center"/>
            </w:pPr>
            <w:r>
              <w:rPr>
                <w:rFonts w:ascii="Times New Roman" w:cs="Times New Roman" w:eastAsia="Times New Roman" w:hAnsi="Times New Roman"/>
                <w:b/>
                <w:bCs/>
                <w:color w:val="FFFFFF"/>
                <w:sz w:val="20"/>
                <w:szCs w:val="20"/>
              </w:rPr>
              <w:t xml:space="preserve">Categoria</w:t>
            </w:r>
          </w:p>
        </w:tc>
        <w:tc>
          <w:tcPr>
            <w:tcW w:type="dxa" w:w="2275"/>
            <w:tcBorders>
              <w:top w:val="single" w:color="CCCCCC" w:sz="1"/>
              <w:left w:val="single" w:color="CCCCCC" w:sz="1"/>
              <w:bottom w:val="single" w:color="CCCCCC" w:sz="1"/>
              <w:right w:val="single" w:color="CCCCCC" w:sz="1"/>
            </w:tcBorders>
            <w:shd w:fill="085041" w:val="clear"/>
            <w:tcMar>
              <w:top w:type="dxa" w:w="80"/>
              <w:left w:type="dxa" w:w="80"/>
              <w:bottom w:type="dxa" w:w="80"/>
              <w:right w:type="dxa" w:w="80"/>
            </w:tcMar>
          </w:tcPr>
          <w:p>
            <w:pPr>
              <w:jc w:val="center"/>
            </w:pPr>
            <w:r>
              <w:rPr>
                <w:rFonts w:ascii="Times New Roman" w:cs="Times New Roman" w:eastAsia="Times New Roman" w:hAnsi="Times New Roman"/>
                <w:b/>
                <w:bCs/>
                <w:color w:val="FFFFFF"/>
                <w:sz w:val="20"/>
                <w:szCs w:val="20"/>
              </w:rPr>
              <w:t xml:space="preserve">Fora Collor (1992)</w:t>
            </w:r>
          </w:p>
        </w:tc>
        <w:tc>
          <w:tcPr>
            <w:tcW w:type="dxa" w:w="2275"/>
            <w:tcBorders>
              <w:top w:val="single" w:color="CCCCCC" w:sz="1"/>
              <w:left w:val="single" w:color="CCCCCC" w:sz="1"/>
              <w:bottom w:val="single" w:color="CCCCCC" w:sz="1"/>
              <w:right w:val="single" w:color="CCCCCC" w:sz="1"/>
            </w:tcBorders>
            <w:shd w:fill="3C3489" w:val="clear"/>
            <w:tcMar>
              <w:top w:type="dxa" w:w="80"/>
              <w:left w:type="dxa" w:w="80"/>
              <w:bottom w:type="dxa" w:w="80"/>
              <w:right w:type="dxa" w:w="80"/>
            </w:tcMar>
          </w:tcPr>
          <w:p>
            <w:pPr>
              <w:jc w:val="center"/>
            </w:pPr>
            <w:r>
              <w:rPr>
                <w:rFonts w:ascii="Times New Roman" w:cs="Times New Roman" w:eastAsia="Times New Roman" w:hAnsi="Times New Roman"/>
                <w:b/>
                <w:bCs/>
                <w:color w:val="FFFFFF"/>
                <w:sz w:val="20"/>
                <w:szCs w:val="20"/>
              </w:rPr>
              <w:t xml:space="preserve">Junho de 2013</w:t>
            </w:r>
          </w:p>
        </w:tc>
        <w:tc>
          <w:tcPr>
            <w:tcW w:type="dxa" w:w="2276"/>
            <w:tcBorders>
              <w:top w:val="single" w:color="CCCCCC" w:sz="1"/>
              <w:left w:val="single" w:color="CCCCCC" w:sz="1"/>
              <w:bottom w:val="single" w:color="CCCCCC" w:sz="1"/>
              <w:right w:val="single" w:color="CCCCCC" w:sz="1"/>
            </w:tcBorders>
            <w:shd w:fill="712B13" w:val="clear"/>
            <w:tcMar>
              <w:top w:type="dxa" w:w="80"/>
              <w:left w:type="dxa" w:w="80"/>
              <w:bottom w:type="dxa" w:w="80"/>
              <w:right w:type="dxa" w:w="80"/>
            </w:tcMar>
          </w:tcPr>
          <w:p>
            <w:pPr>
              <w:jc w:val="center"/>
            </w:pPr>
            <w:r>
              <w:rPr>
                <w:rFonts w:ascii="Times New Roman" w:cs="Times New Roman" w:eastAsia="Times New Roman" w:hAnsi="Times New Roman"/>
                <w:b/>
                <w:bCs/>
                <w:color w:val="FFFFFF"/>
                <w:sz w:val="20"/>
                <w:szCs w:val="20"/>
              </w:rPr>
              <w:t xml:space="preserve">Fora Dilma (2015)</w:t>
            </w:r>
          </w:p>
        </w:tc>
      </w:tr>
      <w:tr>
        <w:tc>
          <w:tcPr>
            <w:tcW w:type="dxa" w:w="2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Abertura democrática</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Moderada — transição recente, sistema instável</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Alta — democracia consolidada, mas canais saturados</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Alta — com polarização crescente e veto judicial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Configuração EOP</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Vulnerabilidade presidencial + fissuras na base parlamentar</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EOP paradoxalmente aberta e fechada simultaneamente</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Construída deliberadamente ao longo de 2014</w:t>
            </w:r>
          </w:p>
        </w:tc>
      </w:tr>
      <w:tr>
        <w:tc>
          <w:tcPr>
            <w:tcW w:type="dxa" w:w="2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Configuração DOS</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Convergente — frame da ética amplamente ressonante</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Fragmentada — múltiplos frames incompatíveis coexistem</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Hegemonizada — assimetria discursiva sistemática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Padrão EOP+DOS</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Convergência — reforço mútuo</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Abertura caótica — divergência interna</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Construção deliberada + assimetria discursiva</w:t>
            </w:r>
          </w:p>
        </w:tc>
      </w:tr>
      <w:tr>
        <w:tc>
          <w:tcPr>
            <w:tcW w:type="dxa" w:w="2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Estrutura de mobilização</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Hierárquica, formal — MEP, CUT, PT, movimento estudantil</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Descentralizada — coletivos autonomistas, redes digitais</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Híbrida — MBL, think tanks, mídia televisiva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80"/>
            </w:tcMar>
          </w:tcPr>
          <w:p>
            <w:r>
              <w:rPr>
                <w:rFonts w:ascii="Times New Roman" w:cs="Times New Roman" w:eastAsia="Times New Roman" w:hAnsi="Times New Roman"/>
                <w:b/>
                <w:bCs/>
                <w:color w:val="26215C"/>
                <w:sz w:val="20"/>
                <w:szCs w:val="20"/>
              </w:rPr>
              <w:t xml:space="preserve">Resultado</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Impeachment — mudança institucional</w:t>
            </w:r>
          </w:p>
        </w:tc>
        <w:tc>
          <w:tcPr>
            <w:tcW w:type="dxa" w:w="227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Inacabado — sem consequências políticas visíveis</w:t>
            </w:r>
          </w:p>
        </w:tc>
        <w:tc>
          <w:tcPr>
            <w:tcW w:type="dxa" w:w="227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line="280"/>
              <w:jc w:val="both"/>
            </w:pPr>
            <w:r>
              <w:rPr>
                <w:rFonts w:ascii="Times New Roman" w:cs="Times New Roman" w:eastAsia="Times New Roman" w:hAnsi="Times New Roman"/>
                <w:sz w:val="20"/>
                <w:szCs w:val="20"/>
              </w:rPr>
              <w:t xml:space="preserve">Impeachment — mudança institucional por via conservadora</w:t>
            </w:r>
          </w:p>
        </w:tc>
      </w:tr>
    </w:tbl>
    <w:p>
      <w:pPr>
        <w:spacing w:after="120"/>
      </w:pPr>
      <w:r>
        <w:t xml:space="preserve"/>
      </w:r>
    </w:p>
    <w:p>
      <w:pPr>
        <w:spacing w:after="200" w:line="360"/>
        <w:jc w:val="both"/>
        <w:rPr>
          <w:i/>
          <w:iCs/>
          <w:sz w:val="20"/>
          <w:szCs w:val="20"/>
        </w:rPr>
      </w:pPr>
      <w:r>
        <w:rPr>
          <w:rFonts w:ascii="Times New Roman" w:cs="Times New Roman" w:eastAsia="Times New Roman" w:hAnsi="Times New Roman"/>
          <w:i/>
          <w:iCs/>
          <w:sz w:val="20"/>
          <w:szCs w:val="20"/>
        </w:rPr>
        <w:t xml:space="preserve">Nota: Elaboração própria a partir de Costa (2024).</w:t>
      </w:r>
    </w:p>
    <w:p>
      <w:pPr>
        <w:spacing w:after="120"/>
      </w:pPr>
      <w:r>
        <w:t xml:space="preserve"/>
      </w:r>
    </w:p>
    <w:p>
      <w:pPr>
        <w:spacing w:after="200" w:line="360"/>
        <w:jc w:val="both"/>
      </w:pPr>
      <w:r>
        <w:rPr>
          <w:rFonts w:ascii="Times New Roman" w:cs="Times New Roman" w:eastAsia="Times New Roman" w:hAnsi="Times New Roman"/>
          <w:sz w:val="24"/>
          <w:szCs w:val="24"/>
        </w:rPr>
        <w:t xml:space="preserve">A análise comparativa permite identificar quatro padrões de articulação entre EOP, DOS e análise de conjuntura. O primeiro, de convergência EOP+DOS, caracteriza o Fora Collor: quando oportunidade política e oportunidade discursiva se abrem em direção convergente, as condições para mobilizações multisetoriais de grande escala são maximizadas. O segundo, de abertura caótica EOP+DOS, caracteriza Junho de 2013: quando as duas estruturas se abrem simultaneamente mas de forma divergente — acomodando atores com enquadramentos incompatíveis —, o ciclo produz alta mobilização sem resultado institucional definido. O terceiro, de construção deliberada de EOP+DOS, caracteriza o ciclo do impeachment: quando atores estratégicos constroem antecipadamente as condições discursivas e políticas favoráveis à mobilização, o ciclo tende a produzir resultados mais definidos. O quarto padrão, de assimetria DOS, aparece de forma mais nítida no ciclo do impeachment: quando a DOS favorece sistematicamente um dos campos em disputa, a mobilização multisetorial produz polarização com impacto desproporcional na percepção de legitimidade dos atores.</w:t>
      </w:r>
    </w:p>
    <w:p>
      <w:pPr>
        <w:pStyle w:val="Heading1"/>
        <w:spacing w:after="200" w:before="400"/>
      </w:pPr>
      <w:r>
        <w:rPr>
          <w:rFonts w:ascii="Times New Roman" w:cs="Times New Roman" w:eastAsia="Times New Roman" w:hAnsi="Times New Roman"/>
          <w:b/>
          <w:bCs/>
          <w:sz w:val="28"/>
          <w:szCs w:val="28"/>
        </w:rPr>
        <w:t xml:space="preserve">5. Discussão: implicações metodológicas para a análise de conjuntura no Brasil</w:t>
      </w:r>
    </w:p>
    <w:p>
      <w:pPr>
        <w:spacing w:after="200" w:line="360"/>
        <w:jc w:val="both"/>
      </w:pPr>
      <w:r>
        <w:rPr>
          <w:rFonts w:ascii="Times New Roman" w:cs="Times New Roman" w:eastAsia="Times New Roman" w:hAnsi="Times New Roman"/>
          <w:sz w:val="24"/>
          <w:szCs w:val="24"/>
        </w:rPr>
        <w:t xml:space="preserve">A análise comparativa dos três ciclos permite retornar às questões colocadas na introdução com um conjunto mais preciso de proposições sobre como a integração entre EOP, DOS e análise de conjuntura pode enriquecer a compreensão dos fenômenos de crise que envolvem os movimentos sociais e as mobilizações multisetoriais no Brasil.</w:t>
      </w:r>
    </w:p>
    <w:p>
      <w:pPr>
        <w:spacing w:after="200" w:line="360"/>
        <w:jc w:val="both"/>
      </w:pPr>
      <w:r>
        <w:rPr>
          <w:rFonts w:ascii="Times New Roman" w:cs="Times New Roman" w:eastAsia="Times New Roman" w:hAnsi="Times New Roman"/>
          <w:sz w:val="24"/>
          <w:szCs w:val="24"/>
        </w:rPr>
        <w:t xml:space="preserve">A primeira implicação metodológica diz respeito à distinção analítica entre condições estruturais e condições discursivas de uma conjuntura. A tradição brasileira de análise de conjuntura, em suas formulações clássicas — de Souza (1986) a Santiago e De Moraes (2008) —, opera predominantemente com categorias de análise de atores, forças e correlação de forças que remetem às condições político-institucionais da ação coletiva. Os ciclos de 2013 e 2015-2016 demonstram que as condições discursivas — quem tem acesso à esfera pública, quais frames são amplificados e quais são silenciados, qual é o papel dos meios de comunicação na legitimação ou deslegitimação dos movimentos — são constitutivas dos resultados políticos, e não meros elementos auxiliares da análise.</w:t>
      </w:r>
    </w:p>
    <w:p>
      <w:pPr>
        <w:spacing w:after="200" w:line="360"/>
        <w:jc w:val="both"/>
      </w:pPr>
      <w:r>
        <w:rPr>
          <w:rFonts w:ascii="Times New Roman" w:cs="Times New Roman" w:eastAsia="Times New Roman" w:hAnsi="Times New Roman"/>
          <w:sz w:val="24"/>
          <w:szCs w:val="24"/>
        </w:rPr>
        <w:t xml:space="preserve">A segunda implicação diz respeito à temporalidade da conjuntura. Os quatro padrões identificados na análise comparativa sugerem que a abertura de uma conjuntura crítica não é um evento pontual, mas um processo que se desenrola ao longo do tempo e que pode ser deliberadamente produzido pelos atores com maior capacidade estratégica. O ciclo do impeachment é o exemplo mais claro: a DOS favorável ao campo conservador não emergiu espontaneamente em 2015, mas foi construída ao longo de anos de trabalho discursivo por parte de think tanks, meios de comunicação e lideranças políticas de oposição. Essa observação tem implicação direta para a análise de conjuntura: a identificação de uma 'janela de oportunidade' exige não apenas a leitura do presente imediato, mas a reconstrução do processo pelo qual as condições de EOP e DOS foram se configurando ao longo do tempo.</w:t>
      </w:r>
    </w:p>
    <w:p>
      <w:pPr>
        <w:spacing w:after="200" w:line="360"/>
        <w:jc w:val="both"/>
      </w:pPr>
      <w:r>
        <w:rPr>
          <w:rFonts w:ascii="Times New Roman" w:cs="Times New Roman" w:eastAsia="Times New Roman" w:hAnsi="Times New Roman"/>
          <w:sz w:val="24"/>
          <w:szCs w:val="24"/>
        </w:rPr>
        <w:t xml:space="preserve">A terceira implicação é a mais relevante do ponto de vista prático. Os três ciclos demonstram que a capacidade de leitura conjuntural dos atores — sua habilidade de identificar as configurações de EOP e DOS vigentes e de orientar suas estratégias a partir dessa leitura — tem impacto direto sobre os resultados das mobilizações. O Fora Collor combinou uma leitura conjuntural relativamente precisa por parte dos movimentos organizados com uma DOS favorável. Junho de 2013 produziu leituras conjunturais inadequadas por parte de praticamente todos os atores. O ciclo do impeachment revelou uma assimetria de capacidade analítica entre os campos: a direita organizada produziu leituras conjunturais mais precisas e estratégias mais eficazes do que a esquerda, que reagiu de forma defensiva e fragmentada.</w:t>
      </w:r>
    </w:p>
    <w:p>
      <w:pPr>
        <w:spacing w:after="200" w:line="360"/>
        <w:jc w:val="both"/>
      </w:pPr>
      <w:r>
        <w:rPr>
          <w:rFonts w:ascii="Times New Roman" w:cs="Times New Roman" w:eastAsia="Times New Roman" w:hAnsi="Times New Roman"/>
          <w:sz w:val="24"/>
          <w:szCs w:val="24"/>
        </w:rPr>
        <w:t xml:space="preserve">A quarta implicação é de ordem teórica. Os achados do estudo de caso sugerem que o conceito de 'conjuntura crítica' — tanto na versão de della Porta (2018, 2022) quanto na reformulação de Mariano, Ferreira e Neves (2023) — e o conceito de 'conjuntura fluída' de Dobry ganham substância analítica adicional quando articulados ao triângulo EOP–DOS–Análise de Conjuntura. Uma conjuntura crítica não é apenas um momento de 'redução dos constrangimentos institucionais' ou de 'incerteza e reconfiguração do poder': é um momento em que EOP e DOS se reconfiguram simultaneamente, de formas que podem ser convergentes ou divergentes, e em que a capacidade de leitura dos atores torna-se decisiva para o resultado. É nessa articulação tripla que reside a contribuição teórica central do artigo: não a substituição de um quadro analítico pelo outro, mas a proposta de um instrumento integrado que torna a análise de conjuntura metodologicamente mais precisa e a Teoria do Processo Político historicamente mais situada.</w:t>
      </w:r>
    </w:p>
    <w:p>
      <w:pPr>
        <w:pStyle w:val="Heading1"/>
        <w:spacing w:after="200" w:before="400"/>
      </w:pPr>
      <w:r>
        <w:rPr>
          <w:rFonts w:ascii="Times New Roman" w:cs="Times New Roman" w:eastAsia="Times New Roman" w:hAnsi="Times New Roman"/>
          <w:b/>
          <w:bCs/>
          <w:sz w:val="28"/>
          <w:szCs w:val="28"/>
        </w:rPr>
        <w:t xml:space="preserve">6. Considerações Finais</w:t>
      </w:r>
    </w:p>
    <w:p>
      <w:pPr>
        <w:spacing w:after="200" w:line="360"/>
        <w:jc w:val="both"/>
      </w:pPr>
      <w:r>
        <w:rPr>
          <w:rFonts w:ascii="Times New Roman" w:cs="Times New Roman" w:eastAsia="Times New Roman" w:hAnsi="Times New Roman"/>
          <w:sz w:val="24"/>
          <w:szCs w:val="24"/>
        </w:rPr>
        <w:t xml:space="preserve">Este artigo partiu da constatação de que a tradição brasileira de análise de conjuntura e a Teoria do Processo Político, apesar de compartilharem um objeto de interesse comum — a compreensão dos momentos em que a ação coletiva emerge, se expande e reflui — têm operado em paralelo, sem estabelecer diálogo sistemático. A proposta de integração desenvolvida ao longo do texto — o triângulo EOP–DOS–Análise de Conjuntura — não pretende ser uma síntese definitiva, mas um instrumento heurístico que permite aos pesquisadores e aos próprios atores políticos ler com maior precisão os momentos de crise em que as possibilidades de ação coletiva se abrem e se fecham.</w:t>
      </w:r>
    </w:p>
    <w:p>
      <w:pPr>
        <w:spacing w:after="200" w:line="360"/>
        <w:jc w:val="both"/>
      </w:pPr>
      <w:r>
        <w:rPr>
          <w:rFonts w:ascii="Times New Roman" w:cs="Times New Roman" w:eastAsia="Times New Roman" w:hAnsi="Times New Roman"/>
          <w:sz w:val="24"/>
          <w:szCs w:val="24"/>
        </w:rPr>
        <w:t xml:space="preserve">Os três ciclos de protesto analisados — Fora Collor, Junho de 2013 e o ciclo do impeachment de Dilma Rousseff — demonstram que a análise de conjuntura ganha substância explicativa quando complementada pela identificação sistemática das configurações de EOP e DOS vigentes em cada momento. A distinção entre os quatro padrões de articulação — convergência, abertura caótica, construção deliberada e assimetria discursiva — oferece um vocabulário analítico que pode orientar tanto a pesquisa acadêmica quanto a reflexão estratégica dos atores que recorrem à análise de conjuntura como instrumento de orientação para a práxis.</w:t>
      </w:r>
    </w:p>
    <w:p>
      <w:pPr>
        <w:spacing w:after="200" w:line="360"/>
        <w:jc w:val="both"/>
      </w:pPr>
      <w:r>
        <w:rPr>
          <w:rFonts w:ascii="Times New Roman" w:cs="Times New Roman" w:eastAsia="Times New Roman" w:hAnsi="Times New Roman"/>
          <w:sz w:val="24"/>
          <w:szCs w:val="24"/>
        </w:rPr>
        <w:t xml:space="preserve">O Brasil, com sua tradição intelectual de análise de conjuntura e sua experiência acumulada de ciclos de protesto multisetoriais em contexto democrático, oferece um campo privilegiado para o desenvolvimento e teste desse instrumental integrado. O diálogo entre as duas tradições não é apenas teoricamente produtivo — é politicamente necessário.</w:t>
      </w:r>
    </w:p>
    <w:p>
      <w:pPr>
        <w:spacing w:after="200" w:line="360"/>
        <w:jc w:val="both"/>
      </w:pPr>
      <w:r>
        <w:rPr>
          <w:rFonts w:ascii="Times New Roman" w:cs="Times New Roman" w:eastAsia="Times New Roman" w:hAnsi="Times New Roman"/>
          <w:sz w:val="24"/>
          <w:szCs w:val="24"/>
        </w:rPr>
        <w:t xml:space="preserve">Como agenda de pesquisa futura, o artigo sugere três direções. Primeira, o desenvolvimento de estudos empíricos que apliquem o triângulo analítico a outros ciclos contenciosos brasileiros — especialmente o período pós-2018, marcado pelo bolsonarismo e pela crise democrática — e a contextos de outros países latino-americanos com tradições democráticas similares. Segunda, o aprofundamento da dimensão metodológica, especialmente a operacionalização dos conceitos de EOP e DOS em pesquisas empíricas que combinem análise de conteúdo midiático, entrevistas com atores e análise de documentos organizacionais. Terceira, a exploração das implicações do modelo para a relação entre movimentos sociais e eleições — dimensão que McAdam e Tarrow (2011) identificam como crucialmente subteorizada e que o caso brasileiro, com seus ciclos eleitorais profundamente entrelaçados com os ciclos de protesto, torna especialmente relevante.</w:t>
      </w:r>
    </w:p>
    <w:p>
      <w:pPr>
        <w:pStyle w:val="Heading1"/>
        <w:spacing w:after="200" w:before="400"/>
      </w:pPr>
      <w:r>
        <w:rPr>
          <w:rFonts w:ascii="Times New Roman" w:cs="Times New Roman" w:eastAsia="Times New Roman" w:hAnsi="Times New Roman"/>
          <w:b/>
          <w:bCs/>
          <w:sz w:val="28"/>
          <w:szCs w:val="28"/>
        </w:rPr>
        <w:t xml:space="preserve">Referências</w:t>
      </w:r>
    </w:p>
    <w:p>
      <w:pPr>
        <w:spacing w:after="160" w:line="320"/>
        <w:ind w:left="720" w:hanging="720"/>
        <w:jc w:val="both"/>
      </w:pPr>
      <w:r>
        <w:rPr>
          <w:rFonts w:ascii="Times New Roman" w:cs="Times New Roman" w:eastAsia="Times New Roman" w:hAnsi="Times New Roman"/>
          <w:sz w:val="22"/>
          <w:szCs w:val="22"/>
        </w:rPr>
        <w:t xml:space="preserve">ALCÁZAR, A. A.; SÁNCHEZ, G. M. DE LA CALLE A LA MESA. Acciones de protesta y oportunidades políticas en el gobierno de Luis Guillermo Solís (2014-2018). Revista de Ciencias Sociales, no. 166, p. 37, 2020.</w:t>
      </w:r>
    </w:p>
    <w:p>
      <w:pPr>
        <w:spacing w:after="160" w:line="320"/>
        <w:ind w:left="720" w:hanging="720"/>
        <w:jc w:val="both"/>
      </w:pPr>
      <w:r>
        <w:rPr>
          <w:rFonts w:ascii="Times New Roman" w:cs="Times New Roman" w:eastAsia="Times New Roman" w:hAnsi="Times New Roman"/>
          <w:sz w:val="22"/>
          <w:szCs w:val="22"/>
        </w:rPr>
        <w:t xml:space="preserve">ALONSO, Angela. A política das ruas: protestos em São Paulo de Dilma a Temer. Novos Estudos CEBRAP, São Paulo, n. especial, p. 49-58, jun. 2017.</w:t>
      </w:r>
    </w:p>
    <w:p>
      <w:pPr>
        <w:spacing w:after="160" w:line="320"/>
        <w:ind w:left="720" w:hanging="720"/>
        <w:jc w:val="both"/>
      </w:pPr>
      <w:r>
        <w:rPr>
          <w:rFonts w:ascii="Times New Roman" w:cs="Times New Roman" w:eastAsia="Times New Roman" w:hAnsi="Times New Roman"/>
          <w:sz w:val="22"/>
          <w:szCs w:val="22"/>
        </w:rPr>
        <w:t xml:space="preserve">ALONSO, Angela. Treze: a política de rua de Lula a Dilma. São Paulo: Companhia das Letras, 2023.</w:t>
      </w:r>
    </w:p>
    <w:p>
      <w:pPr>
        <w:spacing w:after="160" w:line="320"/>
        <w:ind w:left="720" w:hanging="720"/>
        <w:jc w:val="both"/>
      </w:pPr>
      <w:r>
        <w:rPr>
          <w:rFonts w:ascii="Times New Roman" w:cs="Times New Roman" w:eastAsia="Times New Roman" w:hAnsi="Times New Roman"/>
          <w:sz w:val="22"/>
          <w:szCs w:val="22"/>
        </w:rPr>
        <w:t xml:space="preserve">ANCELOVICI, M. Esquisse d'une théorie de la contestation. Sociologie et sociétés, vol. 41, no. 2, p. 39, 2010.</w:t>
      </w:r>
    </w:p>
    <w:p>
      <w:pPr>
        <w:spacing w:after="160" w:line="320"/>
        <w:ind w:left="720" w:hanging="720"/>
        <w:jc w:val="both"/>
      </w:pPr>
      <w:r>
        <w:rPr>
          <w:rFonts w:ascii="Times New Roman" w:cs="Times New Roman" w:eastAsia="Times New Roman" w:hAnsi="Times New Roman"/>
          <w:sz w:val="22"/>
          <w:szCs w:val="22"/>
        </w:rPr>
        <w:t xml:space="preserve">AVALLE, G. Sindicatos y movimientos sociales. Una confluencia teórico metodológica desde Latinoamérica. Sociologia del trabajo, vol. 97, p. 71, 2020.</w:t>
      </w:r>
    </w:p>
    <w:p>
      <w:pPr>
        <w:spacing w:after="160" w:line="320"/>
        <w:ind w:left="720" w:hanging="720"/>
        <w:jc w:val="both"/>
      </w:pPr>
      <w:r>
        <w:rPr>
          <w:rFonts w:ascii="Times New Roman" w:cs="Times New Roman" w:eastAsia="Times New Roman" w:hAnsi="Times New Roman"/>
          <w:sz w:val="22"/>
          <w:szCs w:val="22"/>
        </w:rPr>
        <w:t xml:space="preserve">BECKER, C.; MOREIRA CESAR, C.; GALLAS, D.; WEBER, M. H. Manifestações e votos sobre impeachment de Dilma Rousseff na primeira página de jornais brasileiros. Revista Latinoamericana de Ciencias de la Comunicación, v. 13, n. 24, 2017.</w:t>
      </w:r>
    </w:p>
    <w:p>
      <w:pPr>
        <w:spacing w:after="160" w:line="320"/>
        <w:ind w:left="720" w:hanging="720"/>
        <w:jc w:val="both"/>
      </w:pPr>
      <w:r>
        <w:rPr>
          <w:rFonts w:ascii="Times New Roman" w:cs="Times New Roman" w:eastAsia="Times New Roman" w:hAnsi="Times New Roman"/>
          <w:sz w:val="22"/>
          <w:szCs w:val="22"/>
        </w:rPr>
        <w:t xml:space="preserve">BOUDREAU, V. Northern Theory, Southern Protest: Opportunity Structure Analysis in Cross-National Perspective. Mobilization An International Quarterly, vol. 1, no. 2, p. 175, 1996.</w:t>
      </w:r>
    </w:p>
    <w:p>
      <w:pPr>
        <w:spacing w:after="160" w:line="320"/>
        <w:ind w:left="720" w:hanging="720"/>
        <w:jc w:val="both"/>
      </w:pPr>
      <w:r>
        <w:rPr>
          <w:rFonts w:ascii="Times New Roman" w:cs="Times New Roman" w:eastAsia="Times New Roman" w:hAnsi="Times New Roman"/>
          <w:sz w:val="22"/>
          <w:szCs w:val="22"/>
        </w:rPr>
        <w:t xml:space="preserve">BRÖER, C.; DUYVENDAK, J. W. Discursive opportunities, feeling rules, and the rise of protests against aircraft noise. Mobilization, 14(3), p. 337-356, 2009.</w:t>
      </w:r>
    </w:p>
    <w:p>
      <w:pPr>
        <w:spacing w:after="160" w:line="320"/>
        <w:ind w:left="720" w:hanging="720"/>
        <w:jc w:val="both"/>
      </w:pPr>
      <w:r>
        <w:rPr>
          <w:rFonts w:ascii="Times New Roman" w:cs="Times New Roman" w:eastAsia="Times New Roman" w:hAnsi="Times New Roman"/>
          <w:sz w:val="22"/>
          <w:szCs w:val="22"/>
        </w:rPr>
        <w:t xml:space="preserve">CARLOS, E.; DOWBOR, M.; ALBUQUERQUE, M. do C. Movimentos sociais e seus efeitos nas políticas públicas: balanço do debate e proposições analíticas. Civitas - Revista de Ciências Sociais, vol. 17, no. 2, p. 360, 2017.</w:t>
      </w:r>
    </w:p>
    <w:p>
      <w:pPr>
        <w:spacing w:after="160" w:line="320"/>
        <w:ind w:left="720" w:hanging="720"/>
        <w:jc w:val="both"/>
      </w:pPr>
      <w:r>
        <w:rPr>
          <w:rFonts w:ascii="Times New Roman" w:cs="Times New Roman" w:eastAsia="Times New Roman" w:hAnsi="Times New Roman"/>
          <w:sz w:val="22"/>
          <w:szCs w:val="22"/>
        </w:rPr>
        <w:t xml:space="preserve">COSTA, Gustavo Paccelli. Estruturas de mobilização e oportunidades políticas: análise dos ciclos de protestos no Brasil contemporâneo. 2024. 233 f. Tese (Doutorado em Ciências Sociais) – PPGCS, Universidade Federal de Juiz de Fora, Juiz de Fora, 2024.</w:t>
      </w:r>
    </w:p>
    <w:p>
      <w:pPr>
        <w:spacing w:after="160" w:line="320"/>
        <w:ind w:left="720" w:hanging="720"/>
        <w:jc w:val="both"/>
      </w:pPr>
      <w:r>
        <w:rPr>
          <w:rFonts w:ascii="Times New Roman" w:cs="Times New Roman" w:eastAsia="Times New Roman" w:hAnsi="Times New Roman"/>
          <w:sz w:val="22"/>
          <w:szCs w:val="22"/>
        </w:rPr>
        <w:t xml:space="preserve">DELLA PORTA, Donatella. Protests as critical junctures: some reflections towards a momentous approach to social movements. Social Movement Studies, v. 19, p. 556-575, 2018.</w:t>
      </w:r>
    </w:p>
    <w:p>
      <w:pPr>
        <w:spacing w:after="160" w:line="320"/>
        <w:ind w:left="720" w:hanging="720"/>
        <w:jc w:val="both"/>
      </w:pPr>
      <w:r>
        <w:rPr>
          <w:rFonts w:ascii="Times New Roman" w:cs="Times New Roman" w:eastAsia="Times New Roman" w:hAnsi="Times New Roman"/>
          <w:sz w:val="22"/>
          <w:szCs w:val="22"/>
        </w:rPr>
        <w:t xml:space="preserve">DELLA PORTA, Donatella. Contentious Politics in Emergency Critical Junctures. Cambridge: Cambridge University Press, 2022.</w:t>
      </w:r>
    </w:p>
    <w:p>
      <w:pPr>
        <w:spacing w:after="160" w:line="320"/>
        <w:ind w:left="720" w:hanging="720"/>
        <w:jc w:val="both"/>
      </w:pPr>
      <w:r>
        <w:rPr>
          <w:rFonts w:ascii="Times New Roman" w:cs="Times New Roman" w:eastAsia="Times New Roman" w:hAnsi="Times New Roman"/>
          <w:sz w:val="22"/>
          <w:szCs w:val="22"/>
        </w:rPr>
        <w:t xml:space="preserve">FERREE, M. M. Resonance and radicalism: feminist framing in the abortion debates of the United States and Germany. American Journal of Sociology, v. 109, n. 2, p. 304-344, 2003.</w:t>
      </w:r>
    </w:p>
    <w:p>
      <w:pPr>
        <w:spacing w:after="160" w:line="320"/>
        <w:ind w:left="720" w:hanging="720"/>
        <w:jc w:val="both"/>
      </w:pPr>
      <w:r>
        <w:rPr>
          <w:rFonts w:ascii="Times New Roman" w:cs="Times New Roman" w:eastAsia="Times New Roman" w:hAnsi="Times New Roman"/>
          <w:sz w:val="22"/>
          <w:szCs w:val="22"/>
        </w:rPr>
        <w:t xml:space="preserve">FERREE, M. M.; GAMSON, W. A.; GERHARDS, J.; RUCHT, D. Shaping Abortion Discourse: Democracy and the Public Sphere in Germany and the United States. Cambridge: Cambridge University Press, 2002.</w:t>
      </w:r>
    </w:p>
    <w:p>
      <w:pPr>
        <w:spacing w:after="160" w:line="320"/>
        <w:ind w:left="720" w:hanging="720"/>
        <w:jc w:val="both"/>
      </w:pPr>
      <w:r>
        <w:rPr>
          <w:rFonts w:ascii="Times New Roman" w:cs="Times New Roman" w:eastAsia="Times New Roman" w:hAnsi="Times New Roman"/>
          <w:sz w:val="22"/>
          <w:szCs w:val="22"/>
        </w:rPr>
        <w:t xml:space="preserve">FERNANDES, A. V. A.; JÚNIOR, M. A. F. da S.; OLIVEIRA, P. H. C. do N. de. As Oportunidades Políticas e a Influência do Conselho Estadual de Recursos Hídricos na Gestão do Rio Grande do Norte (2011-2021). Mediações Revista de Ciências Sociais, 2022.</w:t>
      </w:r>
    </w:p>
    <w:p>
      <w:pPr>
        <w:spacing w:after="160" w:line="320"/>
        <w:ind w:left="720" w:hanging="720"/>
        <w:jc w:val="both"/>
      </w:pPr>
      <w:r>
        <w:rPr>
          <w:rFonts w:ascii="Times New Roman" w:cs="Times New Roman" w:eastAsia="Times New Roman" w:hAnsi="Times New Roman"/>
          <w:sz w:val="22"/>
          <w:szCs w:val="22"/>
        </w:rPr>
        <w:t xml:space="preserve">FERREIRA, M. A. S. #BHNASRUAS: Uma análise do confronto político contemporâneo a partir de páginas do Facebook. Revista Eletrônica de Ciência Política, vol. 7, no. 2, 2016.</w:t>
      </w:r>
    </w:p>
    <w:p>
      <w:pPr>
        <w:spacing w:after="160" w:line="320"/>
        <w:ind w:left="720" w:hanging="720"/>
        <w:jc w:val="both"/>
      </w:pPr>
      <w:r>
        <w:rPr>
          <w:rFonts w:ascii="Times New Roman" w:cs="Times New Roman" w:eastAsia="Times New Roman" w:hAnsi="Times New Roman"/>
          <w:sz w:val="22"/>
          <w:szCs w:val="22"/>
        </w:rPr>
        <w:t xml:space="preserve">GAMSON, W. A.; MEYER, D. S. Framing political opportunity. In: McADAM, D.; McCARTHY, J. D.; ZALD, M. N. (Ed.). Comparative Perspectives on Social Movements. Cambridge: Cambridge University Press, 1996. p. 275-290.</w:t>
      </w:r>
    </w:p>
    <w:p>
      <w:pPr>
        <w:spacing w:after="160" w:line="320"/>
        <w:ind w:left="720" w:hanging="720"/>
        <w:jc w:val="both"/>
      </w:pPr>
      <w:r>
        <w:rPr>
          <w:rFonts w:ascii="Times New Roman" w:cs="Times New Roman" w:eastAsia="Times New Roman" w:hAnsi="Times New Roman"/>
          <w:sz w:val="22"/>
          <w:szCs w:val="22"/>
        </w:rPr>
        <w:t xml:space="preserve">GOHN, Maria da Glória. Movimentos e mobilizações sociais no Brasil: de 2013 aos dias atuais. Saúde em Debate, v. 42, n. especial 2, out. 2018.</w:t>
      </w:r>
    </w:p>
    <w:p>
      <w:pPr>
        <w:spacing w:after="160" w:line="320"/>
        <w:ind w:left="720" w:hanging="720"/>
        <w:jc w:val="both"/>
      </w:pPr>
      <w:r>
        <w:rPr>
          <w:rFonts w:ascii="Times New Roman" w:cs="Times New Roman" w:eastAsia="Times New Roman" w:hAnsi="Times New Roman"/>
          <w:sz w:val="22"/>
          <w:szCs w:val="22"/>
        </w:rPr>
        <w:t xml:space="preserve">HAMDAN, T. D. Estratégias de ação sindical transnacional. Temáticas, vol. 32, no. 63, p. 48, 2024.</w:t>
      </w:r>
    </w:p>
    <w:p>
      <w:pPr>
        <w:spacing w:after="160" w:line="320"/>
        <w:ind w:left="720" w:hanging="720"/>
        <w:jc w:val="both"/>
      </w:pPr>
      <w:r>
        <w:rPr>
          <w:rFonts w:ascii="Times New Roman" w:cs="Times New Roman" w:eastAsia="Times New Roman" w:hAnsi="Times New Roman"/>
          <w:sz w:val="22"/>
          <w:szCs w:val="22"/>
        </w:rPr>
        <w:t xml:space="preserve">JATOBÁ, Daniel. Análise de conjuntura: o que é e como se faz? Juiz de Fora: [s. n.], 16 jun. 2025.</w:t>
      </w:r>
    </w:p>
    <w:p>
      <w:pPr>
        <w:spacing w:after="160" w:line="320"/>
        <w:ind w:left="720" w:hanging="720"/>
        <w:jc w:val="both"/>
      </w:pPr>
      <w:r>
        <w:rPr>
          <w:rFonts w:ascii="Times New Roman" w:cs="Times New Roman" w:eastAsia="Times New Roman" w:hAnsi="Times New Roman"/>
          <w:sz w:val="22"/>
          <w:szCs w:val="22"/>
        </w:rPr>
        <w:t xml:space="preserve">KOOPMANS, R.; OLZAK, S. Discursive opportunities and the evolution of right-wing violence in Germany. American Journal of Sociology, v. 110, n. 1, p. 198-230, 2004.</w:t>
      </w:r>
    </w:p>
    <w:p>
      <w:pPr>
        <w:spacing w:after="160" w:line="320"/>
        <w:ind w:left="720" w:hanging="720"/>
        <w:jc w:val="both"/>
      </w:pPr>
      <w:r>
        <w:rPr>
          <w:rFonts w:ascii="Times New Roman" w:cs="Times New Roman" w:eastAsia="Times New Roman" w:hAnsi="Times New Roman"/>
          <w:sz w:val="22"/>
          <w:szCs w:val="22"/>
        </w:rPr>
        <w:t xml:space="preserve">KOOPMANS, R.; STATHAM, P. Ethnic and civic conceptions of nationhood and the differential success of the extreme right in Germany and Italy. In: GIUGNI, M.; McADAM, D.; TILLY, C. (Ed.). How Social Movements Matter. Minneapolis: University of Minnesota Press, 1999. p. 225-251.</w:t>
      </w:r>
    </w:p>
    <w:p>
      <w:pPr>
        <w:spacing w:after="160" w:line="320"/>
        <w:ind w:left="720" w:hanging="720"/>
        <w:jc w:val="both"/>
      </w:pPr>
      <w:r>
        <w:rPr>
          <w:rFonts w:ascii="Times New Roman" w:cs="Times New Roman" w:eastAsia="Times New Roman" w:hAnsi="Times New Roman"/>
          <w:sz w:val="22"/>
          <w:szCs w:val="22"/>
        </w:rPr>
        <w:t xml:space="preserve">MACIEL, D. A.; PRATA, P. Movilización por nuevos derechos y cambio legal: la Campaña por la Ley Maria da Penha. Política Revista de Ciencia Política, vol. 49, no. 1, 2011.</w:t>
      </w:r>
    </w:p>
    <w:p>
      <w:pPr>
        <w:spacing w:after="160" w:line="320"/>
        <w:ind w:left="720" w:hanging="720"/>
        <w:jc w:val="both"/>
      </w:pPr>
      <w:r>
        <w:rPr>
          <w:rFonts w:ascii="Times New Roman" w:cs="Times New Roman" w:eastAsia="Times New Roman" w:hAnsi="Times New Roman"/>
          <w:sz w:val="22"/>
          <w:szCs w:val="22"/>
        </w:rPr>
        <w:t xml:space="preserve">MARIANO, M. P.; FERREIRA, G. A. G.; NEVES, B. C. Uma crítica do conceito de conjuntura crítica: a questão da mudança no Institucionalismo Histórico. Revista de Sociologia e Política, vol. 31, 2023.</w:t>
      </w:r>
    </w:p>
    <w:p>
      <w:pPr>
        <w:spacing w:after="160" w:line="320"/>
        <w:ind w:left="720" w:hanging="720"/>
        <w:jc w:val="both"/>
      </w:pPr>
      <w:r>
        <w:rPr>
          <w:rFonts w:ascii="Times New Roman" w:cs="Times New Roman" w:eastAsia="Times New Roman" w:hAnsi="Times New Roman"/>
          <w:sz w:val="22"/>
          <w:szCs w:val="22"/>
        </w:rPr>
        <w:t xml:space="preserve">McADAM, Doug; TARROW, Sidney. Movimentos sociais e eleições: por uma compreensão mais ampla do contexto político da contestação. Sociologias, Porto Alegre, v. 13, n. 28, p. 18-51, 2011.</w:t>
      </w:r>
    </w:p>
    <w:p>
      <w:pPr>
        <w:spacing w:after="160" w:line="320"/>
        <w:ind w:left="720" w:hanging="720"/>
        <w:jc w:val="both"/>
      </w:pPr>
      <w:r>
        <w:rPr>
          <w:rFonts w:ascii="Times New Roman" w:cs="Times New Roman" w:eastAsia="Times New Roman" w:hAnsi="Times New Roman"/>
          <w:sz w:val="22"/>
          <w:szCs w:val="22"/>
        </w:rPr>
        <w:t xml:space="preserve">McADAM, Doug; TARROW, Sidney; TILLY, Charles. Dynamics of Contention. Cambridge: Cambridge University Press, 2001.</w:t>
      </w:r>
    </w:p>
    <w:p>
      <w:pPr>
        <w:spacing w:after="160" w:line="320"/>
        <w:ind w:left="720" w:hanging="720"/>
        <w:jc w:val="both"/>
      </w:pPr>
      <w:r>
        <w:rPr>
          <w:rFonts w:ascii="Times New Roman" w:cs="Times New Roman" w:eastAsia="Times New Roman" w:hAnsi="Times New Roman"/>
          <w:sz w:val="22"/>
          <w:szCs w:val="22"/>
        </w:rPr>
        <w:t xml:space="preserve">McCAMMON, H. J.; MUSE, C. S.; NEWMAN, H. D.; TERRELL, T. M. Movement framing and discursive opportunity structures: The political successes of the US Women's Jury movements. American Sociological Review, v. 72, n. 5, p. 725-749, 2007.</w:t>
      </w:r>
    </w:p>
    <w:p>
      <w:pPr>
        <w:spacing w:after="160" w:line="320"/>
        <w:ind w:left="720" w:hanging="720"/>
        <w:jc w:val="both"/>
      </w:pPr>
      <w:r>
        <w:rPr>
          <w:rFonts w:ascii="Times New Roman" w:cs="Times New Roman" w:eastAsia="Times New Roman" w:hAnsi="Times New Roman"/>
          <w:sz w:val="22"/>
          <w:szCs w:val="22"/>
        </w:rPr>
        <w:t xml:space="preserve">MENEZES, D. M. O. de. O campo recente de estudos sobre os movimentos sociais no Brasil. Idéias, vol. 9, no. 1, p. 101, 2018.</w:t>
      </w:r>
    </w:p>
    <w:p>
      <w:pPr>
        <w:spacing w:after="160" w:line="320"/>
        <w:ind w:left="720" w:hanging="720"/>
        <w:jc w:val="both"/>
      </w:pPr>
      <w:r>
        <w:rPr>
          <w:rFonts w:ascii="Times New Roman" w:cs="Times New Roman" w:eastAsia="Times New Roman" w:hAnsi="Times New Roman"/>
          <w:sz w:val="22"/>
          <w:szCs w:val="22"/>
        </w:rPr>
        <w:t xml:space="preserve">PAIVA, A. R.; SANCHES, T. O tempo nos movimentos. Política &amp; Sociedade, vol. 21, no. 51, p. 247, 2023.</w:t>
      </w:r>
    </w:p>
    <w:p>
      <w:pPr>
        <w:spacing w:after="160" w:line="320"/>
        <w:ind w:left="720" w:hanging="720"/>
        <w:jc w:val="both"/>
      </w:pPr>
      <w:r>
        <w:rPr>
          <w:rFonts w:ascii="Times New Roman" w:cs="Times New Roman" w:eastAsia="Times New Roman" w:hAnsi="Times New Roman"/>
          <w:sz w:val="22"/>
          <w:szCs w:val="22"/>
        </w:rPr>
        <w:t xml:space="preserve">PAULA, A. P. de; ROSA, M. C. da. Educação e a questão ambiental. Germinal Marxismo e Educação em Debate, vol. 13, no. 2, p. 592, 2021.</w:t>
      </w:r>
    </w:p>
    <w:p>
      <w:pPr>
        <w:spacing w:after="160" w:line="320"/>
        <w:ind w:left="720" w:hanging="720"/>
        <w:jc w:val="both"/>
      </w:pPr>
      <w:r>
        <w:rPr>
          <w:rFonts w:ascii="Times New Roman" w:cs="Times New Roman" w:eastAsia="Times New Roman" w:hAnsi="Times New Roman"/>
          <w:sz w:val="22"/>
          <w:szCs w:val="22"/>
        </w:rPr>
        <w:t xml:space="preserve">SANTOS, L. G. de M. Janela de oportunidade mediada: das mudanças no ânimo das demonstrações de rua ao ativismo on-line. Idéias, vol. 9, no. 1, p. 77, 2018.</w:t>
      </w:r>
    </w:p>
    <w:p>
      <w:pPr>
        <w:spacing w:after="160" w:line="320"/>
        <w:ind w:left="720" w:hanging="720"/>
        <w:jc w:val="both"/>
      </w:pPr>
      <w:r>
        <w:rPr>
          <w:rFonts w:ascii="Times New Roman" w:cs="Times New Roman" w:eastAsia="Times New Roman" w:hAnsi="Times New Roman"/>
          <w:sz w:val="22"/>
          <w:szCs w:val="22"/>
        </w:rPr>
        <w:t xml:space="preserve">SANTIAGO, C.; DE MORAES, R. C. Como Fazer Análise de Conjuntura. [S. l.: s. n.], 2008.</w:t>
      </w:r>
    </w:p>
    <w:p>
      <w:pPr>
        <w:spacing w:after="160" w:line="320"/>
        <w:ind w:left="720" w:hanging="720"/>
        <w:jc w:val="both"/>
      </w:pPr>
      <w:r>
        <w:rPr>
          <w:rFonts w:ascii="Times New Roman" w:cs="Times New Roman" w:eastAsia="Times New Roman" w:hAnsi="Times New Roman"/>
          <w:sz w:val="22"/>
          <w:szCs w:val="22"/>
        </w:rPr>
        <w:t xml:space="preserve">SEVERO, R. G.; SAN, M. Ocupatudors: socialização política entre jovens estudantes nas ocupações de escolas no RS. ETD - Educação Temática Digital, vol. 19, no. 1, p. 73, 2017.</w:t>
      </w:r>
    </w:p>
    <w:p>
      <w:pPr>
        <w:spacing w:after="160" w:line="320"/>
        <w:ind w:left="720" w:hanging="720"/>
        <w:jc w:val="both"/>
      </w:pPr>
      <w:r>
        <w:rPr>
          <w:rFonts w:ascii="Times New Roman" w:cs="Times New Roman" w:eastAsia="Times New Roman" w:hAnsi="Times New Roman"/>
          <w:sz w:val="22"/>
          <w:szCs w:val="22"/>
        </w:rPr>
        <w:t xml:space="preserve">SILVA, M.; BRONZO, C.; BRASIL, F. de P. D. Movimento feminista e interseccionalidade: Repertórios de ação e de interação com o Estado. Cadernos Gestão Pública e Cidadania, vol. 29, 2023.</w:t>
      </w:r>
    </w:p>
    <w:p>
      <w:pPr>
        <w:spacing w:after="160" w:line="320"/>
        <w:ind w:left="720" w:hanging="720"/>
        <w:jc w:val="both"/>
      </w:pPr>
      <w:r>
        <w:rPr>
          <w:rFonts w:ascii="Times New Roman" w:cs="Times New Roman" w:eastAsia="Times New Roman" w:hAnsi="Times New Roman"/>
          <w:sz w:val="22"/>
          <w:szCs w:val="22"/>
        </w:rPr>
        <w:t xml:space="preserve">SINGER, André. Brasil, junho de 2013: classes e ideologias cruzadas. Novos Estudos CEBRAP, São Paulo, n. 97, p. 23-40, nov. 2013.</w:t>
      </w:r>
    </w:p>
    <w:p>
      <w:pPr>
        <w:spacing w:after="160" w:line="320"/>
        <w:ind w:left="720" w:hanging="720"/>
        <w:jc w:val="both"/>
      </w:pPr>
      <w:r>
        <w:rPr>
          <w:rFonts w:ascii="Times New Roman" w:cs="Times New Roman" w:eastAsia="Times New Roman" w:hAnsi="Times New Roman"/>
          <w:sz w:val="22"/>
          <w:szCs w:val="22"/>
        </w:rPr>
        <w:t xml:space="preserve">SOUZA, H. J. de; MELLO, V. Como se faz análise de conjuntura. [S. l.: s. n.], 1996.</w:t>
      </w:r>
    </w:p>
    <w:p>
      <w:pPr>
        <w:spacing w:after="160" w:line="320"/>
        <w:ind w:left="720" w:hanging="720"/>
        <w:jc w:val="both"/>
      </w:pPr>
      <w:r>
        <w:rPr>
          <w:rFonts w:ascii="Times New Roman" w:cs="Times New Roman" w:eastAsia="Times New Roman" w:hAnsi="Times New Roman"/>
          <w:sz w:val="22"/>
          <w:szCs w:val="22"/>
        </w:rPr>
        <w:t xml:space="preserve">TATAGIBA, Luciana. Entre as ruas e as instituições: os protestos e o impeachment de Dilma Rousseff. Lusotopie, v. XVII, n. 1, 2018.</w:t>
      </w:r>
    </w:p>
    <w:p>
      <w:pPr>
        <w:spacing w:after="160" w:line="320"/>
        <w:ind w:left="720" w:hanging="720"/>
        <w:jc w:val="both"/>
      </w:pPr>
      <w:r>
        <w:rPr>
          <w:rFonts w:ascii="Times New Roman" w:cs="Times New Roman" w:eastAsia="Times New Roman" w:hAnsi="Times New Roman"/>
          <w:sz w:val="22"/>
          <w:szCs w:val="22"/>
        </w:rPr>
        <w:t xml:space="preserve">TARROW, Sidney. O poder em movimento: movimentos sociais e confronto político. Petrópolis: Vozes, 2009.</w:t>
      </w:r>
    </w:p>
    <w:p>
      <w:pPr>
        <w:spacing w:after="160" w:line="320"/>
        <w:ind w:left="720" w:hanging="720"/>
        <w:jc w:val="both"/>
      </w:pPr>
      <w:r>
        <w:rPr>
          <w:rFonts w:ascii="Times New Roman" w:cs="Times New Roman" w:eastAsia="Times New Roman" w:hAnsi="Times New Roman"/>
          <w:sz w:val="22"/>
          <w:szCs w:val="22"/>
        </w:rPr>
        <w:t xml:space="preserve">VAHOS, J. G. G. Acción colectiva y oportunidades políticas en escenarios de políticas públicas: el caso del desplazamiento forzado en Medellín. Estudios Políticos (Medellín), no. 40, p. 76, 2012.</w:t>
      </w:r>
    </w:p>
    <w:p>
      <w:pPr>
        <w:spacing w:after="160" w:line="320"/>
        <w:ind w:left="720" w:hanging="720"/>
        <w:jc w:val="both"/>
      </w:pPr>
      <w:r>
        <w:rPr>
          <w:rFonts w:ascii="Times New Roman" w:cs="Times New Roman" w:eastAsia="Times New Roman" w:hAnsi="Times New Roman"/>
          <w:sz w:val="22"/>
          <w:szCs w:val="22"/>
        </w:rPr>
        <w:t xml:space="preserve">VANDENBERGHE, F. Conjunctural analysis. Revista Brasileira de Sociologia – RBS, vol. 13, 2025.</w:t>
      </w:r>
    </w:p>
    <w:p>
      <w:pPr>
        <w:spacing w:after="160" w:line="320"/>
        <w:ind w:left="720" w:hanging="720"/>
        <w:jc w:val="both"/>
      </w:pPr>
      <w:r>
        <w:rPr>
          <w:rFonts w:ascii="Times New Roman" w:cs="Times New Roman" w:eastAsia="Times New Roman" w:hAnsi="Times New Roman"/>
          <w:sz w:val="22"/>
          <w:szCs w:val="22"/>
        </w:rPr>
        <w:t xml:space="preserve">VELASCO E CRUZ, Sebastião C. Teoria e método na análise de conjuntura. Educação &amp; Sociedade, vol. 21, núm. 72, ago. 2000.</w:t>
      </w:r>
    </w:p>
    <w:p>
      <w:pPr>
        <w:spacing w:after="160" w:line="320"/>
        <w:ind w:left="720" w:hanging="720"/>
        <w:jc w:val="both"/>
      </w:pPr>
      <w:r>
        <w:rPr>
          <w:rFonts w:ascii="Times New Roman" w:cs="Times New Roman" w:eastAsia="Times New Roman" w:hAnsi="Times New Roman"/>
          <w:sz w:val="22"/>
          <w:szCs w:val="22"/>
        </w:rPr>
        <w:t xml:space="preserve">VESTENA, C. A. Mobilization of rights in times of crisis: a review of social movements theory. Revista Direito e Práxis. Rio de Janeiro, 2017.</w:t>
      </w:r>
    </w:p>
    <w:p>
      <w:pPr>
        <w:spacing w:after="160" w:line="320"/>
        <w:ind w:left="720" w:hanging="720"/>
        <w:jc w:val="both"/>
      </w:pPr>
      <w:r>
        <w:rPr>
          <w:rFonts w:ascii="Times New Roman" w:cs="Times New Roman" w:eastAsia="Times New Roman" w:hAnsi="Times New Roman"/>
          <w:sz w:val="22"/>
          <w:szCs w:val="22"/>
        </w:rPr>
        <w:t xml:space="preserve">VIEIRA, Rosângela de Lima. Como fazer 'análise de conjuntura' numa abordagem histórica. In: CORSI, F. L. et al. (org.). A conjuntura econômica e política brasileira e argentina. Marília: Oficina Universitária, 2015.</w:t>
      </w:r>
    </w:p>
    <w:p>
      <w:pPr>
        <w:spacing w:after="160" w:line="320"/>
        <w:ind w:left="720" w:hanging="720"/>
        <w:jc w:val="both"/>
      </w:pPr>
      <w:r>
        <w:rPr>
          <w:rFonts w:ascii="Times New Roman" w:cs="Times New Roman" w:eastAsia="Times New Roman" w:hAnsi="Times New Roman"/>
          <w:sz w:val="22"/>
          <w:szCs w:val="22"/>
        </w:rPr>
        <w:t xml:space="preserve">VIRGENS, J. H. A.; TEIXEIRA, C. F. Análise de conjuntura: contribuições teórico-metodológicas. Lua Nova, São Paulo, 120: 325-357, 2023.</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2026-04-04T17:29:12.133Z</dcterms:created>
  <dcterms:modified xsi:type="dcterms:W3CDTF">2026-04-04T17:29:12.134Z</dcterms:modified>
</cp:coreProperties>
</file>

<file path=docProps/custom.xml><?xml version="1.0" encoding="utf-8"?>
<Properties xmlns="http://schemas.openxmlformats.org/officeDocument/2006/custom-properties" xmlns:vt="http://schemas.openxmlformats.org/officeDocument/2006/docPropsVTypes"/>
</file>