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Quadro de Hipóteses Testáveis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Triângulo EOP–DOS–Análise de Conjuntura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color w:val="888780"/>
          <w:sz w:val="22"/>
          <w:szCs w:val="22"/>
        </w:rPr>
        <w:t xml:space="preserve">Costa, Gustavo Paccelli — Artigo em elaboração (2025)</w:t>
      </w:r>
    </w:p>
    <w:p>
      <w:pPr>
        <w:spacing w:after="16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quadro a seguir apresenta 14 hipóteses testáveis derivadas do arcabouço analítico proposto no artigo. As hipóteses estão organizadas em três famílias: H1 reúne hipóteses sobre a dimensão político-institucional (EOP); H2, hipóteses sobre a dimensão discursivo-cultural (DOS); e H3, hipóteses de integração que articulam as três dimensões do triângulo. Para cada hipótese, o quadro especifica a variável independente, a variável dependente, os indicadores de operacionalização e a evidência empírica âncora extraída dos casos analisados em Costa (2024).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6E56"/>
                <w:sz w:val="20"/>
                <w:szCs w:val="20"/>
              </w:rPr>
              <w:t xml:space="preserve">EOP (verde)  </w:t>
            </w:r>
            <w:r>
              <w:rPr>
                <w:rFonts w:ascii="Times New Roman" w:cs="Times New Roman" w:eastAsia="Times New Roman" w:hAnsi="Times New Roman"/>
                <w:color w:val="085041"/>
                <w:sz w:val="20"/>
                <w:szCs w:val="20"/>
              </w:rPr>
              <w:t xml:space="preserve">Estrutura político-institucional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993C1D"/>
                <w:sz w:val="20"/>
                <w:szCs w:val="20"/>
              </w:rPr>
              <w:t xml:space="preserve">DOS (coral)  </w:t>
            </w:r>
            <w:r>
              <w:rPr>
                <w:rFonts w:ascii="Times New Roman" w:cs="Times New Roman" w:eastAsia="Times New Roman" w:hAnsi="Times New Roman"/>
                <w:color w:val="712B13"/>
                <w:sz w:val="20"/>
                <w:szCs w:val="20"/>
              </w:rPr>
              <w:t xml:space="preserve">Estrutura discursivo-cultural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534AB7"/>
                <w:sz w:val="20"/>
                <w:szCs w:val="20"/>
              </w:rPr>
              <w:t xml:space="preserve">Conjuntura (roxo)  </w:t>
            </w:r>
            <w:r>
              <w:rPr>
                <w:rFonts w:ascii="Times New Roman" w:cs="Times New Roman" w:eastAsia="Times New Roman" w:hAnsi="Times New Roman"/>
                <w:color w:val="3C3489"/>
                <w:sz w:val="20"/>
                <w:szCs w:val="20"/>
              </w:rPr>
              <w:t xml:space="preserve">Instrumento analítico-estratégico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Família H1 — Abertura política e estrutura de oportunidades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H1.1  </w:t>
            </w:r>
            <w:r>
              <w:rPr>
                <w:rFonts w:ascii="Times New Roman" w:cs="Times New Roman" w:eastAsia="Times New Roman" w:hAnsi="Times New Roman"/>
                <w:color w:val="DDDDDD"/>
                <w:sz w:val="20"/>
                <w:szCs w:val="20"/>
              </w:rPr>
              <w:t xml:space="preserve">Família H1 — Abertura política (EOP)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Abertura do sistema político e escala da mobilização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8"/>
        <w:gridCol w:w="2609"/>
        <w:gridCol w:w="2609"/>
      </w:tblGrid>
      <w:tr>
        <w:tc>
          <w:tcPr>
            <w:tcW w:type="dxa" w:w="2608"/>
            <w:tcBorders>
              <w:top w:val="nil"/>
              <w:left w:val="nil"/>
              <w:bottom w:val="nil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6E56"/>
                <w:sz w:val="18"/>
                <w:szCs w:val="18"/>
              </w:rPr>
              <w:t xml:space="preserve">EOP — variável estrutural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color w:val="085041"/>
                <w:sz w:val="19"/>
                <w:szCs w:val="19"/>
              </w:rPr>
              <w:t xml:space="preserve">Quanto maior a abertura do sistema político (acesso institucional, eleições competitivas, pluralismo de elite), maior a probabilidade de emergência de mobilizações multisetoriais.</w:t>
            </w:r>
          </w:p>
        </w:tc>
        <w:tc>
          <w:tcPr>
            <w:tcW w:type="dxa" w:w="2609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993C1D"/>
                <w:sz w:val="18"/>
                <w:szCs w:val="18"/>
              </w:rPr>
              <w:t xml:space="preserve">DOS — variável discursiva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color w:val="712B13"/>
                <w:sz w:val="19"/>
                <w:szCs w:val="19"/>
              </w:rPr>
              <w:t xml:space="preserve">Variável de controle: a DOS deve ser ao menos neutra para que a EOP aberta se converta em mobilização.</w:t>
            </w:r>
          </w:p>
        </w:tc>
        <w:tc>
          <w:tcPr>
            <w:tcW w:type="dxa" w:w="2609"/>
            <w:tcBorders>
              <w:top w:val="nil"/>
              <w:left w:val="single" w:color="CCCCCC" w:sz="1"/>
              <w:bottom w:val="nil"/>
              <w:right w:val="nil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534AB7"/>
                <w:sz w:val="18"/>
                <w:szCs w:val="18"/>
              </w:rPr>
              <w:t xml:space="preserve">Análise de conjuntura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color w:val="3C3489"/>
                <w:sz w:val="19"/>
                <w:szCs w:val="19"/>
              </w:rPr>
              <w:t xml:space="preserve">A análise de conjuntura deve ser capaz de identificar o grau de abertura do sistema como indicador prospectivo de janelas de oportunidade.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Variável independente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Grau de abertura do sistema político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Variável dependente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Escala e intensidade da mobilização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Operacionalização / indicadores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Índices de pluralismo eleitoral, acesso de movimentos a arenas institucionais, fragmentação das elites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Evidência empírica âncora (Costa, 2024)</w:t>
            </w:r>
          </w:p>
          <w:p>
            <w:pPr>
              <w:spacing w:after="40" w:line="280"/>
              <w:jc w:val="both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Fora Collor (1992): sistema democraticamente aberto pós-CF88; mobilização de massa viabilizada pela abertura.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888780"/>
                <w:sz w:val="18"/>
                <w:szCs w:val="18"/>
              </w:rPr>
              <w:t xml:space="preserve">Referências: Tarrow (1994); McAdam (1982); Carlos, Dowbor e Albuquerque (2017)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H1.2  </w:t>
            </w:r>
            <w:r>
              <w:rPr>
                <w:rFonts w:ascii="Times New Roman" w:cs="Times New Roman" w:eastAsia="Times New Roman" w:hAnsi="Times New Roman"/>
                <w:color w:val="DDDDDD"/>
                <w:sz w:val="20"/>
                <w:szCs w:val="20"/>
              </w:rPr>
              <w:t xml:space="preserve">Família H1 — Abertura política (EOP)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Vulnerabilidade das elites e probabilidade de resultado institucional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8"/>
        <w:gridCol w:w="2609"/>
        <w:gridCol w:w="2609"/>
      </w:tblGrid>
      <w:tr>
        <w:tc>
          <w:tcPr>
            <w:tcW w:type="dxa" w:w="2608"/>
            <w:tcBorders>
              <w:top w:val="nil"/>
              <w:left w:val="nil"/>
              <w:bottom w:val="nil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6E56"/>
                <w:sz w:val="18"/>
                <w:szCs w:val="18"/>
              </w:rPr>
              <w:t xml:space="preserve">EOP — variável estrutural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color w:val="085041"/>
                <w:sz w:val="19"/>
                <w:szCs w:val="19"/>
              </w:rPr>
              <w:t xml:space="preserve">Quanto maior a vulnerabilidade do governo (erosão de aprovação, deserção de aliados parlamentares, crise de governabilidade), maior a probabilidade de que a mobilização produza resultado institucional.</w:t>
            </w:r>
          </w:p>
        </w:tc>
        <w:tc>
          <w:tcPr>
            <w:tcW w:type="dxa" w:w="2609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993C1D"/>
                <w:sz w:val="18"/>
                <w:szCs w:val="18"/>
              </w:rPr>
              <w:t xml:space="preserve">DOS — variável discursiva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color w:val="712B13"/>
                <w:sz w:val="19"/>
                <w:szCs w:val="19"/>
              </w:rPr>
              <w:t xml:space="preserve">A DOS deve oferecer um frame de legitimação disponível — sem ressonância discursiva, a vulnerabilidade da elite não se converte automaticamente em mudança.</w:t>
            </w:r>
          </w:p>
        </w:tc>
        <w:tc>
          <w:tcPr>
            <w:tcW w:type="dxa" w:w="2609"/>
            <w:tcBorders>
              <w:top w:val="nil"/>
              <w:left w:val="single" w:color="CCCCCC" w:sz="1"/>
              <w:bottom w:val="nil"/>
              <w:right w:val="nil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534AB7"/>
                <w:sz w:val="18"/>
                <w:szCs w:val="18"/>
              </w:rPr>
              <w:t xml:space="preserve">Análise de conjuntura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color w:val="3C3489"/>
                <w:sz w:val="19"/>
                <w:szCs w:val="19"/>
              </w:rPr>
              <w:t xml:space="preserve">A leitura conjuntural deve identificar os indicadores de vulnerabilidade (aprovação presidencial, base parlamentar, apoio midiático) como variáveis de timing para a mobilização.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Variável independente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Grau de vulnerabilidade das elites governantes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Variável dependente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Probabilidade de mudança institucional como resultado do ciclo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Operacionalização / indicadores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Índices de aprovação presidencial, número de aliados parlamentares que desertam, cobertura editorial favorável ou contrária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Evidência empírica âncora (Costa, 2024)</w:t>
            </w:r>
          </w:p>
          <w:p>
            <w:pPr>
              <w:spacing w:after="40" w:line="280"/>
              <w:jc w:val="both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Fora Collor: aprovação de 71% → 9%; deserção parlamentar + inversão midiática → impeachment. Fora Dilma: crise econômica + Lava Jato + deserção do PMDB.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888780"/>
                <w:sz w:val="18"/>
                <w:szCs w:val="18"/>
              </w:rPr>
              <w:t xml:space="preserve">Referências: Costa (2024); Sallum Jr. (2015); Tatagiba (2018)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H1.3  </w:t>
            </w:r>
            <w:r>
              <w:rPr>
                <w:rFonts w:ascii="Times New Roman" w:cs="Times New Roman" w:eastAsia="Times New Roman" w:hAnsi="Times New Roman"/>
                <w:color w:val="DDDDDD"/>
                <w:sz w:val="20"/>
                <w:szCs w:val="20"/>
              </w:rPr>
              <w:t xml:space="preserve">Família H1 — Abertura política (EOP)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Repressão estatal e expansão do ciclo de protesto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8"/>
        <w:gridCol w:w="2609"/>
        <w:gridCol w:w="2609"/>
      </w:tblGrid>
      <w:tr>
        <w:tc>
          <w:tcPr>
            <w:tcW w:type="dxa" w:w="2608"/>
            <w:tcBorders>
              <w:top w:val="nil"/>
              <w:left w:val="nil"/>
              <w:bottom w:val="nil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6E56"/>
                <w:sz w:val="18"/>
                <w:szCs w:val="18"/>
              </w:rPr>
              <w:t xml:space="preserve">EOP — variável estrutural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color w:val="085041"/>
                <w:sz w:val="19"/>
                <w:szCs w:val="19"/>
              </w:rPr>
              <w:t xml:space="preserve">Repressão policial desproporcional, quando coberta midiaticamente, funciona como catalisador de expansão do ciclo — reduzindo o custo percebido da participação e ampliando a solidariedade.</w:t>
            </w:r>
          </w:p>
        </w:tc>
        <w:tc>
          <w:tcPr>
            <w:tcW w:type="dxa" w:w="2609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993C1D"/>
                <w:sz w:val="18"/>
                <w:szCs w:val="18"/>
              </w:rPr>
              <w:t xml:space="preserve">DOS — variável discursiva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color w:val="712B13"/>
                <w:sz w:val="19"/>
                <w:szCs w:val="19"/>
              </w:rPr>
              <w:t xml:space="preserve">A cobertura midiática da repressão é o mecanismo de abertura da DOS: sem visibilidade discursiva, o evento repressivo não produz expansão.</w:t>
            </w:r>
          </w:p>
        </w:tc>
        <w:tc>
          <w:tcPr>
            <w:tcW w:type="dxa" w:w="2609"/>
            <w:tcBorders>
              <w:top w:val="nil"/>
              <w:left w:val="single" w:color="CCCCCC" w:sz="1"/>
              <w:bottom w:val="nil"/>
              <w:right w:val="nil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534AB7"/>
                <w:sz w:val="18"/>
                <w:szCs w:val="18"/>
              </w:rPr>
              <w:t xml:space="preserve">Análise de conjuntura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color w:val="3C3489"/>
                <w:sz w:val="19"/>
                <w:szCs w:val="19"/>
              </w:rPr>
              <w:t xml:space="preserve">A análise de conjuntura deve monitorar a resposta estatal às primeiras manifestações como indicador da trajetória do ciclo.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Variável independente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Intensidade e visibilidade da repressão estatal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Variável dependente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Amplitude da expansão do ciclo e incorporação de novos atores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Operacionalização / indicadores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Número de feridos/detidos nas primeiras manifestações, tom da cobertura midiática pós-repressão, variação no número de participantes antes e depois do evento repressivo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Evidência empírica âncora (Costa, 2024)</w:t>
            </w:r>
          </w:p>
          <w:p>
            <w:pPr>
              <w:spacing w:after="40" w:line="280"/>
              <w:jc w:val="both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13 de junho de 2013: repressão policial + cobertura da Mídia Ninja → inversão narrativa → expansão de 5 mil para 1 milhão de manifestantes em uma semana.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888780"/>
                <w:sz w:val="18"/>
                <w:szCs w:val="18"/>
              </w:rPr>
              <w:t xml:space="preserve">Referências: Costa (2024); Gohn (2018); Koopmans e Olzak (2004)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H1.4  </w:t>
            </w:r>
            <w:r>
              <w:rPr>
                <w:rFonts w:ascii="Times New Roman" w:cs="Times New Roman" w:eastAsia="Times New Roman" w:hAnsi="Times New Roman"/>
                <w:color w:val="DDDDDD"/>
                <w:sz w:val="20"/>
                <w:szCs w:val="20"/>
              </w:rPr>
              <w:t xml:space="preserve">Família H1 — Abertura política (EOP)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Aliados intrainstitucionais e heterogeneidade da coalizão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8"/>
        <w:gridCol w:w="2609"/>
        <w:gridCol w:w="2609"/>
      </w:tblGrid>
      <w:tr>
        <w:tc>
          <w:tcPr>
            <w:tcW w:type="dxa" w:w="2608"/>
            <w:tcBorders>
              <w:top w:val="nil"/>
              <w:left w:val="nil"/>
              <w:bottom w:val="nil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6E56"/>
                <w:sz w:val="18"/>
                <w:szCs w:val="18"/>
              </w:rPr>
              <w:t xml:space="preserve">EOP — variável estrutural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color w:val="085041"/>
                <w:sz w:val="19"/>
                <w:szCs w:val="19"/>
              </w:rPr>
              <w:t xml:space="preserve">A presença de aliados dentro do Estado (partidos de oposição, judiciário, Ministério Público, setores do empresariado) amplia a EOP e aumenta a heterogeneidade dos atores que aderem à mobilização.</w:t>
            </w:r>
          </w:p>
        </w:tc>
        <w:tc>
          <w:tcPr>
            <w:tcW w:type="dxa" w:w="2609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993C1D"/>
                <w:sz w:val="18"/>
                <w:szCs w:val="18"/>
              </w:rPr>
              <w:t xml:space="preserve">DOS — variável discursiva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color w:val="712B13"/>
                <w:sz w:val="19"/>
                <w:szCs w:val="19"/>
              </w:rPr>
              <w:t xml:space="preserve">Aliados intrainstitucionais fornecem credibilidade discursiva — sua presença aumenta a ressonância dos frames do movimento junto a públicos mais amplos.</w:t>
            </w:r>
          </w:p>
        </w:tc>
        <w:tc>
          <w:tcPr>
            <w:tcW w:type="dxa" w:w="2609"/>
            <w:tcBorders>
              <w:top w:val="nil"/>
              <w:left w:val="single" w:color="CCCCCC" w:sz="1"/>
              <w:bottom w:val="nil"/>
              <w:right w:val="nil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534AB7"/>
                <w:sz w:val="18"/>
                <w:szCs w:val="18"/>
              </w:rPr>
              <w:t xml:space="preserve">Análise de conjuntura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color w:val="3C3489"/>
                <w:sz w:val="19"/>
                <w:szCs w:val="19"/>
              </w:rPr>
              <w:t xml:space="preserve">A análise de conjuntura deve mapear sistematicamente os aliados disponíveis dentro do sistema político como parte do diagnóstico das oportunidades.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Variável independente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Presença e perfil de aliados intrainstitucionais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Variável dependente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Composição e amplitude da coalizão mobilizada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Operacionalização / indicadores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Partidos ou instituições que apoiam publicamente as demandas; declarações de elites dissidentes; posição do judiciário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Evidência empírica âncora (Costa, 2024)</w:t>
            </w:r>
          </w:p>
          <w:p>
            <w:pPr>
              <w:spacing w:after="40" w:line="280"/>
              <w:jc w:val="both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Fora Dilma: Judiciário (Lava Jato), empresariado, PMDB e mídia hegemônica como aliados — coalizão de direita ampla. Fora Collor: PT, PDT, CUT, Igreja.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888780"/>
                <w:sz w:val="18"/>
                <w:szCs w:val="18"/>
              </w:rPr>
              <w:t xml:space="preserve">Referências: Costa (2024); Tatagiba, Trindade e Teixeira (2015); Limongi (2023)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Família H2 — Oportunidades discursivas e produção de frames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2B13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H2.1  </w:t>
            </w:r>
            <w:r>
              <w:rPr>
                <w:rFonts w:ascii="Times New Roman" w:cs="Times New Roman" w:eastAsia="Times New Roman" w:hAnsi="Times New Roman"/>
                <w:color w:val="DDDDDD"/>
                <w:sz w:val="20"/>
                <w:szCs w:val="20"/>
              </w:rPr>
              <w:t xml:space="preserve">Família H2 — Oportunidades discursivas (DOS)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Hegemonia discursiva e direção ideológica do ciclo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8"/>
        <w:gridCol w:w="2609"/>
        <w:gridCol w:w="2609"/>
      </w:tblGrid>
      <w:tr>
        <w:tc>
          <w:tcPr>
            <w:tcW w:type="dxa" w:w="2608"/>
            <w:tcBorders>
              <w:top w:val="nil"/>
              <w:left w:val="nil"/>
              <w:bottom w:val="nil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6E56"/>
                <w:sz w:val="18"/>
                <w:szCs w:val="18"/>
              </w:rPr>
              <w:t xml:space="preserve">EOP — variável estrutural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color w:val="085041"/>
                <w:sz w:val="19"/>
                <w:szCs w:val="19"/>
              </w:rPr>
              <w:t xml:space="preserve">A configuração da EOP (abertura, aliados) é condição necessária mas não suficiente: o campo que controla a DOS hegemônica tem maior capacidade de direcionar o ciclo em favor de sua agenda.</w:t>
            </w:r>
          </w:p>
        </w:tc>
        <w:tc>
          <w:tcPr>
            <w:tcW w:type="dxa" w:w="2609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993C1D"/>
                <w:sz w:val="18"/>
                <w:szCs w:val="18"/>
              </w:rPr>
              <w:t xml:space="preserve">DOS — variável discursiva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color w:val="712B13"/>
                <w:sz w:val="19"/>
                <w:szCs w:val="19"/>
              </w:rPr>
              <w:t xml:space="preserve">Quando um campo social controla sistematicamente os meios de comunicação e os frames predominantes na esfera pública, a DOS produz assimetria discursiva que favorece esse campo na disputa pelo significado da mobilização.</w:t>
            </w:r>
          </w:p>
        </w:tc>
        <w:tc>
          <w:tcPr>
            <w:tcW w:type="dxa" w:w="2609"/>
            <w:tcBorders>
              <w:top w:val="nil"/>
              <w:left w:val="single" w:color="CCCCCC" w:sz="1"/>
              <w:bottom w:val="nil"/>
              <w:right w:val="nil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534AB7"/>
                <w:sz w:val="18"/>
                <w:szCs w:val="18"/>
              </w:rPr>
              <w:t xml:space="preserve">Análise de conjuntura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color w:val="3C3489"/>
                <w:sz w:val="19"/>
                <w:szCs w:val="19"/>
              </w:rPr>
              <w:t xml:space="preserve">A análise de conjuntura deve incluir o mapeamento da distribuição de poder discursivo entre os campos em disputa como componente essencial do diagnóstico.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Variável independente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Grau de hegemonia discursiva de um dos campos em disputa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Variável dependente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Direção ideológica do ciclo e resultado político favorável ao campo hegemônico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Operacionalização / indicadores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Análise de conteúdo da cobertura das principais mídias; enquadramento dominante nas revistas semanais; presença de think tanks na produção de narrativas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Evidência empírica âncora (Costa, 2024)</w:t>
            </w:r>
          </w:p>
          <w:p>
            <w:pPr>
              <w:spacing w:after="40" w:line="280"/>
              <w:jc w:val="both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Ciclo do impeachment: Veja + Globo + think tanks liberais → DOS hegemonizada antipetista → coalizão conservadora domina o ciclo.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888780"/>
                <w:sz w:val="18"/>
                <w:szCs w:val="18"/>
              </w:rPr>
              <w:t xml:space="preserve">Referências: Costa (2024); Santos (2018); Fontes, Ferracioli e Sampaio (2016)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2B13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H2.2  </w:t>
            </w:r>
            <w:r>
              <w:rPr>
                <w:rFonts w:ascii="Times New Roman" w:cs="Times New Roman" w:eastAsia="Times New Roman" w:hAnsi="Times New Roman"/>
                <w:color w:val="DDDDDD"/>
                <w:sz w:val="20"/>
                <w:szCs w:val="20"/>
              </w:rPr>
              <w:t xml:space="preserve">Família H2 — Oportunidades discursivas (DOS)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Fragmentação da DOS e mobilizações sem resultado definido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8"/>
        <w:gridCol w:w="2609"/>
        <w:gridCol w:w="2609"/>
      </w:tblGrid>
      <w:tr>
        <w:tc>
          <w:tcPr>
            <w:tcW w:type="dxa" w:w="2608"/>
            <w:tcBorders>
              <w:top w:val="nil"/>
              <w:left w:val="nil"/>
              <w:bottom w:val="nil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6E56"/>
                <w:sz w:val="18"/>
                <w:szCs w:val="18"/>
              </w:rPr>
              <w:t xml:space="preserve">EOP — variável estrutural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color w:val="085041"/>
                <w:sz w:val="19"/>
                <w:szCs w:val="19"/>
              </w:rPr>
              <w:t xml:space="preserve">Em ciclos com EOP amplamente aberta, a fragmentação da DOS — múltiplos frames incompatíveis coexistindo sem master frame convergente — tende a produzir alta mobilização com baixo resultado institucional definido.</w:t>
            </w:r>
          </w:p>
        </w:tc>
        <w:tc>
          <w:tcPr>
            <w:tcW w:type="dxa" w:w="2609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993C1D"/>
                <w:sz w:val="18"/>
                <w:szCs w:val="18"/>
              </w:rPr>
              <w:t xml:space="preserve">DOS — variável discursiva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color w:val="712B13"/>
                <w:sz w:val="19"/>
                <w:szCs w:val="19"/>
              </w:rPr>
              <w:t xml:space="preserve">A DOS fragmentada é condição suficiente para impedir a hegemonia de qualquer agenda específica: movimentos com enquadramentos distintos usam a mesma oportunidade política sem convergir em objetivos.</w:t>
            </w:r>
          </w:p>
        </w:tc>
        <w:tc>
          <w:tcPr>
            <w:tcW w:type="dxa" w:w="2609"/>
            <w:tcBorders>
              <w:top w:val="nil"/>
              <w:left w:val="single" w:color="CCCCCC" w:sz="1"/>
              <w:bottom w:val="nil"/>
              <w:right w:val="nil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534AB7"/>
                <w:sz w:val="18"/>
                <w:szCs w:val="18"/>
              </w:rPr>
              <w:t xml:space="preserve">Análise de conjuntura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color w:val="3C3489"/>
                <w:sz w:val="19"/>
                <w:szCs w:val="19"/>
              </w:rPr>
              <w:t xml:space="preserve">A análise de conjuntura deve identificar a diversidade de frames em circulação como indicador de risco de difusão sem direcionamento.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Variável independente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Grau de fragmentação da DOS (número e incompatibilidade de frames em circulação)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Variável dependente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Resultado institucional do ciclo (mudança definida vs. resultado indeterminado)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Operacionalização / indicadores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Número de demandas distintas identificadas nas manifestações; heterogeneidade ideológica dos participantes; ausência de master frame unificador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Evidência empírica âncora (Costa, 2024)</w:t>
            </w:r>
          </w:p>
          <w:p>
            <w:pPr>
              <w:spacing w:after="40" w:line="280"/>
              <w:jc w:val="both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Junho de 2013: coexistência de frame dos direitos urbanos (MPL), anticorrupção, aprofundamento democrático e moralizador — resultado 'inacabado' (Costa, 2024).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888780"/>
                <w:sz w:val="18"/>
                <w:szCs w:val="18"/>
              </w:rPr>
              <w:t xml:space="preserve">Referências: Costa (2024); Singer (2013); Alonso (2023)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2B13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H2.3  </w:t>
            </w:r>
            <w:r>
              <w:rPr>
                <w:rFonts w:ascii="Times New Roman" w:cs="Times New Roman" w:eastAsia="Times New Roman" w:hAnsi="Times New Roman"/>
                <w:color w:val="DDDDDD"/>
                <w:sz w:val="20"/>
                <w:szCs w:val="20"/>
              </w:rPr>
              <w:t xml:space="preserve">Família H2 — Oportunidades discursivas (DOS)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Ressonância cultural dos frames e recrutamento ampliado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8"/>
        <w:gridCol w:w="2609"/>
        <w:gridCol w:w="2609"/>
      </w:tblGrid>
      <w:tr>
        <w:tc>
          <w:tcPr>
            <w:tcW w:type="dxa" w:w="2608"/>
            <w:tcBorders>
              <w:top w:val="nil"/>
              <w:left w:val="nil"/>
              <w:bottom w:val="nil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6E56"/>
                <w:sz w:val="18"/>
                <w:szCs w:val="18"/>
              </w:rPr>
              <w:t xml:space="preserve">EOP — variável estrutural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color w:val="085041"/>
                <w:sz w:val="19"/>
                <w:szCs w:val="19"/>
              </w:rPr>
              <w:t xml:space="preserve">Independentemente das condições de EOP, movimentos que articulam seus frames com os valores normativos dominantes da conjuntura recrutam mais amplamente.</w:t>
            </w:r>
          </w:p>
        </w:tc>
        <w:tc>
          <w:tcPr>
            <w:tcW w:type="dxa" w:w="2609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993C1D"/>
                <w:sz w:val="18"/>
                <w:szCs w:val="18"/>
              </w:rPr>
              <w:t xml:space="preserve">DOS — variável discursiva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color w:val="712B13"/>
                <w:sz w:val="19"/>
                <w:szCs w:val="19"/>
              </w:rPr>
              <w:t xml:space="preserve">A ressonância cultural é o mecanismo central: frames que se alinham com o horizonte de inteligibilidade prevalecente na DOS têm maior capacidade de mobilização do que frames radicais.</w:t>
            </w:r>
          </w:p>
        </w:tc>
        <w:tc>
          <w:tcPr>
            <w:tcW w:type="dxa" w:w="2609"/>
            <w:tcBorders>
              <w:top w:val="nil"/>
              <w:left w:val="single" w:color="CCCCCC" w:sz="1"/>
              <w:bottom w:val="nil"/>
              <w:right w:val="nil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534AB7"/>
                <w:sz w:val="18"/>
                <w:szCs w:val="18"/>
              </w:rPr>
              <w:t xml:space="preserve">Análise de conjuntura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color w:val="3C3489"/>
                <w:sz w:val="19"/>
                <w:szCs w:val="19"/>
              </w:rPr>
              <w:t xml:space="preserve">A análise de conjuntura deve avaliar a disponibilidade de frames culturalmente ressonantes como parte do mapeamento das oportunidades discursivas.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Variável independente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Grau de alinhamento do frame do movimento com valores normativos dominantes da conjuntura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Variável dependente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Amplitude do recrutamento e composição social da mobilização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Operacionalização / indicadores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Pesquisas de opinião sobre aceitação das demandas; composição sociológica das manifestações; adesão de públicos não-orgânicos ao movimento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Evidência empírica âncora (Costa, 2024)</w:t>
            </w:r>
          </w:p>
          <w:p>
            <w:pPr>
              <w:spacing w:after="40" w:line="280"/>
              <w:jc w:val="both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Fora Collor: frame 'ética na política' alinhado ao ethos constituinte de 1988 → recrutamento de camadas médias + movimento estudantil + sindicatos.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888780"/>
                <w:sz w:val="18"/>
                <w:szCs w:val="18"/>
              </w:rPr>
              <w:t xml:space="preserve">Referências: Ferree (2003); McCammon et al. (2007); Koopmans e Statham (1999)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2B13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H2.4  </w:t>
            </w:r>
            <w:r>
              <w:rPr>
                <w:rFonts w:ascii="Times New Roman" w:cs="Times New Roman" w:eastAsia="Times New Roman" w:hAnsi="Times New Roman"/>
                <w:color w:val="DDDDDD"/>
                <w:sz w:val="20"/>
                <w:szCs w:val="20"/>
              </w:rPr>
              <w:t xml:space="preserve">Família H2 — Oportunidades discursivas (DOS)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Construção deliberada da DOS e timing da mobilização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8"/>
        <w:gridCol w:w="2609"/>
        <w:gridCol w:w="2609"/>
      </w:tblGrid>
      <w:tr>
        <w:tc>
          <w:tcPr>
            <w:tcW w:type="dxa" w:w="2608"/>
            <w:tcBorders>
              <w:top w:val="nil"/>
              <w:left w:val="nil"/>
              <w:bottom w:val="nil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6E56"/>
                <w:sz w:val="18"/>
                <w:szCs w:val="18"/>
              </w:rPr>
              <w:t xml:space="preserve">EOP — variável estrutural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color w:val="085041"/>
                <w:sz w:val="19"/>
                <w:szCs w:val="19"/>
              </w:rPr>
              <w:t xml:space="preserve">Atores com maior capacidade estratégica podem construir deliberadamente condições discursivas favoráveis antes da abertura da EOP, determinando quais frames estarão disponíveis quando a janela se abrir.</w:t>
            </w:r>
          </w:p>
        </w:tc>
        <w:tc>
          <w:tcPr>
            <w:tcW w:type="dxa" w:w="2609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993C1D"/>
                <w:sz w:val="18"/>
                <w:szCs w:val="18"/>
              </w:rPr>
              <w:t xml:space="preserve">DOS — variável discursiva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color w:val="712B13"/>
                <w:sz w:val="19"/>
                <w:szCs w:val="19"/>
              </w:rPr>
              <w:t xml:space="preserve">A DOS pode ser produzida intencionalmente por atores com acesso aos meios de comunicação, think tanks e redes de produção discursiva — não é apenas uma estrutura dada, mas um campo de disputa ativo.</w:t>
            </w:r>
          </w:p>
        </w:tc>
        <w:tc>
          <w:tcPr>
            <w:tcW w:type="dxa" w:w="2609"/>
            <w:tcBorders>
              <w:top w:val="nil"/>
              <w:left w:val="single" w:color="CCCCCC" w:sz="1"/>
              <w:bottom w:val="nil"/>
              <w:right w:val="nil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534AB7"/>
                <w:sz w:val="18"/>
                <w:szCs w:val="18"/>
              </w:rPr>
              <w:t xml:space="preserve">Análise de conjuntura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color w:val="3C3489"/>
                <w:sz w:val="19"/>
                <w:szCs w:val="19"/>
              </w:rPr>
              <w:t xml:space="preserve">A análise de conjuntura deve identificar os investimentos de longo prazo em produção discursiva como parte do mapeamento prospectivo das oportunidades.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Variável independente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Capacidade de atores estratégicos de investir na produção discursiva antes da conjuntura crítica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Variável dependente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Disponibilidade e ressonância de frames favoráveis quando a EOP se abre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Operacionalização / indicadores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Existência e atividade de think tanks vinculados ao campo; cobertura editorial acumulada nos meses/anos anteriores; financiamento de redes de produção de narrativas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Evidência empírica âncora (Costa, 2024)</w:t>
            </w:r>
          </w:p>
          <w:p>
            <w:pPr>
              <w:spacing w:after="40" w:line="280"/>
              <w:jc w:val="both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Ciclo do impeachment: Instituto Millenium, Instituto Liberal, Veja e Globo construíram DOS antipetista ao longo de 2013-2014 antes das manifestações de 2015.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888780"/>
                <w:sz w:val="18"/>
                <w:szCs w:val="18"/>
              </w:rPr>
              <w:t xml:space="preserve">Referências: Costa (2024); Tatagiba, Trindade e Teixeira (2015); Santos (2018)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2B13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H2.5  </w:t>
            </w:r>
            <w:r>
              <w:rPr>
                <w:rFonts w:ascii="Times New Roman" w:cs="Times New Roman" w:eastAsia="Times New Roman" w:hAnsi="Times New Roman"/>
                <w:color w:val="DDDDDD"/>
                <w:sz w:val="20"/>
                <w:szCs w:val="20"/>
              </w:rPr>
              <w:t xml:space="preserve">Família H2 — Oportunidades discursivas (DOS)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Feeling rules e legitimação emocional do protesto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8"/>
        <w:gridCol w:w="2609"/>
        <w:gridCol w:w="2609"/>
      </w:tblGrid>
      <w:tr>
        <w:tc>
          <w:tcPr>
            <w:tcW w:type="dxa" w:w="2608"/>
            <w:tcBorders>
              <w:top w:val="nil"/>
              <w:left w:val="nil"/>
              <w:bottom w:val="nil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6E56"/>
                <w:sz w:val="18"/>
                <w:szCs w:val="18"/>
              </w:rPr>
              <w:t xml:space="preserve">EOP — variável estrutural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color w:val="085041"/>
                <w:sz w:val="19"/>
                <w:szCs w:val="19"/>
              </w:rPr>
              <w:t xml:space="preserve">A emergência de novas normas sobre o que é legítimo sentir e expressar publicamente (feeling rules) em uma conjuntura pode abrir DOS independentemente de mudanças nas condições político-institucionais.</w:t>
            </w:r>
          </w:p>
        </w:tc>
        <w:tc>
          <w:tcPr>
            <w:tcW w:type="dxa" w:w="2609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993C1D"/>
                <w:sz w:val="18"/>
                <w:szCs w:val="18"/>
              </w:rPr>
              <w:t xml:space="preserve">DOS — variável discursiva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color w:val="712B13"/>
                <w:sz w:val="19"/>
                <w:szCs w:val="19"/>
              </w:rPr>
              <w:t xml:space="preserve">Quando as feeling rules prevalecentes legitimam a expressão pública de indignação, medo ou humilhação coletiva, demandas antes tratadas como privadas tornam-se politicamente articuláveis.</w:t>
            </w:r>
          </w:p>
        </w:tc>
        <w:tc>
          <w:tcPr>
            <w:tcW w:type="dxa" w:w="2609"/>
            <w:tcBorders>
              <w:top w:val="nil"/>
              <w:left w:val="single" w:color="CCCCCC" w:sz="1"/>
              <w:bottom w:val="nil"/>
              <w:right w:val="nil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534AB7"/>
                <w:sz w:val="18"/>
                <w:szCs w:val="18"/>
              </w:rPr>
              <w:t xml:space="preserve">Análise de conjuntura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color w:val="3C3489"/>
                <w:sz w:val="19"/>
                <w:szCs w:val="19"/>
              </w:rPr>
              <w:t xml:space="preserve">A análise de conjuntura deve incorporar o mapeamento das normas emocionais vigentes como componente da dimensão discursiva.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Variável independente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Transformação nas feeling rules da conjuntura (o que é legítimo sentir e expressar publicamente)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Variável dependente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Emergência de novos frames e ampliação do repertório discursivo disponível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Operacionalização / indicadores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Mudanças nos enquadramentos emocionais da cobertura midiática; emergência de novas categorias de demanda na esfera pública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Evidência empírica âncora (Costa, 2024)</w:t>
            </w:r>
          </w:p>
          <w:p>
            <w:pPr>
              <w:spacing w:after="40" w:line="280"/>
              <w:jc w:val="both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Junho de 2013: cobertura da repressão policial legitimou a raiva como emoção política — transformando indignação difusa em frame público articulável.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888780"/>
                <w:sz w:val="18"/>
                <w:szCs w:val="18"/>
              </w:rPr>
              <w:t xml:space="preserve">Referências: Bröer e Duyvendak (2009); Ferree (2003); Koopmans e Olzak (2004)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Família H3 — Integração analítica: EOP, DOS e conjuntura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H3.1  </w:t>
            </w:r>
            <w:r>
              <w:rPr>
                <w:rFonts w:ascii="Times New Roman" w:cs="Times New Roman" w:eastAsia="Times New Roman" w:hAnsi="Times New Roman"/>
                <w:color w:val="DDDDDD"/>
                <w:sz w:val="20"/>
                <w:szCs w:val="20"/>
              </w:rPr>
              <w:t xml:space="preserve">Família H3 — Integração analítica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Convergência EOP+DOS e maximização da mobilização multisetorial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8"/>
        <w:gridCol w:w="2609"/>
        <w:gridCol w:w="2609"/>
      </w:tblGrid>
      <w:tr>
        <w:tc>
          <w:tcPr>
            <w:tcW w:type="dxa" w:w="2608"/>
            <w:tcBorders>
              <w:top w:val="nil"/>
              <w:left w:val="nil"/>
              <w:bottom w:val="nil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6E56"/>
                <w:sz w:val="18"/>
                <w:szCs w:val="18"/>
              </w:rPr>
              <w:t xml:space="preserve">EOP — variável estrutural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color w:val="085041"/>
                <w:sz w:val="19"/>
                <w:szCs w:val="19"/>
              </w:rPr>
              <w:t xml:space="preserve">A EOP aberta (vulnerabilidade das elites, acesso institucional, aliados disponíveis) é condição necessária para mobilizações de grande escala.</w:t>
            </w:r>
          </w:p>
        </w:tc>
        <w:tc>
          <w:tcPr>
            <w:tcW w:type="dxa" w:w="2609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993C1D"/>
                <w:sz w:val="18"/>
                <w:szCs w:val="18"/>
              </w:rPr>
              <w:t xml:space="preserve">DOS — variável discursiva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color w:val="712B13"/>
                <w:sz w:val="19"/>
                <w:szCs w:val="19"/>
              </w:rPr>
              <w:t xml:space="preserve">A DOS convergente (frame ressonante, mídia favorável, hegemonia discursiva disponível) é condição necessária para que a mobilização produza resultado institucional.</w:t>
            </w:r>
          </w:p>
        </w:tc>
        <w:tc>
          <w:tcPr>
            <w:tcW w:type="dxa" w:w="2609"/>
            <w:tcBorders>
              <w:top w:val="nil"/>
              <w:left w:val="single" w:color="CCCCCC" w:sz="1"/>
              <w:bottom w:val="nil"/>
              <w:right w:val="nil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534AB7"/>
                <w:sz w:val="18"/>
                <w:szCs w:val="18"/>
              </w:rPr>
              <w:t xml:space="preserve">Análise de conjuntura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color w:val="3C3489"/>
                <w:sz w:val="19"/>
                <w:szCs w:val="19"/>
              </w:rPr>
              <w:t xml:space="preserve">A convergência simultânea de EOP aberta e DOS convergente maximiza tanto a escala da mobilização quanto a probabilidade de resultado institucional definido.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Variável independente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Configuração EOP+DOS (convergente, divergente, fragmentada, assimétrica)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Variável dependente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Escala da mobilização e probabilidade de resultado institucional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Operacionalização / indicadores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Combinação dos indicadores de EOP (abertura, aliados, vulnerabilidade) e DOS (hegemonia, ressonância, cobertura midiática)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Evidência empírica âncora (Costa, 2024)</w:t>
            </w:r>
          </w:p>
          <w:p>
            <w:pPr>
              <w:spacing w:after="40" w:line="280"/>
              <w:jc w:val="both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Padrão convergente: Fora Collor. Padrão fragmentado: Junho de 2013. Padrão de construção deliberada: Fora Dilma.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888780"/>
                <w:sz w:val="18"/>
                <w:szCs w:val="18"/>
              </w:rPr>
              <w:t xml:space="preserve">Referências: Costa (2024); Della Porta (2018, 2022); Tarrow (1994)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H3.2  </w:t>
            </w:r>
            <w:r>
              <w:rPr>
                <w:rFonts w:ascii="Times New Roman" w:cs="Times New Roman" w:eastAsia="Times New Roman" w:hAnsi="Times New Roman"/>
                <w:color w:val="DDDDDD"/>
                <w:sz w:val="20"/>
                <w:szCs w:val="20"/>
              </w:rPr>
              <w:t xml:space="preserve">Família H3 — Integração analítica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Capacidade de leitura conjuntural e eficácia estratégica dos atores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8"/>
        <w:gridCol w:w="2609"/>
        <w:gridCol w:w="2609"/>
      </w:tblGrid>
      <w:tr>
        <w:tc>
          <w:tcPr>
            <w:tcW w:type="dxa" w:w="2608"/>
            <w:tcBorders>
              <w:top w:val="nil"/>
              <w:left w:val="nil"/>
              <w:bottom w:val="nil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6E56"/>
                <w:sz w:val="18"/>
                <w:szCs w:val="18"/>
              </w:rPr>
              <w:t xml:space="preserve">EOP — variável estrutural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color w:val="085041"/>
                <w:sz w:val="19"/>
                <w:szCs w:val="19"/>
              </w:rPr>
              <w:t xml:space="preserve">Atores com maior capacidade de identificar e interpretar as configurações de EOP vigentes têm maior probabilidade de explorar as janelas de oportunidade de forma eficaz.</w:t>
            </w:r>
          </w:p>
        </w:tc>
        <w:tc>
          <w:tcPr>
            <w:tcW w:type="dxa" w:w="2609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993C1D"/>
                <w:sz w:val="18"/>
                <w:szCs w:val="18"/>
              </w:rPr>
              <w:t xml:space="preserve">DOS — variável discursiva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color w:val="712B13"/>
                <w:sz w:val="19"/>
                <w:szCs w:val="19"/>
              </w:rPr>
              <w:t xml:space="preserve">Atores com maior capacidade de identificar a DOS vigente e construir frames alinhados a ela têm maior probabilidade de mobilizar públicos mais amplos e conquistar legitimidade.</w:t>
            </w:r>
          </w:p>
        </w:tc>
        <w:tc>
          <w:tcPr>
            <w:tcW w:type="dxa" w:w="2609"/>
            <w:tcBorders>
              <w:top w:val="nil"/>
              <w:left w:val="single" w:color="CCCCCC" w:sz="1"/>
              <w:bottom w:val="nil"/>
              <w:right w:val="nil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534AB7"/>
                <w:sz w:val="18"/>
                <w:szCs w:val="18"/>
              </w:rPr>
              <w:t xml:space="preserve">Análise de conjuntura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color w:val="3C3489"/>
                <w:sz w:val="19"/>
                <w:szCs w:val="19"/>
              </w:rPr>
              <w:t xml:space="preserve">A capacidade de leitura conjuntural — integrada à identificação de EOP e DOS — é uma variável independente que explica diferenças de resultado entre atores na mesma conjuntura.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Variável independente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Qualidade da análise de conjuntura produzida pelos atores (precisão, integração de EOP e DOS, timing)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Variável dependente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Eficácia estratégica — capacidade de explorar oportunidades e produzir resultados favoráveis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Operacionalização / indicadores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Comparação retrospectiva das leituras conjunturais produzidas pelos campos; timing das decisões estratégicas; avaliação dos erros de leitura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Evidência empírica âncora (Costa, 2024)</w:t>
            </w:r>
          </w:p>
          <w:p>
            <w:pPr>
              <w:spacing w:after="40" w:line="280"/>
              <w:jc w:val="both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Fora Dilma: MBL e Vem Pra Rua leram corretamente a EOP+DOS → estratégia eficaz. Esquerda: leitura tardia e defensiva → reação inadequada.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888780"/>
                <w:sz w:val="18"/>
                <w:szCs w:val="18"/>
              </w:rPr>
              <w:t xml:space="preserve">Referências: Jatobá (2025); Vandenberghe (2025); Costa (2024)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H3.3  </w:t>
            </w:r>
            <w:r>
              <w:rPr>
                <w:rFonts w:ascii="Times New Roman" w:cs="Times New Roman" w:eastAsia="Times New Roman" w:hAnsi="Times New Roman"/>
                <w:color w:val="DDDDDD"/>
                <w:sz w:val="20"/>
                <w:szCs w:val="20"/>
              </w:rPr>
              <w:t xml:space="preserve">Família H3 — Integração analítica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Conjunturas críticas como abertura simultânea de EOP e DOS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8"/>
        <w:gridCol w:w="2609"/>
        <w:gridCol w:w="2609"/>
      </w:tblGrid>
      <w:tr>
        <w:tc>
          <w:tcPr>
            <w:tcW w:type="dxa" w:w="2608"/>
            <w:tcBorders>
              <w:top w:val="nil"/>
              <w:left w:val="nil"/>
              <w:bottom w:val="nil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6E56"/>
                <w:sz w:val="18"/>
                <w:szCs w:val="18"/>
              </w:rPr>
              <w:t xml:space="preserve">EOP — variável estrutural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color w:val="085041"/>
                <w:sz w:val="19"/>
                <w:szCs w:val="19"/>
              </w:rPr>
              <w:t xml:space="preserve">Conjunturas críticas são definidas pela redução simultânea dos constrangimentos institucionais (EOP) e pela abertura das estruturas discursivas (DOS) — ambas são constitutivas do fenômeno.</w:t>
            </w:r>
          </w:p>
        </w:tc>
        <w:tc>
          <w:tcPr>
            <w:tcW w:type="dxa" w:w="2609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993C1D"/>
                <w:sz w:val="18"/>
                <w:szCs w:val="18"/>
              </w:rPr>
              <w:t xml:space="preserve">DOS — variável discursiva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color w:val="712B13"/>
                <w:sz w:val="19"/>
                <w:szCs w:val="19"/>
              </w:rPr>
              <w:t xml:space="preserve">Em conjunturas críticas, a DOS se torna mais fluida: frames antes marginalizados ganham legitimidade, a hegemonia discursiva prévia se fragmenta e novos enquadramentos tornam-se disponíveis.</w:t>
            </w:r>
          </w:p>
        </w:tc>
        <w:tc>
          <w:tcPr>
            <w:tcW w:type="dxa" w:w="2609"/>
            <w:tcBorders>
              <w:top w:val="nil"/>
              <w:left w:val="single" w:color="CCCCCC" w:sz="1"/>
              <w:bottom w:val="nil"/>
              <w:right w:val="nil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534AB7"/>
                <w:sz w:val="18"/>
                <w:szCs w:val="18"/>
              </w:rPr>
              <w:t xml:space="preserve">Análise de conjuntura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color w:val="3C3489"/>
                <w:sz w:val="19"/>
                <w:szCs w:val="19"/>
              </w:rPr>
              <w:t xml:space="preserve">O diagnóstico analítico de uma conjuntura crítica exige a identificação simultânea de indicadores de EOP aberta e DOS fluída — a identificação de apenas uma dimensão produz diagnósticos incompletos.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Variável independente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Presença simultânea de abertura de EOP e fluidez de DOS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Variável dependente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Intensidade e caráter da conjuntura crítica (momentous juncture vs. conjuntura ordinária)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Operacionalização / indicadores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Combinação de indicadores de EOP (vulnerabilidade, fissuras de elite) e DOS (fragmentação do discurso dominante, proliferação de frames novos, inversão de narrativas midiáticas)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Evidência empírica âncora (Costa, 2024)</w:t>
            </w:r>
          </w:p>
          <w:p>
            <w:pPr>
              <w:spacing w:after="40" w:line="280"/>
              <w:jc w:val="both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13 de junho de 2013: repressão policial abre EOP (custo de protestar cai) e DOS (inversão da narrativa midiática) simultaneamente — modelo do evento-catalisador bifuncional.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888780"/>
                <w:sz w:val="18"/>
                <w:szCs w:val="18"/>
              </w:rPr>
              <w:t xml:space="preserve">Referências: Della Porta (2018, 2022); Mariano, Ferreira e Neves (2023); Dobry (1986)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H3.4  </w:t>
            </w:r>
            <w:r>
              <w:rPr>
                <w:rFonts w:ascii="Times New Roman" w:cs="Times New Roman" w:eastAsia="Times New Roman" w:hAnsi="Times New Roman"/>
                <w:color w:val="DDDDDD"/>
                <w:sz w:val="20"/>
                <w:szCs w:val="20"/>
              </w:rPr>
              <w:t xml:space="preserve">Família H3 — Integração analítica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Assimetria DOS e polarização como legado do ciclo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8"/>
        <w:gridCol w:w="2609"/>
        <w:gridCol w:w="2609"/>
      </w:tblGrid>
      <w:tr>
        <w:tc>
          <w:tcPr>
            <w:tcW w:type="dxa" w:w="2608"/>
            <w:tcBorders>
              <w:top w:val="nil"/>
              <w:left w:val="nil"/>
              <w:bottom w:val="nil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6E56"/>
                <w:sz w:val="18"/>
                <w:szCs w:val="18"/>
              </w:rPr>
              <w:t xml:space="preserve">EOP — variável estrutural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color w:val="085041"/>
                <w:sz w:val="19"/>
                <w:szCs w:val="19"/>
              </w:rPr>
              <w:t xml:space="preserve">Ciclos em que a DOS favorece sistematicamente um campo tendem a produzir configurações de EOP mais desfavoráveis ao campo discursivamente fragilizado nos ciclos subsequentes.</w:t>
            </w:r>
          </w:p>
        </w:tc>
        <w:tc>
          <w:tcPr>
            <w:tcW w:type="dxa" w:w="2609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993C1D"/>
                <w:sz w:val="18"/>
                <w:szCs w:val="18"/>
              </w:rPr>
              <w:t xml:space="preserve">DOS — variável discursiva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color w:val="712B13"/>
                <w:sz w:val="19"/>
                <w:szCs w:val="19"/>
              </w:rPr>
              <w:t xml:space="preserve">A assimetria discursiva produzida por um ciclo constitui um legado que configura a DOS do próximo ciclo, independentemente das condições de EOP.</w:t>
            </w:r>
          </w:p>
        </w:tc>
        <w:tc>
          <w:tcPr>
            <w:tcW w:type="dxa" w:w="2609"/>
            <w:tcBorders>
              <w:top w:val="nil"/>
              <w:left w:val="single" w:color="CCCCCC" w:sz="1"/>
              <w:bottom w:val="nil"/>
              <w:right w:val="nil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534AB7"/>
                <w:sz w:val="18"/>
                <w:szCs w:val="18"/>
              </w:rPr>
              <w:t xml:space="preserve">Análise de conjuntura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color w:val="3C3489"/>
                <w:sz w:val="19"/>
                <w:szCs w:val="19"/>
              </w:rPr>
              <w:t xml:space="preserve">A análise de conjuntura deve avaliar os legados discursivos dos ciclos anteriores como parte do diagnóstico das oportunidades disponíveis no presente.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Variável independente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Grau de assimetria discursiva produzida pelo ciclo (qual campo teve sua DOS hegemonizada)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Variável dependente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Configuração da DOS do ciclo subsequente; frames disponíveis e frames proscritos no próximo ciclo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Operacionalização / indicadores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Análise longitudinal dos enquadramentos midiáticos antes e depois dos ciclos; mapeamento dos frames legitimados ou deslegitimados pelo ciclo anterior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Evidência empírica âncora (Costa, 2024)</w:t>
            </w:r>
          </w:p>
          <w:p>
            <w:pPr>
              <w:spacing w:after="40" w:line="280"/>
              <w:jc w:val="both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Junho de 2013 → legado discursivo conservador → DOS do ciclo do impeachment já pré-construída: frames antipetistas legitimados, frames de defesa da democracia deslegitimados.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888780"/>
                <w:sz w:val="18"/>
                <w:szCs w:val="18"/>
              </w:rPr>
              <w:t xml:space="preserve">Referências: Costa (2024); Gohn (2018); Alonso (2017)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H3.5  </w:t>
            </w:r>
            <w:r>
              <w:rPr>
                <w:rFonts w:ascii="Times New Roman" w:cs="Times New Roman" w:eastAsia="Times New Roman" w:hAnsi="Times New Roman"/>
                <w:color w:val="DDDDDD"/>
                <w:sz w:val="20"/>
                <w:szCs w:val="20"/>
              </w:rPr>
              <w:t xml:space="preserve">Família H3 — Integração analítica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Legados institucionais e discursivos como condicionantes do próximo ciclo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8"/>
        <w:gridCol w:w="2609"/>
        <w:gridCol w:w="2609"/>
      </w:tblGrid>
      <w:tr>
        <w:tc>
          <w:tcPr>
            <w:tcW w:type="dxa" w:w="2608"/>
            <w:tcBorders>
              <w:top w:val="nil"/>
              <w:left w:val="nil"/>
              <w:bottom w:val="nil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6E56"/>
                <w:sz w:val="18"/>
                <w:szCs w:val="18"/>
              </w:rPr>
              <w:t xml:space="preserve">EOP — variável estrutural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color w:val="085041"/>
                <w:sz w:val="19"/>
                <w:szCs w:val="19"/>
              </w:rPr>
              <w:t xml:space="preserve">O refluxo de um ciclo de protesto produz legados institucionais (reformas ou fechamentos de canais de acesso, nova configuração de elites) que configuram a EOP do ciclo subsequente.</w:t>
            </w:r>
          </w:p>
        </w:tc>
        <w:tc>
          <w:tcPr>
            <w:tcW w:type="dxa" w:w="2609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993C1D"/>
                <w:sz w:val="18"/>
                <w:szCs w:val="18"/>
              </w:rPr>
              <w:t xml:space="preserve">DOS — variável discursiva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color w:val="712B13"/>
                <w:sz w:val="19"/>
                <w:szCs w:val="19"/>
              </w:rPr>
              <w:t xml:space="preserve">O refluxo produz simultaneamente legados discursivos (frames legitimados ou proscritos, novos atores reconhecidos como interlocutores legítimos) que configuram a DOS do ciclo subsequente.</w:t>
            </w:r>
          </w:p>
        </w:tc>
        <w:tc>
          <w:tcPr>
            <w:tcW w:type="dxa" w:w="2609"/>
            <w:tcBorders>
              <w:top w:val="nil"/>
              <w:left w:val="single" w:color="CCCCCC" w:sz="1"/>
              <w:bottom w:val="nil"/>
              <w:right w:val="nil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534AB7"/>
                <w:sz w:val="18"/>
                <w:szCs w:val="18"/>
              </w:rPr>
              <w:t xml:space="preserve">Análise de conjuntura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color w:val="3C3489"/>
                <w:sz w:val="19"/>
                <w:szCs w:val="19"/>
              </w:rPr>
              <w:t xml:space="preserve">A análise de conjuntura de qualquer momento presente deve incorporar a reconstrução dos legados institucionais e discursivos dos ciclos anteriores como parte do diagnóstico estrutural.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Variável independente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Natureza dos legados institucionais e discursivos produzidos pelo ciclo anterior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Variável dependente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Configuração de EOP e DOS no ciclo subsequente; possibilidades de ação coletiva disponíveis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Operacionalização / indicadores</w:t>
            </w:r>
          </w:p>
          <w:p>
            <w:pPr>
              <w:spacing w:after="0" w:line="280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Análise das reformas institucionais produzidas (ou não) pelo ciclo; mapeamento dos frames legitimados e proscritos; identificação dos novos atores reconhecidos como interlocutores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5F5E5A"/>
                <w:sz w:val="18"/>
                <w:szCs w:val="18"/>
              </w:rPr>
              <w:t xml:space="preserve">Evidência empírica âncora (Costa, 2024)</w:t>
            </w:r>
          </w:p>
          <w:p>
            <w:pPr>
              <w:spacing w:after="40" w:line="280"/>
              <w:jc w:val="both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Ciclo 2013 → legado: frames conservadores legitimados + ausência de reforma política → EOP e DOS de 2015-2016 já pré-moldadas pelo refluxo de junho.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888780"/>
                <w:sz w:val="18"/>
                <w:szCs w:val="18"/>
              </w:rPr>
              <w:t xml:space="preserve">Referências: Jatobá (2025); Vandenberghe (2025); Della Porta (2018); Costa (2024)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60" w:line="340"/>
        <w:jc w:val="both"/>
        <w:rPr>
          <w:i/>
          <w:iCs/>
          <w:sz w:val="20"/>
          <w:szCs w:val="20"/>
        </w:rPr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Nota: As hipóteses apresentadas são proposições analítico-dedutivas derivadas do quadro teórico do artigo. Sua testabilidade empírica exige pesquisa primária com coleta de dados sobre os ciclos de protesto analisados e sobre outros casos de mobilização multisetorial em democracias presidencialistas. Os indicadores de operacionalização listados são propostas preliminares sujeitas a refinamento metodológico.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2026-05-25T21:18:02.798Z</dcterms:created>
  <dcterms:modified xsi:type="dcterms:W3CDTF">2026-05-25T21:18:02.817Z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