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color w:val="1F4E79"/>
          <w:sz w:val="34"/>
          <w:szCs w:val="34"/>
        </w:rPr>
        <w:t xml:space="preserve">CICLOS DE PROTESTO NO BRASIL, 1983–2016</w:t>
      </w:r>
    </w:p>
    <w:p>
      <w:pPr>
        <w:spacing w:after="120"/>
        <w:jc w:val="center"/>
      </w:pPr>
      <w:r>
        <w:rPr>
          <w:rFonts w:ascii="Times New Roman" w:cs="Times New Roman" w:eastAsia="Times New Roman" w:hAnsi="Times New Roman"/>
          <w:color w:val="2E75B6"/>
          <w:sz w:val="28"/>
          <w:szCs w:val="28"/>
        </w:rPr>
        <w:t xml:space="preserve">Nota Teórico-Metodológica Consolidada</w:t>
      </w:r>
    </w:p>
    <w:p>
      <w:pPr>
        <w:spacing w:after="600"/>
        <w:jc w:val="center"/>
      </w:pPr>
      <w:r>
        <w:rPr>
          <w:rFonts w:ascii="Times New Roman" w:cs="Times New Roman" w:eastAsia="Times New Roman" w:hAnsi="Times New Roman"/>
          <w:i/>
          <w:iCs/>
          <w:color w:val="444444"/>
          <w:sz w:val="24"/>
          <w:szCs w:val="24"/>
        </w:rPr>
        <w:t xml:space="preserve">Periodização, esquema de codificação do dataset cycle_phases
e estratégia de inferência causal</w:t>
      </w:r>
    </w:p>
    <w:p>
      <w:pPr>
        <w:spacing w:after="100"/>
        <w:jc w:val="center"/>
      </w:pPr>
      <w:r>
        <w:rPr>
          <w:rFonts w:ascii="Times New Roman" w:cs="Times New Roman" w:eastAsia="Times New Roman" w:hAnsi="Times New Roman"/>
          <w:sz w:val="22"/>
          <w:szCs w:val="22"/>
        </w:rPr>
        <w:t xml:space="preserve">Versão 2.0 — revisada</w:t>
      </w:r>
    </w:p>
    <w:p>
      <w:pPr>
        <w:spacing w:after="1000"/>
        <w:jc w:val="center"/>
      </w:pPr>
      <w:r>
        <w:rPr>
          <w:rFonts w:ascii="Times New Roman" w:cs="Times New Roman" w:eastAsia="Times New Roman" w:hAnsi="Times New Roman"/>
          <w:color w:val="888888"/>
          <w:sz w:val="20"/>
          <w:szCs w:val="20"/>
        </w:rPr>
        <w:t xml:space="preserve">Documento de trabalho — julho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33D" w:sz="2"/>
              <w:left w:val="single" w:color="E8A33D" w:sz="18"/>
              <w:bottom w:val="single" w:color="E8A33D" w:sz="2"/>
              <w:right w:val="single" w:color="E8A33D" w:sz="2"/>
            </w:tcBorders>
            <w:shd w:fill="FFF4E5" w:val="clear"/>
            <w:tcMar>
              <w:top w:type="dxa" w:w="140"/>
              <w:left w:type="dxa" w:w="200"/>
              <w:bottom w:type="dxa" w:w="140"/>
              <w:right w:type="dxa" w:w="160"/>
            </w:tcMar>
          </w:tcPr>
          <w:p>
            <w:pPr>
              <w:jc w:val="both"/>
            </w:pPr>
            <w:r>
              <w:rPr>
                <w:rFonts w:ascii="Times New Roman" w:cs="Times New Roman" w:eastAsia="Times New Roman" w:hAnsi="Times New Roman"/>
                <w:sz w:val="22"/>
                <w:szCs w:val="22"/>
              </w:rPr>
              <w:t xml:space="preserve">Advertência epistêmica. Todos os scores apresentados neste documento constituem hipóteses analíticas preliminares, não medidas validadas. Foram atribuídos com base em literatura secundária especializada e estão sujeitos a revisão à luz da codificação sistemática de eventos de protesto via Acervo Folha de S.Paulo. Datas assinaladas com [v] requerem verificação em fonte primária. Este documento não deve ser citado como fonte de dados empíricos validados.</w:t>
            </w:r>
          </w:p>
        </w:tc>
      </w:tr>
    </w:tbl>
    <w:p>
      <w:r>
        <w:br w:type="page"/>
      </w:r>
    </w:p>
    <w:p>
      <w:pPr>
        <w:pStyle w:val="Heading1"/>
      </w:pPr>
      <w:r>
        <w:rPr>
          <w:rFonts w:ascii="Times New Roman" w:cs="Times New Roman" w:eastAsia="Times New Roman" w:hAnsi="Times New Roman"/>
          <w:b/>
          <w:bCs/>
        </w:rPr>
        <w:t xml:space="preserve">1. Objeto e escopo desta nota</w:t>
      </w:r>
    </w:p>
    <w:p>
      <w:pPr>
        <w:spacing w:after="160" w:line="300"/>
        <w:jc w:val="both"/>
      </w:pPr>
      <w:r>
        <w:rPr>
          <w:rFonts w:ascii="Times New Roman" w:cs="Times New Roman" w:eastAsia="Times New Roman" w:hAnsi="Times New Roman"/>
          <w:sz w:val="24"/>
          <w:szCs w:val="24"/>
        </w:rPr>
        <w:t xml:space="preserve">Este documento consolida três operações metodológicas realizadas sobre o projeto Ciclos de Protesto no Brasil: (i) a revisão crítica da periodização provisória dos quatro ciclos; (ii) a formalização revisada do esquema de codificação do dataset cycle_phases, incluindo a introdução de uma nova variável e de um código de dado ausente; e (iii) a explicitação da estratégia de inferência causal que articula comparação cross-case e process tracing intra-caso.</w:t>
      </w:r>
    </w:p>
    <w:p>
      <w:pPr>
        <w:spacing w:after="160" w:line="300"/>
        <w:jc w:val="both"/>
      </w:pPr>
      <w:r>
        <w:rPr>
          <w:rFonts w:ascii="Times New Roman" w:cs="Times New Roman" w:eastAsia="Times New Roman" w:hAnsi="Times New Roman"/>
          <w:sz w:val="24"/>
          <w:szCs w:val="24"/>
        </w:rPr>
        <w:t xml:space="preserve">A revisão da periodização não foi um ajuste cosmético. Ela identificou dois problemas de validade que contaminavam o esquema anterior de scores: um viés geográfico na definição da fase de emergência de Junho de 2013 e um viés teleológico na definição da fase de pico do ciclo do Impeachment. Ambos foram corrigidos, e as correções propagaram-se para os scores. As alterações estão sinalizadas graficamente nas matrizes da Seção 5.</w:t>
      </w:r>
    </w:p>
    <w:p>
      <w:pPr>
        <w:spacing w:after="160" w:line="300"/>
        <w:jc w:val="both"/>
      </w:pPr>
      <w:r>
        <w:rPr>
          <w:rFonts w:ascii="Times New Roman" w:cs="Times New Roman" w:eastAsia="Times New Roman" w:hAnsi="Times New Roman"/>
          <w:sz w:val="24"/>
          <w:szCs w:val="24"/>
        </w:rPr>
        <w:t xml:space="preserve">O arcabouço teórico permanece a Teoria do Processo Político na formulação de McAdam, Tarrow e Tilly (2001), articulada ao conceito de Estruturas de Oportunidade Discursiva de Koopmans e Statham (1999). A ambição de contribuição original do projeto — a articulação entre a TPP e a tradição brasileira de análise de conjuntura — encontra na Seção 7 sua formulação metodológica.</w:t>
      </w:r>
    </w:p>
    <w:p>
      <w:pPr>
        <w:pStyle w:val="Heading1"/>
      </w:pPr>
      <w:r>
        <w:rPr>
          <w:rFonts w:ascii="Times New Roman" w:cs="Times New Roman" w:eastAsia="Times New Roman" w:hAnsi="Times New Roman"/>
          <w:b/>
          <w:bCs/>
        </w:rPr>
        <w:t xml:space="preserve">2. Uma decisão de desenho ainda em aberto: quatro ciclos ou três?</w:t>
      </w:r>
    </w:p>
    <w:p>
      <w:pPr>
        <w:spacing w:after="160" w:line="300"/>
        <w:jc w:val="both"/>
      </w:pPr>
      <w:r>
        <w:rPr>
          <w:rFonts w:ascii="Times New Roman" w:cs="Times New Roman" w:eastAsia="Times New Roman" w:hAnsi="Times New Roman"/>
          <w:sz w:val="24"/>
          <w:szCs w:val="24"/>
        </w:rPr>
        <w:t xml:space="preserve">Antes de apresentar a periodização revisada, é necessário explicitar uma escolha de desenho que a literatura problematiza e que este documento adota sem tê-la ainda resolvido definitivamente.</w:t>
      </w:r>
    </w:p>
    <w:p>
      <w:pPr>
        <w:spacing w:after="160" w:line="300"/>
        <w:jc w:val="both"/>
      </w:pPr>
      <w:r>
        <w:rPr>
          <w:rFonts w:ascii="Times New Roman" w:cs="Times New Roman" w:eastAsia="Times New Roman" w:hAnsi="Times New Roman"/>
          <w:sz w:val="24"/>
          <w:szCs w:val="24"/>
        </w:rPr>
        <w:t xml:space="preserve">Uma parte substantiva da produção acadêmica sobre o período não trata Junho de 2013 e as mobilizações pró-impeachment como dois ciclos distintos, mas como fases de um único ciclo longo, ou como uma conjuntura crítica prolongada. Fernandes e coautores (2020) descrevem uma “longa conjuntura crítica” brasileira iniciada em 2013 e estendida através da eleição de 2014, da Operação Lava Jato e do impeachment. Razovich (2019) analisa explicitamente o ciclo de protesto aberto em junho de 2013 e encerrado com a consumação do impeachment em 2016. Evangelista (2023) examina a polarização severa como característica de um ciclo único iniciado em 2013, comparando o Movimento Passe Livre e o Movimento Brasil Livre como atores do mesmo processo. Scartezini (2016) sustenta que a parcela despolitizada e apartidária dos manifestantes de 2013 foi decisiva para compor as manifestações de 2015.</w:t>
      </w:r>
    </w:p>
    <w:p>
      <w:pPr>
        <w:pStyle w:val="Heading2"/>
      </w:pPr>
      <w:r>
        <w:rPr>
          <w:rFonts w:ascii="Times New Roman" w:cs="Times New Roman" w:eastAsia="Times New Roman" w:hAnsi="Times New Roman"/>
          <w:b/>
          <w:bCs/>
        </w:rPr>
        <w:t xml:space="preserve">2.1 O que está em jogo</w:t>
      </w:r>
    </w:p>
    <w:p>
      <w:pPr>
        <w:spacing w:after="160" w:line="300"/>
        <w:jc w:val="both"/>
      </w:pPr>
      <w:r>
        <w:rPr>
          <w:rFonts w:ascii="Times New Roman" w:cs="Times New Roman" w:eastAsia="Times New Roman" w:hAnsi="Times New Roman"/>
          <w:sz w:val="24"/>
          <w:szCs w:val="24"/>
        </w:rPr>
        <w:t xml:space="preserve">Se 2013–2016 constituir um único ciclo, então Junho de 2013 é sua fase de emergência e o Impeachment é seu desfecho. O achado de que ambos terminam com legitimidade narrativa contestada deixa de ser uma convergência entre dois casos independentes e passa a ser uma propriedade de um mesmo processo — o que enfraquece consideravelmente sua força inferencial. Além disso, o N cai de quatro para três, com consequências severas para a comparação sistemática.</w:t>
      </w:r>
    </w:p>
    <w:p>
      <w:pPr>
        <w:spacing w:after="160" w:line="300"/>
        <w:jc w:val="both"/>
      </w:pPr>
      <w:r>
        <w:rPr>
          <w:rFonts w:ascii="Times New Roman" w:cs="Times New Roman" w:eastAsia="Times New Roman" w:hAnsi="Times New Roman"/>
          <w:sz w:val="24"/>
          <w:szCs w:val="24"/>
        </w:rPr>
        <w:t xml:space="preserve">Por outro lado, o tratamento como dois ciclos distintos é defensável e encontra sustentação em três critérios substantivos: os atores organizadores centrais são distintos e mutuamente antagônicos (MPL versus MBL e Vem Pra Rua); as demandas são incomensuráveis (tarifa de transporte e serviços públicos versus impedimento presidencial); e há uma descontinuidade empírica de mobilização de rua entre setembro de 2013 e março de 2015.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33D" w:sz="2"/>
              <w:left w:val="single" w:color="E8A33D" w:sz="18"/>
              <w:bottom w:val="single" w:color="E8A33D" w:sz="2"/>
              <w:right w:val="single" w:color="E8A33D" w:sz="2"/>
            </w:tcBorders>
            <w:shd w:fill="E8F0FE" w:val="clear"/>
            <w:tcMar>
              <w:top w:type="dxa" w:w="140"/>
              <w:left w:type="dxa" w:w="200"/>
              <w:bottom w:type="dxa" w:w="140"/>
              <w:right w:type="dxa" w:w="160"/>
            </w:tcMar>
          </w:tcPr>
          <w:p>
            <w:pPr>
              <w:jc w:val="both"/>
            </w:pPr>
            <w:r>
              <w:rPr>
                <w:rFonts w:ascii="Times New Roman" w:cs="Times New Roman" w:eastAsia="Times New Roman" w:hAnsi="Times New Roman"/>
                <w:sz w:val="22"/>
                <w:szCs w:val="22"/>
              </w:rPr>
              <w:t xml:space="preserve">Decisão adotada nesta versão. Mantém-se a arquitetura de quatro ciclos, com o entendimento explícito de que se trata de uma escolha de desenho argumentada, não de um dado da realidade. A hipótese rival do ciclo único deve ser tratada como especificação alternativa e testada empiricamente: se houver continuidade de repertórios, de organizadores ou de participantes entre 2013 e 2015, a especificação de quatro ciclos perde sustentação. O banco protest_events permitirá esse teste diretamente.</w:t>
            </w:r>
          </w:p>
        </w:tc>
      </w:tr>
    </w:tbl>
    <w:p>
      <w:r>
        <w:br w:type="page"/>
      </w:r>
    </w:p>
    <w:p>
      <w:pPr>
        <w:pStyle w:val="Heading1"/>
      </w:pPr>
      <w:r>
        <w:rPr>
          <w:rFonts w:ascii="Times New Roman" w:cs="Times New Roman" w:eastAsia="Times New Roman" w:hAnsi="Times New Roman"/>
          <w:b/>
          <w:bCs/>
        </w:rPr>
        <w:t xml:space="preserve">3. Revisão da periodização</w:t>
      </w:r>
    </w:p>
    <w:p>
      <w:pPr>
        <w:pStyle w:val="Heading2"/>
      </w:pPr>
      <w:r>
        <w:rPr>
          <w:rFonts w:ascii="Times New Roman" w:cs="Times New Roman" w:eastAsia="Times New Roman" w:hAnsi="Times New Roman"/>
          <w:b/>
          <w:bCs/>
        </w:rPr>
        <w:t xml:space="preserve">3.1 Junho de 2013</w:t>
      </w:r>
    </w:p>
    <w:p>
      <w:pPr>
        <w:pStyle w:val="Heading3"/>
      </w:pPr>
      <w:r>
        <w:rPr>
          <w:rFonts w:ascii="Times New Roman" w:cs="Times New Roman" w:eastAsia="Times New Roman" w:hAnsi="Times New Roman"/>
          <w:b/>
          <w:bCs/>
          <w:i/>
          <w:iCs/>
        </w:rPr>
        <w:t xml:space="preserve">3.1.1 Viés geográfico na fase de emergência</w:t>
      </w:r>
    </w:p>
    <w:p>
      <w:pPr>
        <w:spacing w:after="160" w:line="300"/>
        <w:jc w:val="both"/>
      </w:pPr>
      <w:r>
        <w:rPr>
          <w:rFonts w:ascii="Times New Roman" w:cs="Times New Roman" w:eastAsia="Times New Roman" w:hAnsi="Times New Roman"/>
          <w:sz w:val="24"/>
          <w:szCs w:val="24"/>
        </w:rPr>
        <w:t xml:space="preserve">A periodização anterior fazia a emergência do ciclo iniciar em 6 de junho de 2013, data do primeiro grande ato do Movimento Passe Livre em São Paulo. Essa decisão embute o pressuposto de que o ciclo nasce em São Paulo. Contudo, o repertório de contestação tarifária já havia sido acionado — e já havia obtido reversões de tarifa — em outras capitais nos meses anteriores, notadamente em Porto Alegre, Goiânia e Natal.</w:t>
      </w:r>
    </w:p>
    <w:p>
      <w:pPr>
        <w:spacing w:after="160" w:line="300"/>
        <w:jc w:val="both"/>
      </w:pPr>
      <w:r>
        <w:rPr>
          <w:rFonts w:ascii="Times New Roman" w:cs="Times New Roman" w:eastAsia="Times New Roman" w:hAnsi="Times New Roman"/>
          <w:sz w:val="24"/>
          <w:szCs w:val="24"/>
        </w:rPr>
        <w:t xml:space="preserve">A implicação para a codificação é direta e não trivial. Se o sistema político já havia cedido à demanda tarifária em outras unidades federativas antes de 6 de junho, então a variável op_abertura_institucional na fase de emergência não pode ser lida como indiferença sistêmica: havia precedente demonstrado de permeabilidade. O que ocorre em São Paulo é uma recusa específica, não uma regra geral.</w:t>
      </w:r>
    </w:p>
    <w:p>
      <w:pPr>
        <w:spacing w:after="160" w:line="300"/>
        <w:jc w:val="both"/>
      </w:pPr>
      <w:r>
        <w:rPr>
          <w:rFonts w:ascii="Times New Roman" w:cs="Times New Roman" w:eastAsia="Times New Roman" w:hAnsi="Times New Roman"/>
          <w:b/>
          <w:bCs/>
          <w:sz w:val="24"/>
          <w:szCs w:val="24"/>
        </w:rPr>
        <w:t xml:space="preserve">Correção adotada: </w:t>
      </w:r>
      <w:r>
        <w:rPr>
          <w:rFonts w:ascii="Times New Roman" w:cs="Times New Roman" w:eastAsia="Times New Roman" w:hAnsi="Times New Roman"/>
          <w:sz w:val="24"/>
          <w:szCs w:val="24"/>
        </w:rPr>
        <w:t xml:space="preserve">a fase de emergência é estendida retroativamente para o intervalo 2013-03-01 a 2013-06-12, com registro no campo coding_notes de que o marco inicial refere-se às ondas prévias em capitais fora do eixo Rio–São Paulo. As datas exatas dessas mobilizações precedentes não foram confirmadas em fonte primária e estão sinalizadas com flag_verificacao no dataset.</w:t>
      </w:r>
    </w:p>
    <w:p>
      <w:pPr>
        <w:pStyle w:val="Heading3"/>
      </w:pPr>
      <w:r>
        <w:rPr>
          <w:rFonts w:ascii="Times New Roman" w:cs="Times New Roman" w:eastAsia="Times New Roman" w:hAnsi="Times New Roman"/>
          <w:b/>
          <w:bCs/>
          <w:i/>
          <w:iCs/>
        </w:rPr>
        <w:t xml:space="preserve">3.1.2 O corte entre expansão e pico está deslocado</w:t>
      </w:r>
    </w:p>
    <w:p>
      <w:pPr>
        <w:spacing w:after="160" w:line="300"/>
        <w:jc w:val="both"/>
      </w:pPr>
      <w:r>
        <w:rPr>
          <w:rFonts w:ascii="Times New Roman" w:cs="Times New Roman" w:eastAsia="Times New Roman" w:hAnsi="Times New Roman"/>
          <w:sz w:val="24"/>
          <w:szCs w:val="24"/>
        </w:rPr>
        <w:t xml:space="preserve">Alonso e Mische (2017) argumentam que Junho de 2013 não foi um movimento único, mas um ciclo de protesto composto por atores, questões e formas de manifestação heterogêneos, no qual os participantes construíram performances híbridas a partir de três repertórios de confronto — socialista, autonomista e patriótico — e no qual se manifestou uma forte rejeição aos partidos políticos.</w:t>
      </w:r>
    </w:p>
    <w:p>
      <w:pPr>
        <w:spacing w:after="160" w:line="300"/>
        <w:jc w:val="both"/>
      </w:pPr>
      <w:r>
        <w:rPr>
          <w:rFonts w:ascii="Times New Roman" w:cs="Times New Roman" w:eastAsia="Times New Roman" w:hAnsi="Times New Roman"/>
          <w:sz w:val="24"/>
          <w:szCs w:val="24"/>
        </w:rPr>
        <w:t xml:space="preserve">A transição de composição, do predomínio dos repertórios socialista e autonomista para o predomínio do repertório patriótico e anti-partidário, é o evento causal central do ciclo. Ela não coincide com o dia 18 de junho, marco anterior do início do pico. Ela coincide com a revogação tarifária, anunciada em São Paulo e no Rio de Janeiro em 19 de junho.</w:t>
      </w:r>
    </w:p>
    <w:p>
      <w:pPr>
        <w:spacing w:after="160" w:line="300"/>
        <w:jc w:val="both"/>
      </w:pPr>
      <w:r>
        <w:rPr>
          <w:rFonts w:ascii="Times New Roman" w:cs="Times New Roman" w:eastAsia="Times New Roman" w:hAnsi="Times New Roman"/>
          <w:sz w:val="24"/>
          <w:szCs w:val="24"/>
        </w:rPr>
        <w:t xml:space="preserve">A sequência é a seguinte: a demanda original é atendida; a coalizão original, que se constituíra em torno dessa demanda, perde sua razão de coesão; o ciclo pluraliza-se e ganha massa precisamente ao perder foco. O corte de fase deve registrar essa inflexão.</w:t>
      </w:r>
    </w:p>
    <w:p>
      <w:pPr>
        <w:spacing w:after="160" w:line="300"/>
        <w:jc w:val="both"/>
      </w:pPr>
      <w:r>
        <w:rPr>
          <w:rFonts w:ascii="Times New Roman" w:cs="Times New Roman" w:eastAsia="Times New Roman" w:hAnsi="Times New Roman"/>
          <w:b/>
          <w:bCs/>
          <w:sz w:val="24"/>
          <w:szCs w:val="24"/>
        </w:rPr>
        <w:t xml:space="preserve">Correção adotada: </w:t>
      </w:r>
      <w:r>
        <w:rPr>
          <w:rFonts w:ascii="Times New Roman" w:cs="Times New Roman" w:eastAsia="Times New Roman" w:hAnsi="Times New Roman"/>
          <w:sz w:val="24"/>
          <w:szCs w:val="24"/>
        </w:rPr>
        <w:t xml:space="preserve">expansão passa a compreender 2013-06-13 a 2013-06-19 (repressão, inversão do enquadramento midiático, vitória tarifária); pico passa a compreender 2013-06-20 a 2013-06-30 (composição alterada, repertório patriótico, hostilidade a bandeiras partidárias).</w:t>
      </w:r>
    </w:p>
    <w:p>
      <w:pPr>
        <w:pStyle w:val="Heading3"/>
      </w:pPr>
      <w:r>
        <w:rPr>
          <w:rFonts w:ascii="Times New Roman" w:cs="Times New Roman" w:eastAsia="Times New Roman" w:hAnsi="Times New Roman"/>
          <w:b/>
          <w:bCs/>
          <w:i/>
          <w:iCs/>
        </w:rPr>
        <w:t xml:space="preserve">3.1.3 A fase de desfecho não existe empiricamente</w:t>
      </w:r>
    </w:p>
    <w:p>
      <w:pPr>
        <w:spacing w:after="160" w:line="300"/>
        <w:jc w:val="both"/>
      </w:pPr>
      <w:r>
        <w:rPr>
          <w:rFonts w:ascii="Times New Roman" w:cs="Times New Roman" w:eastAsia="Times New Roman" w:hAnsi="Times New Roman"/>
          <w:sz w:val="24"/>
          <w:szCs w:val="24"/>
        </w:rPr>
        <w:t xml:space="preserve">O intervalo anteriormente designado como desfecho (2013-09-01 a 2013-12-31) foi construído para preencher a coluna do esquema, não para registrar um fato. Não há resolução institucional da demanda central do ciclo, porque não há, ao final, demanda central identificável. Gohn (2023), dez anos depois, conclui que persiste a necessidade de decifrar o significado do episódio e que subsiste uma disputa aberta sobre seu legado. Sørbøe (2022) identifica e contesta duas narrativas rivais e incompatíveis sobre o significado das jornadas: a das aberturas revolucionárias e a dos resultados reacionários.</w:t>
      </w:r>
    </w:p>
    <w:p>
      <w:pPr>
        <w:spacing w:after="160" w:line="300"/>
        <w:jc w:val="both"/>
      </w:pPr>
      <w:r>
        <w:rPr>
          <w:rFonts w:ascii="Times New Roman" w:cs="Times New Roman" w:eastAsia="Times New Roman" w:hAnsi="Times New Roman"/>
          <w:b/>
          <w:bCs/>
          <w:sz w:val="24"/>
          <w:szCs w:val="24"/>
        </w:rPr>
        <w:t xml:space="preserve">Correção adotada: </w:t>
      </w:r>
      <w:r>
        <w:rPr>
          <w:rFonts w:ascii="Times New Roman" w:cs="Times New Roman" w:eastAsia="Times New Roman" w:hAnsi="Times New Roman"/>
          <w:sz w:val="24"/>
          <w:szCs w:val="24"/>
        </w:rPr>
        <w:t xml:space="preserve">a linha permanece no dataset com o intervalo 2013-11-01 a 2013-12-31, mas recebe o marcador desfecho_institucional = ausente. A ausência de desfecho é tratada como achado analítico e não como lacuna a ser preenchida.</w:t>
      </w:r>
    </w:p>
    <w:p>
      <w:pPr>
        <w:pStyle w:val="Heading2"/>
      </w:pPr>
      <w:r>
        <w:rPr>
          <w:rFonts w:ascii="Times New Roman" w:cs="Times New Roman" w:eastAsia="Times New Roman" w:hAnsi="Times New Roman"/>
          <w:b/>
          <w:bCs/>
        </w:rPr>
        <w:t xml:space="preserve">3.2 Impeachment Dilma</w:t>
      </w:r>
    </w:p>
    <w:p>
      <w:pPr>
        <w:pStyle w:val="Heading3"/>
      </w:pPr>
      <w:r>
        <w:rPr>
          <w:rFonts w:ascii="Times New Roman" w:cs="Times New Roman" w:eastAsia="Times New Roman" w:hAnsi="Times New Roman"/>
          <w:b/>
          <w:bCs/>
          <w:i/>
          <w:iCs/>
        </w:rPr>
        <w:t xml:space="preserve">3.2.1 Dois intervalos não contabilizados</w:t>
      </w:r>
    </w:p>
    <w:p>
      <w:pPr>
        <w:spacing w:after="160" w:line="300"/>
        <w:jc w:val="both"/>
      </w:pPr>
      <w:r>
        <w:rPr>
          <w:rFonts w:ascii="Times New Roman" w:cs="Times New Roman" w:eastAsia="Times New Roman" w:hAnsi="Times New Roman"/>
          <w:sz w:val="24"/>
          <w:szCs w:val="24"/>
        </w:rPr>
        <w:t xml:space="preserve">A periodização anterior deixava dois vazios. O primeiro, entre 1º de setembro e 30 de novembro de 2015, separa o fim da expansão do início do pico. Esse intervalo não é vazio: nele consolidam-se a ruptura de Eduardo Cunha com o governo, a rejeição das contas presidenciais pelo Tribunal de Contas da União e a desmobilização das ruas após o ato de agosto. O segundo vazio, entre 18 de abril e 11 de maio de 2016, separa a votação do impeachment na Câmara do afastamento provisório da presidenta pelo Senado.</w:t>
      </w:r>
    </w:p>
    <w:p>
      <w:pPr>
        <w:pStyle w:val="Heading3"/>
      </w:pPr>
      <w:r>
        <w:rPr>
          <w:rFonts w:ascii="Times New Roman" w:cs="Times New Roman" w:eastAsia="Times New Roman" w:hAnsi="Times New Roman"/>
          <w:b/>
          <w:bCs/>
          <w:i/>
          <w:iCs/>
        </w:rPr>
        <w:t xml:space="preserve">3.2.2 Viés teleológico na definição do pico</w:t>
      </w:r>
    </w:p>
    <w:p>
      <w:pPr>
        <w:spacing w:after="160" w:line="300"/>
        <w:jc w:val="both"/>
      </w:pPr>
      <w:r>
        <w:rPr>
          <w:rFonts w:ascii="Times New Roman" w:cs="Times New Roman" w:eastAsia="Times New Roman" w:hAnsi="Times New Roman"/>
          <w:sz w:val="24"/>
          <w:szCs w:val="24"/>
        </w:rPr>
        <w:t xml:space="preserve">Esta é a objeção mais séria ao esquema anterior. Ortellado e coautores (2016) realizaram pesquisa de campo nas manifestações de São Paulo pelo impeachment em 12 de abril e 16 de agosto de 2015, tratando-as como eventos de primeira grandeza. Se esses atos estiveram entre as maiores manifestações da história brasileira recente, classificá-los como expansão e reservar o rótulo de pico para março de 2016 significa deixar que o conhecimento do desfecho determine a periodização.</w:t>
      </w:r>
    </w:p>
    <w:p>
      <w:pPr>
        <w:spacing w:after="160" w:line="300"/>
        <w:jc w:val="both"/>
      </w:pPr>
      <w:r>
        <w:rPr>
          <w:rFonts w:ascii="Times New Roman" w:cs="Times New Roman" w:eastAsia="Times New Roman" w:hAnsi="Times New Roman"/>
          <w:sz w:val="24"/>
          <w:szCs w:val="24"/>
        </w:rPr>
        <w:t xml:space="preserve">O erro de inferência é reconhecível: sabe-se que a onda de 2016 antecedeu a votação; codifica-se, retrospectivamente, 2016 como pico. Mas se o pico é definido pela intensidade de mobilização, o ciclo apresenta dois picos, e o modelo de fase única não o comporta sem distorção.</w:t>
      </w:r>
    </w:p>
    <w:p>
      <w:pPr>
        <w:spacing w:after="160" w:line="300"/>
        <w:jc w:val="both"/>
      </w:pPr>
      <w:r>
        <w:rPr>
          <w:rFonts w:ascii="Times New Roman" w:cs="Times New Roman" w:eastAsia="Times New Roman" w:hAnsi="Times New Roman"/>
          <w:b/>
          <w:bCs/>
          <w:sz w:val="24"/>
          <w:szCs w:val="24"/>
        </w:rPr>
        <w:t xml:space="preserve">Correção adotada: </w:t>
      </w:r>
      <w:r>
        <w:rPr>
          <w:rFonts w:ascii="Times New Roman" w:cs="Times New Roman" w:eastAsia="Times New Roman" w:hAnsi="Times New Roman"/>
          <w:sz w:val="24"/>
          <w:szCs w:val="24"/>
        </w:rPr>
        <w:t xml:space="preserve">introduz-se, exclusivamente para este ciclo, uma sexta fase não-canônica designada latência (2015-08-17 a 2015-12-01), marcada no dataset com fase_canonica = FALSE. Essa fase é registrada no banco, é excluída da comparação cross-case pareada por fase, e preserva a integridade histórica sem falsear a comparabilidade. Os dois intervalos não contabilizados são fechados.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3826"/>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Fase</w:t>
            </w:r>
          </w:p>
        </w:tc>
        <w:tc>
          <w:tcPr>
            <w:tcW w:type="dxa" w:w="17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Início</w:t>
            </w:r>
          </w:p>
        </w:tc>
        <w:tc>
          <w:tcPr>
            <w:tcW w:type="dxa" w:w="17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Fim</w:t>
            </w:r>
          </w:p>
        </w:tc>
        <w:tc>
          <w:tcPr>
            <w:tcW w:type="dxa" w:w="38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emergência</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2014-10-27</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2015-03-14</w:t>
            </w:r>
          </w:p>
        </w:tc>
        <w:tc>
          <w:tcPr>
            <w:tcW w:type="dxa" w:w="38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canônica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expansão</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2015-03-15</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2015-08-16</w:t>
            </w:r>
          </w:p>
        </w:tc>
        <w:tc>
          <w:tcPr>
            <w:tcW w:type="dxa" w:w="38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canônica — contém dois picos de mobilização</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latência</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2015-08-17</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2015-12-01</w:t>
            </w:r>
          </w:p>
        </w:tc>
        <w:tc>
          <w:tcPr>
            <w:tcW w:type="dxa" w:w="38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não-canônica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pico</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2015-12-02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2016-04-17</w:t>
            </w:r>
          </w:p>
        </w:tc>
        <w:tc>
          <w:tcPr>
            <w:tcW w:type="dxa" w:w="38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canônica</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declínio</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2016-04-18</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2016-08-30</w:t>
            </w:r>
          </w:p>
        </w:tc>
        <w:tc>
          <w:tcPr>
            <w:tcW w:type="dxa" w:w="38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canônica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desfecho</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2016-08-31</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2016-09-30</w:t>
            </w:r>
          </w:p>
        </w:tc>
        <w:tc>
          <w:tcPr>
            <w:tcW w:type="dxa" w:w="38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canônica</w:t>
            </w:r>
          </w:p>
        </w:tc>
      </w:tr>
    </w:tbl>
    <w:p>
      <w:pPr>
        <w:spacing w:after="200"/>
      </w:pPr>
    </w:p>
    <w:p>
      <w:r>
        <w:br w:type="page"/>
      </w:r>
    </w:p>
    <w:p>
      <w:pPr>
        <w:pStyle w:val="Heading1"/>
      </w:pPr>
      <w:r>
        <w:rPr>
          <w:rFonts w:ascii="Times New Roman" w:cs="Times New Roman" w:eastAsia="Times New Roman" w:hAnsi="Times New Roman"/>
          <w:b/>
          <w:bCs/>
        </w:rPr>
        <w:t xml:space="preserve">4. Revisão do esquema de codificação</w:t>
      </w:r>
    </w:p>
    <w:p>
      <w:pPr>
        <w:spacing w:after="160" w:line="300"/>
        <w:jc w:val="both"/>
      </w:pPr>
      <w:r>
        <w:rPr>
          <w:rFonts w:ascii="Times New Roman" w:cs="Times New Roman" w:eastAsia="Times New Roman" w:hAnsi="Times New Roman"/>
          <w:sz w:val="24"/>
          <w:szCs w:val="24"/>
        </w:rPr>
        <w:t xml:space="preserve">A revisão da periodização expôs três problemas no esquema de variáveis. Os três são corrigidos nesta versão.</w:t>
      </w:r>
    </w:p>
    <w:p>
      <w:pPr>
        <w:pStyle w:val="Heading2"/>
      </w:pPr>
      <w:r>
        <w:rPr>
          <w:rFonts w:ascii="Times New Roman" w:cs="Times New Roman" w:eastAsia="Times New Roman" w:hAnsi="Times New Roman"/>
          <w:b/>
          <w:bCs/>
        </w:rPr>
        <w:t xml:space="preserve">4.1 O código NA passa a ser distinto do código 0</w:t>
      </w:r>
    </w:p>
    <w:p>
      <w:pPr>
        <w:spacing w:after="160" w:line="300"/>
        <w:jc w:val="both"/>
      </w:pPr>
      <w:r>
        <w:rPr>
          <w:rFonts w:ascii="Times New Roman" w:cs="Times New Roman" w:eastAsia="Times New Roman" w:hAnsi="Times New Roman"/>
          <w:sz w:val="24"/>
          <w:szCs w:val="24"/>
        </w:rPr>
        <w:t xml:space="preserve">No esquema anterior, o valor 0 acumulava dois significados incompatíveis: “medido e ausente” e “não aplicável ou não observado”. Trata-se de um erro de mensuração com consequências diretas: uma fase cujo desfecho institucional inexiste recebia o mesmo código que uma fase em que o desfecho foi medido e constatou-se nulo. Introduz-se o código NA, reservado a células não aplicáveis ou não observadas, distinto de zero e excluído de qualquer operação de agregação.</w:t>
      </w:r>
    </w:p>
    <w:p>
      <w:pPr>
        <w:pStyle w:val="Heading2"/>
      </w:pPr>
      <w:r>
        <w:rPr>
          <w:rFonts w:ascii="Times New Roman" w:cs="Times New Roman" w:eastAsia="Times New Roman" w:hAnsi="Times New Roman"/>
          <w:b/>
          <w:bCs/>
        </w:rPr>
        <w:t xml:space="preserve">4.2 Nova variável: traducao_institucional</w:t>
      </w:r>
    </w:p>
    <w:p>
      <w:pPr>
        <w:spacing w:after="160" w:line="300"/>
        <w:jc w:val="both"/>
      </w:pPr>
      <w:r>
        <w:rPr>
          <w:rFonts w:ascii="Times New Roman" w:cs="Times New Roman" w:eastAsia="Times New Roman" w:hAnsi="Times New Roman"/>
          <w:sz w:val="24"/>
          <w:szCs w:val="24"/>
        </w:rPr>
        <w:t xml:space="preserve">Este é o ajuste conceitualmente mais consequente. Na versão anterior, o ciclo Diretas Já recebia score 2 em op_abertura_institucional na fase de desfecho, com base na eleição de Tancredo Neves. A codificação está errada.</w:t>
      </w:r>
    </w:p>
    <w:p>
      <w:pPr>
        <w:spacing w:after="160" w:line="300"/>
        <w:jc w:val="both"/>
      </w:pPr>
      <w:r>
        <w:rPr>
          <w:rFonts w:ascii="Times New Roman" w:cs="Times New Roman" w:eastAsia="Times New Roman" w:hAnsi="Times New Roman"/>
          <w:sz w:val="24"/>
          <w:szCs w:val="24"/>
        </w:rPr>
        <w:t xml:space="preserve">O Colégio Eleitoral era uma instituição do regime autoritário. A demanda por eleições diretas nunca encontrou canal institucional: ela foi derrotada em plenário. O que se abriu foi um canal distinto daquele que o movimento demandava. Codificar essa passagem como abertura institucional confunde duas coisas que precisam permanecer separadas: a receptividade do sistema à demanda tal como formulada, e a conversão da mobilização em resultado institucional por qualquer via.</w:t>
      </w:r>
    </w:p>
    <w:p>
      <w:pPr>
        <w:spacing w:after="160" w:line="300"/>
        <w:jc w:val="both"/>
      </w:pPr>
      <w:r>
        <w:rPr>
          <w:rFonts w:ascii="Times New Roman" w:cs="Times New Roman" w:eastAsia="Times New Roman" w:hAnsi="Times New Roman"/>
          <w:sz w:val="24"/>
          <w:szCs w:val="24"/>
        </w:rPr>
        <w:t xml:space="preserve">A confusão contamina justamente a variável que sustenta o argumento comparativo central do projeto. Desagrega-se, portanto, em duas variáveis independentes.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Score</w:t>
            </w:r>
          </w:p>
        </w:tc>
        <w:tc>
          <w:tcPr>
            <w:tcW w:type="dxa" w:w="80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Critério de traducao_institucional</w:t>
            </w:r>
          </w:p>
        </w:tc>
      </w:tr>
      <w:tr>
        <w:tc>
          <w:tcPr>
            <w:tcW w:type="dxa" w:w="1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0</w:t>
            </w:r>
          </w:p>
        </w:tc>
        <w:tc>
          <w:tcPr>
            <w:tcW w:type="dxa" w:w="80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Nenhuma tradução; demanda ignorada pelo sistema político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1</w:t>
            </w:r>
          </w:p>
        </w:tc>
        <w:tc>
          <w:tcPr>
            <w:tcW w:type="dxa" w:w="80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Tradução parcial ou simbólica; concessões marginais que não atendem à demanda central</w:t>
            </w:r>
          </w:p>
        </w:tc>
      </w:tr>
      <w:tr>
        <w:tc>
          <w:tcPr>
            <w:tcW w:type="dxa" w:w="1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2</w:t>
            </w:r>
          </w:p>
        </w:tc>
        <w:tc>
          <w:tcPr>
            <w:tcW w:type="dxa" w:w="80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Tradução substantiva, mas obtida por canal distinto daquele demandado pelo movimento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3</w:t>
            </w:r>
          </w:p>
        </w:tc>
        <w:tc>
          <w:tcPr>
            <w:tcW w:type="dxa" w:w="80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Tradução plena; demanda central atendida pelo canal institucional demandado</w:t>
            </w:r>
          </w:p>
        </w:tc>
      </w:tr>
    </w:tbl>
    <w:p>
      <w:pPr>
        <w:spacing w:after="160"/>
      </w:pPr>
    </w:p>
    <w:p>
      <w:pPr>
        <w:spacing w:after="160" w:line="300"/>
        <w:jc w:val="both"/>
      </w:pPr>
      <w:r>
        <w:rPr>
          <w:rFonts w:ascii="Times New Roman" w:cs="Times New Roman" w:eastAsia="Times New Roman" w:hAnsi="Times New Roman"/>
          <w:sz w:val="24"/>
          <w:szCs w:val="24"/>
        </w:rPr>
        <w:t xml:space="preserve">O reordenamento produz um ganho analítico imediato. Diretas Já e Junho de 2013 falham igualmente na tradução plena, mas por razões estruturalmente opostas: o primeiro porque o sistema estava fechado à demanda; o segundo porque, ao final, não havia demanda unificada que pudesse ser traduzida. A variável op_abertura_institucional, agora depurada, registra que o ciclo Diretas Já permanece em score 1 do início ao fim — o que é a formulação correta do seu achado sobre abertura bloqueada.</w:t>
      </w:r>
    </w:p>
    <w:p>
      <w:pPr>
        <w:pStyle w:val="Heading2"/>
      </w:pPr>
      <w:r>
        <w:rPr>
          <w:rFonts w:ascii="Times New Roman" w:cs="Times New Roman" w:eastAsia="Times New Roman" w:hAnsi="Times New Roman"/>
          <w:b/>
          <w:bCs/>
        </w:rPr>
        <w:t xml:space="preserve">4.3 Correções pontuais na fase de emergência do Impeachment</w:t>
      </w:r>
    </w:p>
    <w:p>
      <w:pPr>
        <w:spacing w:after="160" w:line="300"/>
        <w:jc w:val="both"/>
      </w:pPr>
      <w:r>
        <w:rPr>
          <w:rFonts w:ascii="Times New Roman" w:cs="Times New Roman" w:eastAsia="Times New Roman" w:hAnsi="Times New Roman"/>
          <w:sz w:val="24"/>
          <w:szCs w:val="24"/>
        </w:rPr>
        <w:t xml:space="preserve">A versão anterior atribuía score 2 a op_divisao_elites e a op_crise_legitimidade na fase de emergência do ciclo do Impeachment, correspondente ao intervalo entre outubro de 2014 e fevereiro de 2015. Dilma Rousseff havia acabado de vencer a eleição presidencial. Codificar “crise de legitimidade instalada, aprovação baixa” no mês seguinte a uma vitória eleitoral constitui retroprojeção do conhecimento do desfecho. Ambos os scores são reduzidos para 1.</w:t>
      </w:r>
    </w:p>
    <w:p>
      <w:r>
        <w:br w:type="page"/>
      </w:r>
    </w:p>
    <w:p>
      <w:pPr>
        <w:pStyle w:val="Heading1"/>
      </w:pPr>
      <w:r>
        <w:rPr>
          <w:rFonts w:ascii="Times New Roman" w:cs="Times New Roman" w:eastAsia="Times New Roman" w:hAnsi="Times New Roman"/>
          <w:b/>
          <w:bCs/>
        </w:rPr>
        <w:t xml:space="preserve">5. Matrizes de scores revisadas</w:t>
      </w:r>
    </w:p>
    <w:p>
      <w:pPr>
        <w:spacing w:after="160" w:line="300"/>
        <w:jc w:val="both"/>
      </w:pPr>
      <w:r>
        <w:rPr>
          <w:rFonts w:ascii="Times New Roman" w:cs="Times New Roman" w:eastAsia="Times New Roman" w:hAnsi="Times New Roman"/>
          <w:sz w:val="24"/>
          <w:szCs w:val="24"/>
        </w:rPr>
        <w:t xml:space="preserve">As células com moldura azul assinalam alterações em relação à versão anterior. A coluna Latência do ciclo do Impeachment refere-se à fase não-canônica e é excluída das comparações pareadas. Escala: 0 = ausente ou nulo; 1 = baixo ou incipiente; 2 = moderado ou presente; 3 = alto ou determinante.</w:t>
      </w:r>
    </w:p>
    <w:p>
      <w:pPr>
        <w:spacing w:after="120"/>
      </w:pPr>
    </w:p>
    <w:p>
      <w:pPr>
        <w:pStyle w:val="Heading2"/>
      </w:pPr>
      <w:r>
        <w:rPr>
          <w:rFonts w:ascii="Times New Roman" w:cs="Times New Roman" w:eastAsia="Times New Roman" w:hAnsi="Times New Roman"/>
          <w:b/>
          <w:bCs/>
        </w:rPr>
        <w:t xml:space="preserve">5.1 Diretas Já (1983–1985)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5"/>
        <w:gridCol w:w="1205"/>
        <w:gridCol w:w="1205"/>
        <w:gridCol w:w="1205"/>
        <w:gridCol w:w="120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Variável</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20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op_abertura_institucional</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6"/>
            <w:tcBorders>
              <w:top w:val="single" w:color="0B5394" w:sz="8"/>
              <w:left w:val="single" w:color="0B5394" w:sz="8"/>
              <w:bottom w:val="single" w:color="0B5394" w:sz="8"/>
              <w:right w:val="single" w:color="0B5394" w:sz="8"/>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op_divisao_elites</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6"/>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op_aliados_influentes</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op_crise_legitimidade</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op_repressao</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6"/>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traducao_institucional</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od_visibilidade_midia</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od_ressonancia_discursiva</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od_legitimidade_narrativa</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bl>
    <w:p>
      <w:pPr>
        <w:spacing w:after="120"/>
      </w:pPr>
    </w:p>
    <w:p>
      <w:pPr>
        <w:spacing w:after="160" w:line="300"/>
        <w:jc w:val="both"/>
      </w:pPr>
      <w:r>
        <w:rPr>
          <w:rFonts w:ascii="Times New Roman" w:cs="Times New Roman" w:eastAsia="Times New Roman" w:hAnsi="Times New Roman"/>
          <w:sz w:val="24"/>
          <w:szCs w:val="24"/>
        </w:rPr>
        <w:t xml:space="preserve">A depuração de op_abertura_institucional revela o padrão com nitidez: o sistema permanece fechado à demanda em todas as cinco fases. A transição é capturada por traducao_institucional, que atinge 2 no desfecho — resultado substantivo obtido por canal distinto do demandado.</w:t>
      </w:r>
    </w:p>
    <w:p>
      <w:pPr>
        <w:pStyle w:val="Heading2"/>
      </w:pPr>
      <w:r>
        <w:rPr>
          <w:rFonts w:ascii="Times New Roman" w:cs="Times New Roman" w:eastAsia="Times New Roman" w:hAnsi="Times New Roman"/>
          <w:b/>
          <w:bCs/>
        </w:rPr>
        <w:t xml:space="preserve">5.2 Fora Collor (1992)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5"/>
        <w:gridCol w:w="1205"/>
        <w:gridCol w:w="1205"/>
        <w:gridCol w:w="1205"/>
        <w:gridCol w:w="120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Variável</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20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op_abertura_institucional</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6"/>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op_divisao_elites</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op_aliados_influentes</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op_crise_legitimidade</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op_repressao</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6"/>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traducao_institucional</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6"/>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od_visibilidade_midia</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od_ressonancia_discursiva</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od_legitimidade_narrativa</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bl>
    <w:p>
      <w:pPr>
        <w:spacing w:after="120"/>
      </w:pPr>
    </w:p>
    <w:p>
      <w:pPr>
        <w:spacing w:after="160" w:line="300"/>
        <w:jc w:val="both"/>
      </w:pPr>
      <w:r>
        <w:rPr>
          <w:rFonts w:ascii="Times New Roman" w:cs="Times New Roman" w:eastAsia="Times New Roman" w:hAnsi="Times New Roman"/>
          <w:sz w:val="24"/>
          <w:szCs w:val="24"/>
        </w:rPr>
        <w:t xml:space="preserve">Único ciclo em que traducao_institucional alcança 3: a demanda central foi atendida exatamente pelo canal que o movimento acionava. Repressão nula em todas as fases.</w:t>
      </w:r>
    </w:p>
    <w:p>
      <w:r>
        <w:br w:type="page"/>
      </w:r>
    </w:p>
    <w:p>
      <w:pPr>
        <w:pStyle w:val="Heading2"/>
      </w:pPr>
      <w:r>
        <w:rPr>
          <w:rFonts w:ascii="Times New Roman" w:cs="Times New Roman" w:eastAsia="Times New Roman" w:hAnsi="Times New Roman"/>
          <w:b/>
          <w:bCs/>
        </w:rPr>
        <w:t xml:space="preserve">5.3 Junho de 2013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5"/>
        <w:gridCol w:w="1205"/>
        <w:gridCol w:w="1205"/>
        <w:gridCol w:w="1205"/>
        <w:gridCol w:w="120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Variável</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205"/>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20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op_abertura_institucional</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op_divisao_elites</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op_aliados_influentes</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op_crise_legitimidade</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op_repressao</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traducao_institucional</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od_visibilidade_midia</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od_ressonancia_discursiva</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30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od_legitimidade_narrativa</w:t>
            </w:r>
          </w:p>
        </w:tc>
        <w:tc>
          <w:tcPr>
            <w:tcW w:type="dxa" w:w="1205"/>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5"/>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205"/>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20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bl>
    <w:p>
      <w:pPr>
        <w:spacing w:after="120"/>
      </w:pPr>
    </w:p>
    <w:p>
      <w:pPr>
        <w:spacing w:after="160" w:line="300"/>
        <w:jc w:val="both"/>
      </w:pPr>
      <w:r>
        <w:rPr>
          <w:rFonts w:ascii="Times New Roman" w:cs="Times New Roman" w:eastAsia="Times New Roman" w:hAnsi="Times New Roman"/>
          <w:sz w:val="24"/>
          <w:szCs w:val="24"/>
        </w:rPr>
        <w:t xml:space="preserve">Note-se o score 2 em traducao_institucional na fase de pico: a revogação tarifária atende à demanda original do Movimento Passe Livre. A queda para 1 no desfecho registra que, uma vez pluralizado, o ciclo deixa de ter demanda traduzível. É o único caso em que a tradução institucional decresce após o pico.</w:t>
      </w:r>
    </w:p>
    <w:p>
      <w:pPr>
        <w:pStyle w:val="Heading2"/>
      </w:pPr>
      <w:r>
        <w:rPr>
          <w:rFonts w:ascii="Times New Roman" w:cs="Times New Roman" w:eastAsia="Times New Roman" w:hAnsi="Times New Roman"/>
          <w:b/>
          <w:bCs/>
        </w:rPr>
        <w:t xml:space="preserve">5.4 Impeachment Dilma (2014–2016)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54"/>
        <w:gridCol w:w="1054"/>
        <w:gridCol w:w="1054"/>
        <w:gridCol w:w="1054"/>
        <w:gridCol w:w="1054"/>
        <w:gridCol w:w="1056"/>
      </w:tblGrid>
      <w:tr>
        <w:trPr>
          <w:tblHeader/>
        </w:trPr>
        <w:tc>
          <w:tcPr>
            <w:tcW w:type="dxa" w:w="27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Variável</w:t>
            </w:r>
          </w:p>
        </w:tc>
        <w:tc>
          <w:tcPr>
            <w:tcW w:type="dxa" w:w="1054"/>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054"/>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054"/>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Latência*</w:t>
            </w:r>
          </w:p>
        </w:tc>
        <w:tc>
          <w:tcPr>
            <w:tcW w:type="dxa" w:w="1054"/>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054"/>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05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2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op_abertura_institucional</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6"/>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op_divisao_elites</w:t>
            </w:r>
          </w:p>
        </w:tc>
        <w:tc>
          <w:tcPr>
            <w:tcW w:type="dxa" w:w="1054"/>
            <w:tcBorders>
              <w:top w:val="single" w:color="0B5394" w:sz="8"/>
              <w:left w:val="single" w:color="0B5394" w:sz="8"/>
              <w:bottom w:val="single" w:color="0B5394" w:sz="8"/>
              <w:right w:val="single" w:color="0B5394" w:sz="8"/>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2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op_aliados_influentes</w:t>
            </w:r>
          </w:p>
        </w:tc>
        <w:tc>
          <w:tcPr>
            <w:tcW w:type="dxa" w:w="1054"/>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op_crise_legitimidade</w:t>
            </w:r>
          </w:p>
        </w:tc>
        <w:tc>
          <w:tcPr>
            <w:tcW w:type="dxa" w:w="1054"/>
            <w:tcBorders>
              <w:top w:val="single" w:color="0B5394" w:sz="8"/>
              <w:left w:val="single" w:color="0B5394" w:sz="8"/>
              <w:bottom w:val="single" w:color="0B5394" w:sz="8"/>
              <w:right w:val="single" w:color="0B5394" w:sz="8"/>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2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op_repressao</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6"/>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traducao_institucional</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4"/>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054"/>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6"/>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2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od_visibilidade_midia</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6"/>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od_ressonancia_discursiva</w:t>
            </w:r>
          </w:p>
        </w:tc>
        <w:tc>
          <w:tcPr>
            <w:tcW w:type="dxa" w:w="1054"/>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2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od_legitimidade_narrativa</w:t>
            </w:r>
          </w:p>
        </w:tc>
        <w:tc>
          <w:tcPr>
            <w:tcW w:type="dxa" w:w="1054"/>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4"/>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054"/>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056"/>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bl>
    <w:p>
      <w:pPr>
        <w:spacing w:after="120"/>
      </w:pPr>
    </w:p>
    <w:p>
      <w:pPr>
        <w:spacing w:after="160" w:line="300"/>
        <w:jc w:val="both"/>
      </w:pPr>
      <w:r>
        <w:rPr>
          <w:rFonts w:ascii="Times New Roman" w:cs="Times New Roman" w:eastAsia="Times New Roman" w:hAnsi="Times New Roman"/>
          <w:sz w:val="24"/>
          <w:szCs w:val="24"/>
        </w:rPr>
        <w:t xml:space="preserve">A fase de latência registra scores elevados em divisão de elites e crise de legitimidade com mobilização de rua reduzida — configuração que a literatura sobre conjunturas fluidas identifica como período de recomposição estratégica dos atores.</w:t>
      </w:r>
    </w:p>
    <w:p>
      <w:r>
        <w:br w:type="page"/>
      </w:r>
    </w:p>
    <w:p>
      <w:pPr>
        <w:pStyle w:val="Heading1"/>
      </w:pPr>
      <w:r>
        <w:rPr>
          <w:rFonts w:ascii="Times New Roman" w:cs="Times New Roman" w:eastAsia="Times New Roman" w:hAnsi="Times New Roman"/>
          <w:b/>
          <w:bCs/>
        </w:rPr>
        <w:t xml:space="preserve">6. Síntese comparativa</w:t>
      </w:r>
    </w:p>
    <w:p>
      <w:pPr>
        <w:spacing w:after="160" w:line="300"/>
        <w:jc w:val="both"/>
      </w:pPr>
      <w:r>
        <w:rPr>
          <w:rFonts w:ascii="Times New Roman" w:cs="Times New Roman" w:eastAsia="Times New Roman" w:hAnsi="Times New Roman"/>
          <w:sz w:val="24"/>
          <w:szCs w:val="24"/>
        </w:rPr>
        <w:t xml:space="preserve">As três matrizes seguintes isolam as variáveis que discriminam os casos. A fase de latência do ciclo do Impeachment está excluída.</w:t>
      </w:r>
    </w:p>
    <w:p>
      <w:pPr>
        <w:pStyle w:val="Heading2"/>
      </w:pPr>
      <w:r>
        <w:rPr>
          <w:rFonts w:ascii="Times New Roman" w:cs="Times New Roman" w:eastAsia="Times New Roman" w:hAnsi="Times New Roman"/>
          <w:b/>
          <w:bCs/>
        </w:rPr>
        <w:t xml:space="preserve">6.1 Abertura institucional: três regimes distintos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tblHeader/>
        </w:trPr>
        <w:tc>
          <w:tcPr>
            <w:tcW w:type="dxa" w:w="24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Ciclo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Diretas Já</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Fora Collor</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Junho de 2013</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Impeachment Dilma</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bl>
    <w:p>
      <w:pPr>
        <w:spacing w:after="140"/>
      </w:pPr>
    </w:p>
    <w:p>
      <w:pPr>
        <w:spacing w:after="160" w:line="300"/>
        <w:jc w:val="both"/>
      </w:pPr>
      <w:r>
        <w:rPr>
          <w:rFonts w:ascii="Times New Roman" w:cs="Times New Roman" w:eastAsia="Times New Roman" w:hAnsi="Times New Roman"/>
          <w:sz w:val="24"/>
          <w:szCs w:val="24"/>
        </w:rPr>
        <w:t xml:space="preserve">Diretas Já opera contra sistema fechado, constante em 1. Fora Collor e Impeachment apresentam abertura crescente que atinge 3 e funciona como amplificador da pressão de rua. Junho de 2013 mantém abertura constante em 2 durante todo o ciclo, sem função estruturante — o sistema é permeável mas indiferente.</w:t>
      </w:r>
    </w:p>
    <w:p>
      <w:pPr>
        <w:pStyle w:val="Heading2"/>
      </w:pPr>
      <w:r>
        <w:rPr>
          <w:rFonts w:ascii="Times New Roman" w:cs="Times New Roman" w:eastAsia="Times New Roman" w:hAnsi="Times New Roman"/>
          <w:b/>
          <w:bCs/>
        </w:rPr>
        <w:t xml:space="preserve">6.2 Tradução institucional: a variável recém-introduzida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tblHeader/>
        </w:trPr>
        <w:tc>
          <w:tcPr>
            <w:tcW w:type="dxa" w:w="24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Ciclo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Diretas Já</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Fora Collor</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Junho de 2013</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Impeachment Dilma</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r>
    </w:tbl>
    <w:p>
      <w:pPr>
        <w:spacing w:after="140"/>
      </w:pPr>
    </w:p>
    <w:p>
      <w:pPr>
        <w:spacing w:after="160" w:line="300"/>
        <w:jc w:val="both"/>
      </w:pPr>
      <w:r>
        <w:rPr>
          <w:rFonts w:ascii="Times New Roman" w:cs="Times New Roman" w:eastAsia="Times New Roman" w:hAnsi="Times New Roman"/>
          <w:sz w:val="24"/>
          <w:szCs w:val="24"/>
        </w:rPr>
        <w:t xml:space="preserve">A nova variável produz a distinção mais informativa do conjunto. Fora Collor e Impeachment convergem em 3 no desfecho. Diretas Já atinge 2 — resultado obtido, canal distinto. Junho de 2013 apresenta trajetória não-monotônica, única no conjunto: sobe a 2 no pico e recua a 1, refletindo a dissolução da demanda original.</w:t>
      </w:r>
    </w:p>
    <w:p>
      <w:pPr>
        <w:pStyle w:val="Heading2"/>
      </w:pPr>
      <w:r>
        <w:rPr>
          <w:rFonts w:ascii="Times New Roman" w:cs="Times New Roman" w:eastAsia="Times New Roman" w:hAnsi="Times New Roman"/>
          <w:b/>
          <w:bCs/>
        </w:rPr>
        <w:t xml:space="preserve">6.3 Repressão: a variável discriminante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tblHeader/>
        </w:trPr>
        <w:tc>
          <w:tcPr>
            <w:tcW w:type="dxa" w:w="24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Ciclo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Diretas Já</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Fora Collor</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Junho de 2013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Impeachment Dilma</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c>
          <w:tcPr>
            <w:tcW w:type="dxa" w:w="1320"/>
            <w:tcBorders>
              <w:top w:val="single" w:color="CCCCCC" w:sz="1"/>
              <w:left w:val="single" w:color="CCCCCC" w:sz="1"/>
              <w:bottom w:val="single" w:color="CCCCCC" w:sz="1"/>
              <w:right w:val="single" w:color="CCCCCC" w:sz="1"/>
            </w:tcBorders>
            <w:shd w:fill="F2F2F2"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666666"/>
                <w:sz w:val="19"/>
                <w:szCs w:val="19"/>
              </w:rPr>
              <w:t xml:space="preserve">0</w:t>
            </w:r>
          </w:p>
        </w:tc>
      </w:tr>
    </w:tbl>
    <w:p>
      <w:pPr>
        <w:spacing w:after="140"/>
      </w:pPr>
    </w:p>
    <w:p>
      <w:pPr>
        <w:spacing w:after="160" w:line="300"/>
        <w:jc w:val="both"/>
      </w:pPr>
      <w:r>
        <w:rPr>
          <w:rFonts w:ascii="Times New Roman" w:cs="Times New Roman" w:eastAsia="Times New Roman" w:hAnsi="Times New Roman"/>
          <w:sz w:val="24"/>
          <w:szCs w:val="24"/>
        </w:rPr>
        <w:t xml:space="preserve">Junho de 2013 é o único ciclo em que a repressão inicia em 3 e precede a expansão massiva, operando como mecanismo de catálise e não de contenção. Nos ciclos democráticos posteriores a repressão é nula; em Diretas Já ela recua progressivamente diante da mobilização crescente. Recorde-se que esta variável é codificada de forma invertida: score alto indica repressão intensa, não oportunidade ampliada.</w:t>
      </w:r>
    </w:p>
    <w:p>
      <w:pPr>
        <w:pStyle w:val="Heading2"/>
      </w:pPr>
      <w:r>
        <w:rPr>
          <w:rFonts w:ascii="Times New Roman" w:cs="Times New Roman" w:eastAsia="Times New Roman" w:hAnsi="Times New Roman"/>
          <w:b/>
          <w:bCs/>
        </w:rPr>
        <w:t xml:space="preserve">6.4 Legitimidade narrativa: a variável dependente reformulada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tblHeader/>
        </w:trPr>
        <w:tc>
          <w:tcPr>
            <w:tcW w:type="dxa" w:w="24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Ciclo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Emergência</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Expansão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Pico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Declínio</w:t>
            </w:r>
          </w:p>
        </w:tc>
        <w:tc>
          <w:tcPr>
            <w:tcW w:type="dxa" w:w="132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Desfecho</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Diretas Já</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Fora Collor</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r>
      <w:tr>
        <w:tc>
          <w:tcPr>
            <w:tcW w:type="dxa" w:w="24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Junho de 2013</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r>
        <w:tc>
          <w:tcPr>
            <w:tcW w:type="dxa" w:w="24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Impeachment Dilma</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EA4335"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FFFFFF"/>
                <w:sz w:val="19"/>
                <w:szCs w:val="19"/>
              </w:rPr>
              <w:t xml:space="preserve">3</w:t>
            </w:r>
          </w:p>
        </w:tc>
        <w:tc>
          <w:tcPr>
            <w:tcW w:type="dxa" w:w="1320"/>
            <w:tcBorders>
              <w:top w:val="single" w:color="CCCCCC" w:sz="1"/>
              <w:left w:val="single" w:color="CCCCCC" w:sz="1"/>
              <w:bottom w:val="single" w:color="CCCCCC" w:sz="1"/>
              <w:right w:val="single" w:color="CCCCCC" w:sz="1"/>
            </w:tcBorders>
            <w:shd w:fill="FCE5CD"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7F4F00"/>
                <w:sz w:val="19"/>
                <w:szCs w:val="19"/>
              </w:rPr>
              <w:t xml:space="preserve">2</w:t>
            </w:r>
          </w:p>
        </w:tc>
        <w:tc>
          <w:tcPr>
            <w:tcW w:type="dxa" w:w="1320"/>
            <w:tcBorders>
              <w:top w:val="single" w:color="CCCCCC" w:sz="1"/>
              <w:left w:val="single" w:color="CCCCCC" w:sz="1"/>
              <w:bottom w:val="single" w:color="CCCCCC" w:sz="1"/>
              <w:right w:val="single" w:color="CCCCCC" w:sz="1"/>
            </w:tcBorders>
            <w:shd w:fill="D9EAD3" w:val="clear"/>
            <w:tcMar>
              <w:top w:type="dxa" w:w="60"/>
              <w:left w:type="dxa" w:w="50"/>
              <w:bottom w:type="dxa" w:w="60"/>
              <w:right w:type="dxa" w:w="50"/>
            </w:tcMar>
            <w:vAlign w:val="center"/>
          </w:tcPr>
          <w:p>
            <w:pPr>
              <w:jc w:val="center"/>
            </w:pPr>
            <w:r>
              <w:rPr>
                <w:rFonts w:ascii="Times New Roman" w:cs="Times New Roman" w:eastAsia="Times New Roman" w:hAnsi="Times New Roman"/>
                <w:b/>
                <w:bCs/>
                <w:i w:val="false"/>
                <w:iCs w:val="false"/>
                <w:color w:val="274E13"/>
                <w:sz w:val="19"/>
                <w:szCs w:val="19"/>
              </w:rPr>
              <w:t xml:space="preserve">1</w:t>
            </w:r>
          </w:p>
        </w:tc>
      </w:tr>
    </w:tbl>
    <w:p>
      <w:pPr>
        <w:spacing w:after="140"/>
      </w:pPr>
    </w:p>
    <w:p>
      <w:pPr>
        <w:spacing w:after="160" w:line="300"/>
        <w:jc w:val="both"/>
      </w:pPr>
      <w:r>
        <w:rPr>
          <w:rFonts w:ascii="Times New Roman" w:cs="Times New Roman" w:eastAsia="Times New Roman" w:hAnsi="Times New Roman"/>
          <w:sz w:val="24"/>
          <w:szCs w:val="24"/>
        </w:rPr>
        <w:t xml:space="preserve">Diretas Já e Fora Collor encerram em 2: desfecho aceito, memória consolidada. Junho de 2013 e Impeachment encerram em 1: legitimidade disputada retroativamente entre campos políticos rivais. Como se argumenta na Seção 7, esta é a variável dependente mais promissora do projeto.</w:t>
      </w:r>
    </w:p>
    <w:p>
      <w:r>
        <w:br w:type="page"/>
      </w:r>
    </w:p>
    <w:p>
      <w:pPr>
        <w:pStyle w:val="Heading1"/>
      </w:pPr>
      <w:r>
        <w:rPr>
          <w:rFonts w:ascii="Times New Roman" w:cs="Times New Roman" w:eastAsia="Times New Roman" w:hAnsi="Times New Roman"/>
          <w:b/>
          <w:bCs/>
        </w:rPr>
        <w:t xml:space="preserve">7. Estratégia de inferência causal</w:t>
      </w:r>
    </w:p>
    <w:p>
      <w:pPr>
        <w:pStyle w:val="Heading2"/>
      </w:pPr>
      <w:r>
        <w:rPr>
          <w:rFonts w:ascii="Times New Roman" w:cs="Times New Roman" w:eastAsia="Times New Roman" w:hAnsi="Times New Roman"/>
          <w:b/>
          <w:bCs/>
        </w:rPr>
        <w:t xml:space="preserve">7.1 Que tipo de afirmação causal é possível</w:t>
      </w:r>
    </w:p>
    <w:p>
      <w:pPr>
        <w:spacing w:after="160" w:line="300"/>
        <w:jc w:val="both"/>
      </w:pPr>
      <w:r>
        <w:rPr>
          <w:rFonts w:ascii="Times New Roman" w:cs="Times New Roman" w:eastAsia="Times New Roman" w:hAnsi="Times New Roman"/>
          <w:sz w:val="24"/>
          <w:szCs w:val="24"/>
        </w:rPr>
        <w:t xml:space="preserve">Com quatro casos, cinco fases canônicas e forte suspeita de equifinalidade, não é possível estimar efeitos médios de tratamento. A estratégia adequada é mecanicista e configuracional. O objetivo inferencial não é estabelecer quanto a divisão de elites eleva a probabilidade de impeachment, mas identificar por qual sequência de mecanismos a divisão de elites se converte, ou deixa de se converter, em tradução institucional.</w:t>
      </w:r>
    </w:p>
    <w:p>
      <w:pPr>
        <w:spacing w:after="160" w:line="300"/>
        <w:jc w:val="both"/>
      </w:pPr>
      <w:r>
        <w:rPr>
          <w:rFonts w:ascii="Times New Roman" w:cs="Times New Roman" w:eastAsia="Times New Roman" w:hAnsi="Times New Roman"/>
          <w:sz w:val="24"/>
          <w:szCs w:val="24"/>
        </w:rPr>
        <w:t xml:space="preserve">Isso implica renunciar deliberadamente a claims de necessidade e de suficiência, e adotar linguagem de mecanismo: sob que condições de escopo, por qual encadeamento de entidades e atividades, produz-se o resultado observado.</w:t>
      </w:r>
    </w:p>
    <w:p>
      <w:pPr>
        <w:pStyle w:val="Heading2"/>
      </w:pPr>
      <w:r>
        <w:rPr>
          <w:rFonts w:ascii="Times New Roman" w:cs="Times New Roman" w:eastAsia="Times New Roman" w:hAnsi="Times New Roman"/>
          <w:b/>
          <w:bCs/>
        </w:rPr>
        <w:t xml:space="preserve">7.2 Desenho cross-case: dois pareamentos</w:t>
      </w:r>
    </w:p>
    <w:p>
      <w:pPr>
        <w:pStyle w:val="Heading3"/>
      </w:pPr>
      <w:r>
        <w:rPr>
          <w:rFonts w:ascii="Times New Roman" w:cs="Times New Roman" w:eastAsia="Times New Roman" w:hAnsi="Times New Roman"/>
          <w:b/>
          <w:bCs/>
          <w:i/>
          <w:iCs/>
        </w:rPr>
        <w:t xml:space="preserve">7.2.1 Sistemas mais similares — Fora Collor e Impeachment Dilma</w:t>
      </w:r>
    </w:p>
    <w:p>
      <w:pPr>
        <w:spacing w:after="160" w:line="300"/>
        <w:jc w:val="both"/>
      </w:pPr>
      <w:r>
        <w:rPr>
          <w:rFonts w:ascii="Times New Roman" w:cs="Times New Roman" w:eastAsia="Times New Roman" w:hAnsi="Times New Roman"/>
          <w:sz w:val="24"/>
          <w:szCs w:val="24"/>
        </w:rPr>
        <w:t xml:space="preserve">Os dois casos são quase idênticos nas variáveis independentes relevantes: democracia consolidada, repressão nula em todas as fases, abertura institucional atingindo 3 no pico, divisão de elites em 3, visibilidade midiática em 3, tradução institucional plena no desfecho. Ambos culminam em impedimento presidencial consumado.</w:t>
      </w:r>
    </w:p>
    <w:p>
      <w:pPr>
        <w:spacing w:after="160" w:line="300"/>
        <w:jc w:val="both"/>
      </w:pPr>
      <w:r>
        <w:rPr>
          <w:rFonts w:ascii="Times New Roman" w:cs="Times New Roman" w:eastAsia="Times New Roman" w:hAnsi="Times New Roman"/>
          <w:sz w:val="24"/>
          <w:szCs w:val="24"/>
        </w:rPr>
        <w:t xml:space="preserve">Divergem em uma única variável de resultado: a legitimidade narrativa no desfecho, com score 2 em 1992 e 1 em 2016.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33D" w:sz="2"/>
              <w:left w:val="single" w:color="E8A33D" w:sz="18"/>
              <w:bottom w:val="single" w:color="E8A33D" w:sz="2"/>
              <w:right w:val="single" w:color="E8A33D" w:sz="2"/>
            </w:tcBorders>
            <w:shd w:fill="E8F0FE" w:val="clear"/>
            <w:tcMar>
              <w:top w:type="dxa" w:w="140"/>
              <w:left w:type="dxa" w:w="200"/>
              <w:bottom w:type="dxa" w:w="140"/>
              <w:right w:type="dxa" w:w="160"/>
            </w:tcMar>
          </w:tcPr>
          <w:p>
            <w:pPr>
              <w:jc w:val="both"/>
            </w:pPr>
            <w:r>
              <w:rPr>
                <w:rFonts w:ascii="Times New Roman" w:cs="Times New Roman" w:eastAsia="Times New Roman" w:hAnsi="Times New Roman"/>
                <w:sz w:val="22"/>
                <w:szCs w:val="22"/>
              </w:rPr>
              <w:t xml:space="preserve">Consequência para a pergunta de pesquisa. A variável dependente teoricamente interessante deixa de ser “o impeachment ocorreu” e passa a ser “por que a mesma configuração causal produz consolidação de memória em 1992 e disputa retroativa em 2016”. Este deslocamento constitui, a meu ver, o núcleo da contribuição original do projeto — e o que a articulação entre EOP, EOD e análise de conjuntura está em condições de responder melhor do que a TPP clássica isoladamente.</w:t>
            </w:r>
          </w:p>
        </w:tc>
      </w:tr>
    </w:tbl>
    <w:p>
      <w:pPr>
        <w:spacing w:after="140"/>
      </w:pPr>
    </w:p>
    <w:p>
      <w:pPr>
        <w:spacing w:after="160" w:line="300"/>
        <w:jc w:val="both"/>
      </w:pPr>
      <w:r>
        <w:rPr>
          <w:rFonts w:ascii="Times New Roman" w:cs="Times New Roman" w:eastAsia="Times New Roman" w:hAnsi="Times New Roman"/>
          <w:sz w:val="24"/>
          <w:szCs w:val="24"/>
        </w:rPr>
        <w:t xml:space="preserve">A literatura oferece pistas convergentes. Nunes e Melo (2017) observam que o impeachment de 2016 não interrompeu a crise, tendo o sistema político brasileiro enfrentado grave crise de legitimidade com os principais partidos postos em xeque. Ansell (2018) argumenta que o processo foi facilitado pela conflação de dois modelos distintos de corrupção, um legal-comportamental e outro de natureza religiosa-ontológica, com regimes probatórios incompatíveis.</w:t>
      </w:r>
    </w:p>
    <w:p>
      <w:pPr>
        <w:pStyle w:val="Heading3"/>
      </w:pPr>
      <w:r>
        <w:rPr>
          <w:rFonts w:ascii="Times New Roman" w:cs="Times New Roman" w:eastAsia="Times New Roman" w:hAnsi="Times New Roman"/>
          <w:b/>
          <w:bCs/>
          <w:i/>
          <w:iCs/>
        </w:rPr>
        <w:t xml:space="preserve">7.2.2 Sistemas mais diferentes — Diretas Já e Junho de 2013</w:t>
      </w:r>
    </w:p>
    <w:p>
      <w:pPr>
        <w:spacing w:after="160" w:line="300"/>
        <w:jc w:val="both"/>
      </w:pPr>
      <w:r>
        <w:rPr>
          <w:rFonts w:ascii="Times New Roman" w:cs="Times New Roman" w:eastAsia="Times New Roman" w:hAnsi="Times New Roman"/>
          <w:sz w:val="24"/>
          <w:szCs w:val="24"/>
        </w:rPr>
        <w:t xml:space="preserve">Máxima diferença nas variáveis independentes: regime autoritário contra regime democrático; repressão decrescente contra repressão catalisadora; aliados influentes atingindo 3 no pico contra aliados nunca superiores a 1; frame unificado contra frame progressivamente pluralizado.</w:t>
      </w:r>
    </w:p>
    <w:p>
      <w:pPr>
        <w:spacing w:after="160" w:line="300"/>
        <w:jc w:val="both"/>
      </w:pPr>
      <w:r>
        <w:rPr>
          <w:rFonts w:ascii="Times New Roman" w:cs="Times New Roman" w:eastAsia="Times New Roman" w:hAnsi="Times New Roman"/>
          <w:sz w:val="24"/>
          <w:szCs w:val="24"/>
        </w:rPr>
        <w:t xml:space="preserve">Mesmo resultado na variável dependente: traducao_institucional inferior a 3. Nenhum dos dois converte a demanda central pelo canal demandado.</w:t>
      </w:r>
    </w:p>
    <w:p>
      <w:pPr>
        <w:spacing w:after="160" w:line="300"/>
        <w:jc w:val="both"/>
      </w:pPr>
      <w:r>
        <w:rPr>
          <w:rFonts w:ascii="Times New Roman" w:cs="Times New Roman" w:eastAsia="Times New Roman" w:hAnsi="Times New Roman"/>
          <w:sz w:val="24"/>
          <w:szCs w:val="24"/>
        </w:rPr>
        <w:t xml:space="preserve">O pareamento testa a hipótese de que a não-tradução é sobredeterminada, podendo resultar tanto de fechamento sistêmico, como em 1985, quanto de ausência de demanda traduzível, como em 2013. Se confirmada, a implicação teórica é relevante: a abertura de oportunidades políticas é necessária mas não suficiente para a tradução institucional; é preciso que exista uma demanda com forma institucionalmente processável.</w:t>
      </w:r>
    </w:p>
    <w:p>
      <w:pPr>
        <w:pStyle w:val="Heading2"/>
      </w:pPr>
      <w:r>
        <w:rPr>
          <w:rFonts w:ascii="Times New Roman" w:cs="Times New Roman" w:eastAsia="Times New Roman" w:hAnsi="Times New Roman"/>
          <w:b/>
          <w:bCs/>
        </w:rPr>
        <w:t xml:space="preserve">7.3 Os cinco mecanismos como sequências testáveis</w:t>
      </w:r>
    </w:p>
    <w:p>
      <w:pPr>
        <w:spacing w:after="160" w:line="300"/>
        <w:jc w:val="both"/>
      </w:pPr>
      <w:r>
        <w:rPr>
          <w:rFonts w:ascii="Times New Roman" w:cs="Times New Roman" w:eastAsia="Times New Roman" w:hAnsi="Times New Roman"/>
          <w:sz w:val="24"/>
          <w:szCs w:val="24"/>
        </w:rPr>
        <w:t xml:space="preserve">Cada mecanismo é reformulado com três elementos: a assinatura esperada nos scores de cycle_phases, a implicação observável no banco protest_events, e a observação que o desconfirmaria.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100"/>
        <w:gridCol w:w="2400"/>
        <w:gridCol w:w="2126"/>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Mec.</w:t>
            </w:r>
          </w:p>
        </w:tc>
        <w:tc>
          <w:tcPr>
            <w:tcW w:type="dxa" w:w="17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Descrição</w:t>
            </w:r>
          </w:p>
        </w:tc>
        <w:tc>
          <w:tcPr>
            <w:tcW w:type="dxa" w:w="21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Assinatura nos scores</w:t>
            </w:r>
          </w:p>
        </w:tc>
        <w:tc>
          <w:tcPr>
            <w:tcW w:type="dxa" w:w="24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Implicação observável</w:t>
            </w:r>
          </w:p>
        </w:tc>
        <w:tc>
          <w:tcPr>
            <w:tcW w:type="dxa" w:w="21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Desconfirmação</w:t>
            </w:r>
          </w:p>
        </w:tc>
      </w:tr>
      <w:tr>
        <w:tc>
          <w:tcPr>
            <w:tcW w:type="dxa" w:w="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M1</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Atribuição de oportunidade</w:t>
            </w:r>
          </w:p>
        </w:tc>
        <w:tc>
          <w:tcPr>
            <w:tcW w:type="dxa" w:w="21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op_divisao_elites sobe antes de od_ressonancia_discursiva</w:t>
            </w:r>
          </w:p>
        </w:tc>
        <w:tc>
          <w:tcPr>
            <w:tcW w:type="dxa" w:w="2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Aumento de frequência de eventos após defecção pública de aliado do governo</w:t>
            </w:r>
          </w:p>
        </w:tc>
        <w:tc>
          <w:tcPr>
            <w:tcW w:type="dxa" w:w="2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Mobilização precede a divisão de elites em todos os ciclos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M2</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Certificação e descertificação</w:t>
            </w:r>
          </w:p>
        </w:tc>
        <w:tc>
          <w:tcPr>
            <w:tcW w:type="dxa" w:w="2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od_legitimidade_narrativa sobe junto a od_visibilidade_midia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Mudança no enquadramento jornalístico sem alteração de repertório</w:t>
            </w:r>
          </w:p>
        </w:tc>
        <w:tc>
          <w:tcPr>
            <w:tcW w:type="dxa" w:w="21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Enquadramento muda sem alteração de audiência ou de ator certificador</w:t>
            </w:r>
          </w:p>
        </w:tc>
      </w:tr>
      <w:tr>
        <w:tc>
          <w:tcPr>
            <w:tcW w:type="dxa" w:w="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M3</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Difusão modular do repertório</w:t>
            </w:r>
          </w:p>
        </w:tc>
        <w:tc>
          <w:tcPr>
            <w:tcW w:type="dxa" w:w="21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od_ressonancia_discursiva sobe com dispersão geográfica</w:t>
            </w:r>
          </w:p>
        </w:tc>
        <w:tc>
          <w:tcPr>
            <w:tcW w:type="dxa" w:w="2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Aumento de municípios distintos com eventos, repertório homogêneo</w:t>
            </w:r>
          </w:p>
        </w:tc>
        <w:tc>
          <w:tcPr>
            <w:tcW w:type="dxa" w:w="2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Repertório se diversifica no mesmo passo da difusão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M4</w:t>
            </w:r>
          </w:p>
        </w:tc>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Escalada por repressão</w:t>
            </w:r>
          </w:p>
        </w:tc>
        <w:tc>
          <w:tcPr>
            <w:tcW w:type="dxa" w:w="2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op_repressao = 3 precede salto em od_visibilidade_midia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Pico de eventos nas 72h seguintes a episódio repressivo de alta visibilidade</w:t>
            </w:r>
          </w:p>
        </w:tc>
        <w:tc>
          <w:tcPr>
            <w:tcW w:type="dxa" w:w="21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Repressão elevada seguida de queda na mobilização</w:t>
            </w:r>
          </w:p>
        </w:tc>
      </w:tr>
      <w:tr>
        <w:tc>
          <w:tcPr>
            <w:tcW w:type="dxa" w:w="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M5</w:t>
            </w:r>
          </w:p>
        </w:tc>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Tradução institucional e cooptação</w:t>
            </w:r>
          </w:p>
        </w:tc>
        <w:tc>
          <w:tcPr>
            <w:tcW w:type="dxa" w:w="21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traducao_institucional sobe e op_aliados_influentes cai</w:t>
            </w:r>
          </w:p>
        </w:tc>
        <w:tc>
          <w:tcPr>
            <w:tcW w:type="dxa" w:w="2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Migração de organizadores para cargos ou candidaturas; queda no nº de eventos</w:t>
            </w:r>
          </w:p>
        </w:tc>
        <w:tc>
          <w:tcPr>
            <w:tcW w:type="dxa" w:w="21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Tradução institucional sem desmobilização subsequente</w:t>
            </w:r>
          </w:p>
        </w:tc>
      </w:tr>
    </w:tbl>
    <w:p>
      <w:pPr>
        <w:spacing w:after="160"/>
      </w:pPr>
    </w:p>
    <w:p>
      <w:pPr>
        <w:spacing w:after="160" w:line="300"/>
        <w:jc w:val="both"/>
      </w:pPr>
      <w:r>
        <w:rPr>
          <w:rFonts w:ascii="Times New Roman" w:cs="Times New Roman" w:eastAsia="Times New Roman" w:hAnsi="Times New Roman"/>
          <w:sz w:val="24"/>
          <w:szCs w:val="24"/>
        </w:rPr>
        <w:t xml:space="preserve">O mecanismo M4 é o traço distintivo de Junho de 2013 e o único cuja assinatura é diretamente observável no esquema atual: op_repressao registra 3 na emergência e na expansão, seguido de salto de od_visibilidade_midia de 1 para 3 entre 12 e 13 de junho de 2013. É o teste mais forte imediatamente disponível.</w:t>
      </w:r>
    </w:p>
    <w:p>
      <w:pPr>
        <w:pStyle w:val="Heading2"/>
      </w:pPr>
      <w:r>
        <w:rPr>
          <w:rFonts w:ascii="Times New Roman" w:cs="Times New Roman" w:eastAsia="Times New Roman" w:hAnsi="Times New Roman"/>
          <w:b/>
          <w:bCs/>
        </w:rPr>
        <w:t xml:space="preserve">7.4 Process tracing: testes aplicados a M4</w:t>
      </w:r>
    </w:p>
    <w:p>
      <w:pPr>
        <w:spacing w:after="160" w:line="300"/>
        <w:jc w:val="both"/>
      </w:pPr>
      <w:r>
        <w:rPr>
          <w:rFonts w:ascii="Times New Roman" w:cs="Times New Roman" w:eastAsia="Times New Roman" w:hAnsi="Times New Roman"/>
          <w:sz w:val="24"/>
          <w:szCs w:val="24"/>
        </w:rPr>
        <w:t xml:space="preserve">Aplicando a tipologia de Van Evera, na adaptação de Beach e Pedersen, ao mecanismo de escalada por repressão: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200"/>
        <w:gridCol w:w="1926"/>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Teste</w:t>
            </w:r>
          </w:p>
        </w:tc>
        <w:tc>
          <w:tcPr>
            <w:tcW w:type="dxa" w:w="32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Evidência exigida</w:t>
            </w:r>
          </w:p>
        </w:tc>
        <w:tc>
          <w:tcPr>
            <w:tcW w:type="dxa" w:w="22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Se presente</w:t>
            </w:r>
          </w:p>
        </w:tc>
        <w:tc>
          <w:tcPr>
            <w:tcW w:type="dxa" w:w="19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Se ausente</w:t>
            </w:r>
          </w:p>
        </w:tc>
      </w:tr>
      <w:tr>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Straw-in-the-wind</w:t>
            </w:r>
          </w:p>
        </w:tc>
        <w:tc>
          <w:tcPr>
            <w:tcW w:type="dxa" w:w="32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Manifestantes citam a repressão como motivo de adesão</w:t>
            </w:r>
          </w:p>
        </w:tc>
        <w:tc>
          <w:tcPr>
            <w:tcW w:type="dxa" w:w="22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Sugere M4; não confirma</w:t>
            </w:r>
          </w:p>
        </w:tc>
        <w:tc>
          <w:tcPr>
            <w:tcW w:type="dxa" w:w="19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Não refuta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Hoop</w:t>
            </w:r>
          </w:p>
        </w:tc>
        <w:tc>
          <w:tcPr>
            <w:tcW w:type="dxa" w:w="3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A repressão de 13/06 precede temporalmente a inversão do enquadramento editorial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M4 sobrevive ao teste</w:t>
            </w:r>
          </w:p>
        </w:tc>
        <w:tc>
          <w:tcPr>
            <w:tcW w:type="dxa" w:w="19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M4 refutado</w:t>
            </w:r>
          </w:p>
        </w:tc>
      </w:tr>
      <w:tr>
        <w:tc>
          <w:tcPr>
            <w:tcW w:type="dxa" w:w="17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Smoking gun</w:t>
            </w:r>
          </w:p>
        </w:tc>
        <w:tc>
          <w:tcPr>
            <w:tcW w:type="dxa" w:w="32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Editorial de grande imprensa reverte posição citando explicitamente a violência policial</w:t>
            </w:r>
          </w:p>
        </w:tc>
        <w:tc>
          <w:tcPr>
            <w:tcW w:type="dxa" w:w="22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M4 fortemente confirmado</w:t>
            </w:r>
          </w:p>
        </w:tc>
        <w:tc>
          <w:tcPr>
            <w:tcW w:type="dxa" w:w="19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Não refuta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Doubly decisive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Adesão concentrada em não-militantes que declaram a repressão como gatilho, e ausente entre militantes prévios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Confirma M4 e refuta explicações rivais</w:t>
            </w:r>
          </w:p>
        </w:tc>
        <w:tc>
          <w:tcPr>
            <w:tcW w:type="dxa" w:w="19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Inconclusivo</w:t>
            </w:r>
          </w:p>
        </w:tc>
      </w:tr>
    </w:tbl>
    <w:p>
      <w:pPr>
        <w:spacing w:after="160"/>
      </w:pPr>
    </w:p>
    <w:p>
      <w:pPr>
        <w:spacing w:after="160" w:line="300"/>
        <w:jc w:val="both"/>
      </w:pPr>
      <w:r>
        <w:rPr>
          <w:rFonts w:ascii="Times New Roman" w:cs="Times New Roman" w:eastAsia="Times New Roman" w:hAnsi="Times New Roman"/>
          <w:sz w:val="24"/>
          <w:szCs w:val="24"/>
        </w:rPr>
        <w:t xml:space="preserve">Os testes hoop e smoking gun são executáveis de imediato com o Acervo Folha, mediante datação da inversão editorial. O teste doubly decisive exige dados de survey de manifestantes, disponíveis para 2013 e 2015 em levantamentos publicados, mas não para os ciclos anteriores.</w:t>
      </w:r>
    </w:p>
    <w:p>
      <w:r>
        <w:br w:type="page"/>
      </w:r>
    </w:p>
    <w:p>
      <w:pPr>
        <w:pStyle w:val="Heading1"/>
      </w:pPr>
      <w:r>
        <w:rPr>
          <w:rFonts w:ascii="Times New Roman" w:cs="Times New Roman" w:eastAsia="Times New Roman" w:hAnsi="Times New Roman"/>
          <w:b/>
          <w:bCs/>
        </w:rPr>
        <w:t xml:space="preserve">8. Ameaças à inferência</w:t>
      </w:r>
    </w:p>
    <w:p>
      <w:pPr>
        <w:pStyle w:val="Heading2"/>
      </w:pPr>
      <w:r>
        <w:rPr>
          <w:rFonts w:ascii="Times New Roman" w:cs="Times New Roman" w:eastAsia="Times New Roman" w:hAnsi="Times New Roman"/>
          <w:b/>
          <w:bCs/>
        </w:rPr>
        <w:t xml:space="preserve">8.1 Circularidade entre periodização e mobilização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33D" w:sz="2"/>
              <w:left w:val="single" w:color="E8A33D" w:sz="18"/>
              <w:bottom w:val="single" w:color="E8A33D" w:sz="2"/>
              <w:right w:val="single" w:color="E8A33D" w:sz="2"/>
            </w:tcBorders>
            <w:shd w:fill="FDE7E9" w:val="clear"/>
            <w:tcMar>
              <w:top w:type="dxa" w:w="140"/>
              <w:left w:type="dxa" w:w="200"/>
              <w:bottom w:type="dxa" w:w="140"/>
              <w:right w:type="dxa" w:w="160"/>
            </w:tcMar>
          </w:tcPr>
          <w:p>
            <w:pPr>
              <w:jc w:val="both"/>
            </w:pPr>
            <w:r>
              <w:rPr>
                <w:rFonts w:ascii="Times New Roman" w:cs="Times New Roman" w:eastAsia="Times New Roman" w:hAnsi="Times New Roman"/>
                <w:sz w:val="22"/>
                <w:szCs w:val="22"/>
              </w:rPr>
              <w:t xml:space="preserve">Este é o alerta metodológico mais importante deste documento. As fronteiras de fase foram definidas, ao menos parcialmente, pela intensidade de mobilização: o pico é o pico porque há mais pessoas nas ruas. Em consequência, não é válido regredir o tamanho ou a frequência dos eventos sobre a variável phase. A relação é definicional, não causal.</w:t>
            </w:r>
          </w:p>
        </w:tc>
      </w:tr>
    </w:tbl>
    <w:p>
      <w:pPr>
        <w:spacing w:after="160"/>
      </w:pPr>
    </w:p>
    <w:p>
      <w:pPr>
        <w:spacing w:after="160" w:line="300"/>
        <w:jc w:val="both"/>
      </w:pPr>
      <w:r>
        <w:rPr>
          <w:rFonts w:ascii="Times New Roman" w:cs="Times New Roman" w:eastAsia="Times New Roman" w:hAnsi="Times New Roman"/>
          <w:sz w:val="24"/>
          <w:szCs w:val="24"/>
        </w:rPr>
        <w:t xml:space="preserve">Permanecem válidas as seguintes operações: usar phase como variável de estratificação e não de predição; regredir características qualitativas dos eventos — repertório, alvo, composição de atores, resposta policial — sobre os scores contextuais, desde que a fase não tenha sido definida por essas características; e utilizar as variáveis de oportunidade política e discursiva como preditoras da forma dos eventos, jamais do seu volume.</w:t>
      </w:r>
    </w:p>
    <w:p>
      <w:pPr>
        <w:pStyle w:val="Heading2"/>
      </w:pPr>
      <w:r>
        <w:rPr>
          <w:rFonts w:ascii="Times New Roman" w:cs="Times New Roman" w:eastAsia="Times New Roman" w:hAnsi="Times New Roman"/>
          <w:b/>
          <w:bCs/>
        </w:rPr>
        <w:t xml:space="preserve">8.2 Endogeneidade da fonte na variável od_visibilidade_midia</w:t>
      </w:r>
    </w:p>
    <w:p>
      <w:pPr>
        <w:spacing w:after="160" w:line="300"/>
        <w:jc w:val="both"/>
      </w:pPr>
      <w:r>
        <w:rPr>
          <w:rFonts w:ascii="Times New Roman" w:cs="Times New Roman" w:eastAsia="Times New Roman" w:hAnsi="Times New Roman"/>
          <w:sz w:val="24"/>
          <w:szCs w:val="24"/>
        </w:rPr>
        <w:t xml:space="preserve">A variável od_visibilidade_midia está prevista para ser mensurada a partir da cobertura do Acervo Folha de S.Paulo, que é simultaneamente a fonte primária de construção do banco protest_events. A consequência é mecânica: fases com maior cobertura da Folha apresentarão maior número de eventos codificados e, ao mesmo tempo, score mais alto de visibilidade midiática. A correlação resultante é artefactual.</w:t>
      </w:r>
    </w:p>
    <w:p>
      <w:pPr>
        <w:spacing w:after="160" w:line="300"/>
        <w:jc w:val="both"/>
      </w:pPr>
      <w:r>
        <w:rPr>
          <w:rFonts w:ascii="Times New Roman" w:cs="Times New Roman" w:eastAsia="Times New Roman" w:hAnsi="Times New Roman"/>
          <w:sz w:val="24"/>
          <w:szCs w:val="24"/>
        </w:rPr>
        <w:t xml:space="preserve">Três correções são obrigatórias, e qualquer uma delas resolve o problema:</w:t>
      </w:r>
    </w:p>
    <w:p>
      <w:pPr>
        <w:pStyle w:val="ListParagraph"/>
        <w:numPr>
          <w:ilvl w:val="0"/>
          <w:numId w:val="2"/>
        </w:numPr>
        <w:spacing w:after="100" w:line="300"/>
      </w:pPr>
      <w:r>
        <w:rPr>
          <w:rFonts w:ascii="Times New Roman" w:cs="Times New Roman" w:eastAsia="Times New Roman" w:hAnsi="Times New Roman"/>
          <w:sz w:val="24"/>
          <w:szCs w:val="24"/>
        </w:rPr>
        <w:t xml:space="preserve">Mensurar od_visibilidade_midia a partir de fonte independente do banco de eventos, como o Estadão, o Jornal do Brasil ou arquivos de telejornal.</w:t>
      </w:r>
    </w:p>
    <w:p>
      <w:pPr>
        <w:pStyle w:val="ListParagraph"/>
        <w:numPr>
          <w:ilvl w:val="0"/>
          <w:numId w:val="2"/>
        </w:numPr>
        <w:spacing w:after="100" w:line="300"/>
      </w:pPr>
      <w:r>
        <w:rPr>
          <w:rFonts w:ascii="Times New Roman" w:cs="Times New Roman" w:eastAsia="Times New Roman" w:hAnsi="Times New Roman"/>
          <w:sz w:val="24"/>
          <w:szCs w:val="24"/>
        </w:rPr>
        <w:t xml:space="preserve">Decompor a variável em volume_cobertura, mensurado na Folha e reconhecidamente endógeno, e enquadramento_editorial, mensurado em editoriais e exógeno ao volume.</w:t>
      </w:r>
    </w:p>
    <w:p>
      <w:pPr>
        <w:pStyle w:val="ListParagraph"/>
        <w:numPr>
          <w:ilvl w:val="0"/>
          <w:numId w:val="2"/>
        </w:numPr>
        <w:spacing w:after="100" w:line="300"/>
      </w:pPr>
      <w:r>
        <w:rPr>
          <w:rFonts w:ascii="Times New Roman" w:cs="Times New Roman" w:eastAsia="Times New Roman" w:hAnsi="Times New Roman"/>
          <w:sz w:val="24"/>
          <w:szCs w:val="24"/>
        </w:rPr>
        <w:t xml:space="preserve">Tratar a densidade de cobertura da Folha como variável de exposição no denominador, e não como variável explicativa.</w:t>
      </w:r>
    </w:p>
    <w:p>
      <w:pPr>
        <w:spacing w:after="100"/>
      </w:pPr>
    </w:p>
    <w:p>
      <w:pPr>
        <w:spacing w:after="160" w:line="300"/>
        <w:jc w:val="both"/>
      </w:pPr>
      <w:r>
        <w:rPr>
          <w:rFonts w:ascii="Times New Roman" w:cs="Times New Roman" w:eastAsia="Times New Roman" w:hAnsi="Times New Roman"/>
          <w:sz w:val="24"/>
          <w:szCs w:val="24"/>
        </w:rPr>
        <w:t xml:space="preserve">Sem uma dessas correções, qualquer achado sobre oportunidades discursivas em Junho de 2013 estará contaminado pela própria fonte.</w:t>
      </w:r>
    </w:p>
    <w:p>
      <w:pPr>
        <w:pStyle w:val="Heading2"/>
      </w:pPr>
      <w:r>
        <w:rPr>
          <w:rFonts w:ascii="Times New Roman" w:cs="Times New Roman" w:eastAsia="Times New Roman" w:hAnsi="Times New Roman"/>
          <w:b/>
          <w:bCs/>
        </w:rPr>
        <w:t xml:space="preserve">8.3 Ameaças residuais e mitigações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Ameaça</w:t>
            </w:r>
          </w:p>
        </w:tc>
        <w:tc>
          <w:tcPr>
            <w:tcW w:type="dxa" w:w="5626"/>
            <w:tcBorders>
              <w:top w:val="single" w:color="1F4E79" w:sz="1"/>
              <w:left w:val="single" w:color="1F4E79" w:sz="1"/>
              <w:bottom w:val="single" w:color="1F4E79" w:sz="1"/>
              <w:right w:val="single" w:color="1F4E79" w:sz="1"/>
            </w:tcBorders>
            <w:shd w:fill="1F4E79"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18"/>
                <w:szCs w:val="18"/>
              </w:rPr>
              <w:t xml:space="preserve">Mitigação</w:t>
            </w:r>
          </w:p>
        </w:tc>
      </w:tr>
      <w:tr>
        <w:tc>
          <w:tcPr>
            <w:tcW w:type="dxa" w:w="3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Periodização endógena ao resultado</w:t>
            </w:r>
          </w:p>
        </w:tc>
        <w:tc>
          <w:tcPr>
            <w:tcW w:type="dxa" w:w="56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Pré-registrar as fronteiras de fase antes de iniciar a codificação de eventos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Scores atribuídos pelo mesmo pesquisador que formulou a hipótese</w:t>
            </w:r>
          </w:p>
        </w:tc>
        <w:tc>
          <w:tcPr>
            <w:tcW w:type="dxa" w:w="56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Codificação independente e cálculo de Cohen's Kappa; patamar-alvo κ ≥ 0,70</w:t>
            </w:r>
          </w:p>
        </w:tc>
      </w:tr>
      <w:tr>
        <w:tc>
          <w:tcPr>
            <w:tcW w:type="dxa" w:w="3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Retroprojeção do conhecimento do desfecho</w:t>
            </w:r>
          </w:p>
        </w:tc>
        <w:tc>
          <w:tcPr>
            <w:tcW w:type="dxa" w:w="56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Codificação cega ao ciclo: apresentar descrições de fase sem identificar o caso</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N pequeno e equifinalidade</w:t>
            </w:r>
          </w:p>
        </w:tc>
        <w:tc>
          <w:tcPr>
            <w:tcW w:type="dxa" w:w="562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Renunciar a claims de necessidade e suficiência; adotar linguagem de mecanismo</w:t>
            </w:r>
          </w:p>
        </w:tc>
      </w:tr>
      <w:tr>
        <w:tc>
          <w:tcPr>
            <w:tcW w:type="dxa" w:w="3400"/>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bCs/>
                <w:i w:val="false"/>
                <w:iCs w:val="false"/>
                <w:sz w:val="19"/>
                <w:szCs w:val="19"/>
              </w:rPr>
              <w:t xml:space="preserve">Heterogeneidade intramunicipal da repressão</w:t>
            </w:r>
          </w:p>
        </w:tc>
        <w:tc>
          <w:tcPr>
            <w:tcW w:type="dxa" w:w="5626"/>
            <w:tcBorders>
              <w:top w:val="single" w:color="CCCCCC" w:sz="1"/>
              <w:left w:val="single" w:color="CCCCCC" w:sz="1"/>
              <w:bottom w:val="single" w:color="CCCCCC" w:sz="1"/>
              <w:right w:val="single" w:color="CCCCCC" w:sz="1"/>
            </w:tcBorders>
            <w:shd w:fill="F7F9FB"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i w:val="false"/>
                <w:iCs w:val="false"/>
                <w:sz w:val="19"/>
                <w:szCs w:val="19"/>
              </w:rPr>
              <w:t xml:space="preserve">Sinalizar variance_flag; considerar mensurar op_repressao em nível de município-fase</w:t>
            </w:r>
          </w:p>
        </w:tc>
      </w:tr>
    </w:tbl>
    <w:p>
      <w:r>
        <w:br w:type="page"/>
      </w:r>
    </w:p>
    <w:p>
      <w:pPr>
        <w:pStyle w:val="Heading1"/>
      </w:pPr>
      <w:r>
        <w:rPr>
          <w:rFonts w:ascii="Times New Roman" w:cs="Times New Roman" w:eastAsia="Times New Roman" w:hAnsi="Times New Roman"/>
          <w:b/>
          <w:bCs/>
        </w:rPr>
        <w:t xml:space="preserve">9. Operações seguintes</w:t>
      </w:r>
    </w:p>
    <w:p>
      <w:pPr>
        <w:pStyle w:val="ListParagraph"/>
        <w:numPr>
          <w:ilvl w:val="0"/>
          <w:numId w:val="2"/>
        </w:numPr>
        <w:spacing w:after="100" w:line="300"/>
      </w:pPr>
      <w:r>
        <w:rPr>
          <w:rFonts w:ascii="Times New Roman" w:cs="Times New Roman" w:eastAsia="Times New Roman" w:hAnsi="Times New Roman"/>
          <w:sz w:val="24"/>
          <w:szCs w:val="24"/>
        </w:rPr>
        <w:t xml:space="preserve">Resolver a decisão de desenho da Seção 2: quatro ciclos ou três. Especificar o teste empírico da hipótese rival do ciclo único.</w:t>
      </w:r>
    </w:p>
    <w:p>
      <w:pPr>
        <w:pStyle w:val="ListParagraph"/>
        <w:numPr>
          <w:ilvl w:val="0"/>
          <w:numId w:val="2"/>
        </w:numPr>
        <w:spacing w:after="100" w:line="300"/>
      </w:pPr>
      <w:r>
        <w:rPr>
          <w:rFonts w:ascii="Times New Roman" w:cs="Times New Roman" w:eastAsia="Times New Roman" w:hAnsi="Times New Roman"/>
          <w:sz w:val="24"/>
          <w:szCs w:val="24"/>
        </w:rPr>
        <w:t xml:space="preserve">Verificar em fonte primária as datas das mobilizações tarifárias precedentes a junho de 2013, sinalizadas com flag_verificacao no dataset.</w:t>
      </w:r>
    </w:p>
    <w:p>
      <w:pPr>
        <w:pStyle w:val="ListParagraph"/>
        <w:numPr>
          <w:ilvl w:val="0"/>
          <w:numId w:val="2"/>
        </w:numPr>
        <w:spacing w:after="100" w:line="300"/>
      </w:pPr>
      <w:r>
        <w:rPr>
          <w:rFonts w:ascii="Times New Roman" w:cs="Times New Roman" w:eastAsia="Times New Roman" w:hAnsi="Times New Roman"/>
          <w:sz w:val="24"/>
          <w:szCs w:val="24"/>
        </w:rPr>
        <w:t xml:space="preserve">Pré-registrar a periodização revisada antes de iniciar a codificação sistemática de eventos.</w:t>
      </w:r>
    </w:p>
    <w:p>
      <w:pPr>
        <w:pStyle w:val="ListParagraph"/>
        <w:numPr>
          <w:ilvl w:val="0"/>
          <w:numId w:val="2"/>
        </w:numPr>
        <w:spacing w:after="100" w:line="300"/>
      </w:pPr>
      <w:r>
        <w:rPr>
          <w:rFonts w:ascii="Times New Roman" w:cs="Times New Roman" w:eastAsia="Times New Roman" w:hAnsi="Times New Roman"/>
          <w:sz w:val="24"/>
          <w:szCs w:val="24"/>
        </w:rPr>
        <w:t xml:space="preserve">Substituir a fonte de mensuração de od_visibilidade_midia por veículo independente do Acervo Folha, conforme a Seção 8.2.</w:t>
      </w:r>
    </w:p>
    <w:p>
      <w:pPr>
        <w:pStyle w:val="ListParagraph"/>
        <w:numPr>
          <w:ilvl w:val="0"/>
          <w:numId w:val="2"/>
        </w:numPr>
        <w:spacing w:after="100" w:line="300"/>
      </w:pPr>
      <w:r>
        <w:rPr>
          <w:rFonts w:ascii="Times New Roman" w:cs="Times New Roman" w:eastAsia="Times New Roman" w:hAnsi="Times New Roman"/>
          <w:sz w:val="24"/>
          <w:szCs w:val="24"/>
        </w:rPr>
        <w:t xml:space="preserve">Executar os testes hoop e smoking gun sobre o mecanismo M4, datando a inversão do enquadramento editorial em junho de 2013.</w:t>
      </w:r>
    </w:p>
    <w:p>
      <w:pPr>
        <w:pStyle w:val="ListParagraph"/>
        <w:numPr>
          <w:ilvl w:val="0"/>
          <w:numId w:val="2"/>
        </w:numPr>
        <w:spacing w:after="100" w:line="300"/>
      </w:pPr>
      <w:r>
        <w:rPr>
          <w:rFonts w:ascii="Times New Roman" w:cs="Times New Roman" w:eastAsia="Times New Roman" w:hAnsi="Times New Roman"/>
          <w:sz w:val="24"/>
          <w:szCs w:val="24"/>
        </w:rPr>
        <w:t xml:space="preserve">Realizar rodada de codificação independente do cycle_phases e calcular Cohen's Kappa por variável.</w:t>
      </w:r>
    </w:p>
    <w:p>
      <w:pPr>
        <w:pStyle w:val="ListParagraph"/>
        <w:numPr>
          <w:ilvl w:val="0"/>
          <w:numId w:val="2"/>
        </w:numPr>
        <w:spacing w:after="100" w:line="300"/>
      </w:pPr>
      <w:r>
        <w:rPr>
          <w:rFonts w:ascii="Times New Roman" w:cs="Times New Roman" w:eastAsia="Times New Roman" w:hAnsi="Times New Roman"/>
          <w:sz w:val="24"/>
          <w:szCs w:val="24"/>
        </w:rPr>
        <w:t xml:space="preserve">Estabelecer a chave de junção entre cycle_phases e protest_events, excluindo a fase de latência das operações de pareamento cross-case.</w:t>
      </w:r>
    </w:p>
    <w:p>
      <w:r>
        <w:br w:type="page"/>
      </w:r>
    </w:p>
    <w:p>
      <w:pPr>
        <w:pStyle w:val="Heading1"/>
      </w:pPr>
      <w:r>
        <w:rPr>
          <w:rFonts w:ascii="Times New Roman" w:cs="Times New Roman" w:eastAsia="Times New Roman" w:hAnsi="Times New Roman"/>
          <w:b/>
          <w:bCs/>
        </w:rPr>
        <w:t xml:space="preserve">Declaração de uso de inteligência artificial</w:t>
      </w:r>
    </w:p>
    <w:p>
      <w:pPr>
        <w:spacing w:after="160" w:line="300"/>
        <w:jc w:val="both"/>
      </w:pPr>
      <w:r>
        <w:rPr>
          <w:rFonts w:ascii="Times New Roman" w:cs="Times New Roman" w:eastAsia="Times New Roman" w:hAnsi="Times New Roman"/>
          <w:sz w:val="24"/>
          <w:szCs w:val="24"/>
        </w:rPr>
        <w:t xml:space="preserve">Este documento foi elaborado com assistência do modelo de linguagem Claude (Anthropic) nas seguintes funções: sistematização da matriz de codificação, redação de critérios operacionais das variáveis, formatação das tabelas comparativas, e organização da estratégia de inferência causal. As buscas bibliográficas foram realizadas mediante a base Consensus, que indexa Semantic Scholar, Scopus, PubMed e arXiv. A formulação das hipóteses, a atribuição dos scores, as decisões de periodização e a responsabilidade integral pelo conteúdo analítico são do autor. Nenhuma referência bibliográfica foi gerada sem verificação em base indexada.</w:t>
      </w:r>
    </w:p>
    <w:p>
      <w:pPr>
        <w:pStyle w:val="Heading1"/>
      </w:pPr>
      <w:r>
        <w:rPr>
          <w:rFonts w:ascii="Times New Roman" w:cs="Times New Roman" w:eastAsia="Times New Roman" w:hAnsi="Times New Roman"/>
          <w:b/>
          <w:bCs/>
        </w:rPr>
        <w:t xml:space="preserve">Declaração de disponibilidade de dados</w:t>
      </w:r>
    </w:p>
    <w:p>
      <w:pPr>
        <w:spacing w:after="160" w:line="300"/>
        <w:jc w:val="both"/>
      </w:pPr>
      <w:r>
        <w:rPr>
          <w:rFonts w:ascii="Times New Roman" w:cs="Times New Roman" w:eastAsia="Times New Roman" w:hAnsi="Times New Roman"/>
          <w:sz w:val="24"/>
          <w:szCs w:val="24"/>
        </w:rPr>
        <w:t xml:space="preserve">O dataset cycle_phases, na versão correspondente a este documento, é distribuído em formato .xlsx com quatro abas: dados tabulares, matrizes comparativas, codebook das variáveis e periodização anotada. Os scores nele contidos constituem hipóteses analíticas preliminares e não medidas empiricamente validadas. O banco protest_events encontra-se em construção e não está disponível nesta versão. As datas assinaladas com flag_verificacao requerem confirmação em fonte primária antes de qualquer uso analítico.</w:t>
      </w:r>
    </w:p>
    <w:p>
      <w:r>
        <w:br w:type="page"/>
      </w:r>
    </w:p>
    <w:p>
      <w:pPr>
        <w:pStyle w:val="Heading1"/>
      </w:pPr>
      <w:r>
        <w:rPr>
          <w:rFonts w:ascii="Times New Roman" w:cs="Times New Roman" w:eastAsia="Times New Roman" w:hAnsi="Times New Roman"/>
          <w:b/>
          <w:bCs/>
        </w:rPr>
        <w:t xml:space="preserve">Referências</w:t>
      </w:r>
    </w:p>
    <w:p>
      <w:pPr>
        <w:spacing w:after="160" w:line="300"/>
        <w:jc w:val="both"/>
      </w:pPr>
      <w:r>
        <w:rPr>
          <w:rFonts w:ascii="Times New Roman" w:cs="Times New Roman" w:eastAsia="Times New Roman" w:hAnsi="Times New Roman"/>
          <w:sz w:val="24"/>
          <w:szCs w:val="24"/>
        </w:rPr>
        <w:t xml:space="preserve">ALEXANDER, Jeffrey C. The civil sphere. Oxford: Oxford University Press, 2006.</w:t>
      </w:r>
    </w:p>
    <w:p>
      <w:pPr>
        <w:spacing w:after="160" w:line="300"/>
        <w:jc w:val="both"/>
      </w:pPr>
      <w:r>
        <w:rPr>
          <w:rFonts w:ascii="Times New Roman" w:cs="Times New Roman" w:eastAsia="Times New Roman" w:hAnsi="Times New Roman"/>
          <w:sz w:val="24"/>
          <w:szCs w:val="24"/>
        </w:rPr>
        <w:t xml:space="preserve">ALONSO, Angela; MISCHE, Ann. Changing repertoires and partisan ambivalence in the new Brazilian protests. Bulletin of Latin American Research, v. 36, n. 2, p. 144-159, 2017.</w:t>
      </w:r>
    </w:p>
    <w:p>
      <w:pPr>
        <w:spacing w:after="160" w:line="300"/>
        <w:jc w:val="both"/>
      </w:pPr>
      <w:r>
        <w:rPr>
          <w:rFonts w:ascii="Times New Roman" w:cs="Times New Roman" w:eastAsia="Times New Roman" w:hAnsi="Times New Roman"/>
          <w:sz w:val="24"/>
          <w:szCs w:val="24"/>
        </w:rPr>
        <w:t xml:space="preserve">ANSELL, Aaron. Impeaching Dilma Rousseff: the double life of corruption allegations on Brazil's political right. Culture, Theory and Critique, v. 59, n. 4, p. 312-331, 2018.</w:t>
      </w:r>
    </w:p>
    <w:p>
      <w:pPr>
        <w:spacing w:after="160" w:line="300"/>
        <w:jc w:val="both"/>
      </w:pPr>
      <w:r>
        <w:rPr>
          <w:rFonts w:ascii="Times New Roman" w:cs="Times New Roman" w:eastAsia="Times New Roman" w:hAnsi="Times New Roman"/>
          <w:sz w:val="24"/>
          <w:szCs w:val="24"/>
        </w:rPr>
        <w:t xml:space="preserve">BEACH, Derek; PEDERSEN, Rasmus B. Process-tracing methods: foundations and guidelines. Ann Arbor: University of Michigan Press, 2013.</w:t>
      </w:r>
    </w:p>
    <w:p>
      <w:pPr>
        <w:spacing w:after="160" w:line="300"/>
        <w:jc w:val="both"/>
      </w:pPr>
      <w:r>
        <w:rPr>
          <w:rFonts w:ascii="Times New Roman" w:cs="Times New Roman" w:eastAsia="Times New Roman" w:hAnsi="Times New Roman"/>
          <w:sz w:val="24"/>
          <w:szCs w:val="24"/>
        </w:rPr>
        <w:t xml:space="preserve">DAVENPORT, Christian. State repression and the domestic democratic peace. Cambridge: Cambridge University Press, 2007.</w:t>
      </w:r>
    </w:p>
    <w:p>
      <w:pPr>
        <w:spacing w:after="160" w:line="300"/>
        <w:jc w:val="both"/>
      </w:pPr>
      <w:r>
        <w:rPr>
          <w:rFonts w:ascii="Times New Roman" w:cs="Times New Roman" w:eastAsia="Times New Roman" w:hAnsi="Times New Roman"/>
          <w:sz w:val="24"/>
          <w:szCs w:val="24"/>
        </w:rPr>
        <w:t xml:space="preserve">DELLA PORTA, Donatella. Social movements and the state: thoughts on the policing of protest. In: McADAM, D.; McCARTHY, J.; ZALD, M. (Orgs.). Comparative perspectives on social movements. Cambridge: Cambridge University Press, 1996.</w:t>
      </w:r>
    </w:p>
    <w:p>
      <w:pPr>
        <w:spacing w:after="160" w:line="300"/>
        <w:jc w:val="both"/>
      </w:pPr>
      <w:r>
        <w:rPr>
          <w:rFonts w:ascii="Times New Roman" w:cs="Times New Roman" w:eastAsia="Times New Roman" w:hAnsi="Times New Roman"/>
          <w:sz w:val="24"/>
          <w:szCs w:val="24"/>
        </w:rPr>
        <w:t xml:space="preserve">DELLA PORTA, Donatella; DIANI, Mario. Social movements: an introduction. 2. ed. Oxford: Blackwell, 2006.</w:t>
      </w:r>
    </w:p>
    <w:p>
      <w:pPr>
        <w:spacing w:after="160" w:line="300"/>
        <w:jc w:val="both"/>
      </w:pPr>
      <w:r>
        <w:rPr>
          <w:rFonts w:ascii="Times New Roman" w:cs="Times New Roman" w:eastAsia="Times New Roman" w:hAnsi="Times New Roman"/>
          <w:sz w:val="24"/>
          <w:szCs w:val="24"/>
        </w:rPr>
        <w:t xml:space="preserve">DOBRY, Michel. Sociologie des crises politiques. Paris: Presses de Sciences Po, 1986.</w:t>
      </w:r>
    </w:p>
    <w:p>
      <w:pPr>
        <w:spacing w:after="160" w:line="300"/>
        <w:jc w:val="both"/>
      </w:pPr>
      <w:r>
        <w:rPr>
          <w:rFonts w:ascii="Times New Roman" w:cs="Times New Roman" w:eastAsia="Times New Roman" w:hAnsi="Times New Roman"/>
          <w:sz w:val="24"/>
          <w:szCs w:val="24"/>
        </w:rPr>
        <w:t xml:space="preserve">ENTMAN, Robert. Framing: toward clarification of a fractured paradigm. Journal of Communication, v. 43, n. 4, p. 51-58, 1993.</w:t>
      </w:r>
    </w:p>
    <w:p>
      <w:pPr>
        <w:spacing w:after="160" w:line="300"/>
        <w:jc w:val="both"/>
      </w:pPr>
      <w:r>
        <w:rPr>
          <w:rFonts w:ascii="Times New Roman" w:cs="Times New Roman" w:eastAsia="Times New Roman" w:hAnsi="Times New Roman"/>
          <w:sz w:val="24"/>
          <w:szCs w:val="24"/>
        </w:rPr>
        <w:t xml:space="preserve">EVANGELISTA, Daniel Fassa. Polarização severa no pós-Junho de 2013: a experiência social dos movimentos Passe Livre e Brasil Livre. Desigualdade e Diversidade, 2023. [dados de volume e página a confirmar]</w:t>
      </w:r>
    </w:p>
    <w:p>
      <w:pPr>
        <w:spacing w:after="160" w:line="300"/>
        <w:jc w:val="both"/>
      </w:pPr>
      <w:r>
        <w:rPr>
          <w:rFonts w:ascii="Times New Roman" w:cs="Times New Roman" w:eastAsia="Times New Roman" w:hAnsi="Times New Roman"/>
          <w:sz w:val="24"/>
          <w:szCs w:val="24"/>
        </w:rPr>
        <w:t xml:space="preserve">EYERMAN, Ron; JAMISON, Andrew. Social movements: a cognitive approach. University Park: Penn State University Press, 1991.</w:t>
      </w:r>
    </w:p>
    <w:p>
      <w:pPr>
        <w:spacing w:after="160" w:line="300"/>
        <w:jc w:val="both"/>
      </w:pPr>
      <w:r>
        <w:rPr>
          <w:rFonts w:ascii="Times New Roman" w:cs="Times New Roman" w:eastAsia="Times New Roman" w:hAnsi="Times New Roman"/>
          <w:sz w:val="24"/>
          <w:szCs w:val="24"/>
        </w:rPr>
        <w:t xml:space="preserve">FERNANDES, Antonio et al. A longa conjuntura crítica brasileira desde 2013: crise e castigo. 2020. [periódico, volume e página a confirmar]</w:t>
      </w:r>
    </w:p>
    <w:p>
      <w:pPr>
        <w:spacing w:after="160" w:line="300"/>
        <w:jc w:val="both"/>
      </w:pPr>
      <w:r>
        <w:rPr>
          <w:rFonts w:ascii="Times New Roman" w:cs="Times New Roman" w:eastAsia="Times New Roman" w:hAnsi="Times New Roman"/>
          <w:sz w:val="24"/>
          <w:szCs w:val="24"/>
        </w:rPr>
        <w:t xml:space="preserve">FERREE, Myra M.; GAMSON, William A.; GERHARDS, Jürgen; RUCHT, Dieter. Shaping abortion discourse. Cambridge: Cambridge University Press, 2002.</w:t>
      </w:r>
    </w:p>
    <w:p>
      <w:pPr>
        <w:spacing w:after="160" w:line="300"/>
        <w:jc w:val="both"/>
      </w:pPr>
      <w:r>
        <w:rPr>
          <w:rFonts w:ascii="Times New Roman" w:cs="Times New Roman" w:eastAsia="Times New Roman" w:hAnsi="Times New Roman"/>
          <w:sz w:val="24"/>
          <w:szCs w:val="24"/>
        </w:rPr>
        <w:t xml:space="preserve">FRANCISCO, Ronald. The relationship between coercion and protest. Journal of Conflict Resolution, v. 39, n. 2, p. 263-287, 1995.</w:t>
      </w:r>
    </w:p>
    <w:p>
      <w:pPr>
        <w:spacing w:after="160" w:line="300"/>
        <w:jc w:val="both"/>
      </w:pPr>
      <w:r>
        <w:rPr>
          <w:rFonts w:ascii="Times New Roman" w:cs="Times New Roman" w:eastAsia="Times New Roman" w:hAnsi="Times New Roman"/>
          <w:sz w:val="24"/>
          <w:szCs w:val="24"/>
        </w:rPr>
        <w:t xml:space="preserve">GAMSON, William A. Talking politics. Cambridge: Cambridge University Press, 1992.</w:t>
      </w:r>
    </w:p>
    <w:p>
      <w:pPr>
        <w:spacing w:after="160" w:line="300"/>
        <w:jc w:val="both"/>
      </w:pPr>
      <w:r>
        <w:rPr>
          <w:rFonts w:ascii="Times New Roman" w:cs="Times New Roman" w:eastAsia="Times New Roman" w:hAnsi="Times New Roman"/>
          <w:sz w:val="24"/>
          <w:szCs w:val="24"/>
        </w:rPr>
        <w:t xml:space="preserve">GAMSON, William A.; MEYER, David S. Framing political opportunity. In: McADAM, D. et al. (Orgs.). Comparative perspectives on social movements. Cambridge: Cambridge University Press, 1996.</w:t>
      </w:r>
    </w:p>
    <w:p>
      <w:pPr>
        <w:spacing w:after="160" w:line="300"/>
        <w:jc w:val="both"/>
      </w:pPr>
      <w:r>
        <w:rPr>
          <w:rFonts w:ascii="Times New Roman" w:cs="Times New Roman" w:eastAsia="Times New Roman" w:hAnsi="Times New Roman"/>
          <w:sz w:val="24"/>
          <w:szCs w:val="24"/>
        </w:rPr>
        <w:t xml:space="preserve">GOHN, Maria da Glória. Junho de 2013, 10 anos depois: um enigma ainda a decifrar. Desigualdade e Diversidade, 2023. [dados de volume e página a confirmar]</w:t>
      </w:r>
    </w:p>
    <w:p>
      <w:pPr>
        <w:spacing w:after="160" w:line="300"/>
        <w:jc w:val="both"/>
      </w:pPr>
      <w:r>
        <w:rPr>
          <w:rFonts w:ascii="Times New Roman" w:cs="Times New Roman" w:eastAsia="Times New Roman" w:hAnsi="Times New Roman"/>
          <w:sz w:val="24"/>
          <w:szCs w:val="24"/>
        </w:rPr>
        <w:t xml:space="preserve">HABERMAS, Jürgen. Legitimation crisis. Boston: Beacon Press, 1973.</w:t>
      </w:r>
    </w:p>
    <w:p>
      <w:pPr>
        <w:spacing w:after="160" w:line="300"/>
        <w:jc w:val="both"/>
      </w:pPr>
      <w:r>
        <w:rPr>
          <w:rFonts w:ascii="Times New Roman" w:cs="Times New Roman" w:eastAsia="Times New Roman" w:hAnsi="Times New Roman"/>
          <w:sz w:val="24"/>
          <w:szCs w:val="24"/>
        </w:rPr>
        <w:t xml:space="preserve">KOOPMANS, Ruud; STATHAM, Paul. Ethnic and civic conceptions of nationhood and the differential success of the extreme right in Germany and Italy. In: GIUGNI, M. et al. (Orgs.). How social movements matter. Minneapolis: University of Minnesota Press, 1999.</w:t>
      </w:r>
    </w:p>
    <w:p>
      <w:pPr>
        <w:spacing w:after="160" w:line="300"/>
        <w:jc w:val="both"/>
      </w:pPr>
      <w:r>
        <w:rPr>
          <w:rFonts w:ascii="Times New Roman" w:cs="Times New Roman" w:eastAsia="Times New Roman" w:hAnsi="Times New Roman"/>
          <w:sz w:val="24"/>
          <w:szCs w:val="24"/>
        </w:rPr>
        <w:t xml:space="preserve">KRIESI, Hanspeter; KOOPMANS, Ruud; DUYVENDAK, Jan Willem; GIUGNI, Marco. New social movements in Western Europe. Minneapolis: University of Minnesota Press, 1995.</w:t>
      </w:r>
    </w:p>
    <w:p>
      <w:pPr>
        <w:spacing w:after="160" w:line="300"/>
        <w:jc w:val="both"/>
      </w:pPr>
      <w:r>
        <w:rPr>
          <w:rFonts w:ascii="Times New Roman" w:cs="Times New Roman" w:eastAsia="Times New Roman" w:hAnsi="Times New Roman"/>
          <w:sz w:val="24"/>
          <w:szCs w:val="24"/>
        </w:rPr>
        <w:t xml:space="preserve">McADAM, Doug. Conceptual origins, current problems, future directions. In: McADAM, D. et al. (Orgs.). Comparative perspectives on social movements. Cambridge: Cambridge University Press, 1996.</w:t>
      </w:r>
    </w:p>
    <w:p>
      <w:pPr>
        <w:spacing w:after="160" w:line="300"/>
        <w:jc w:val="both"/>
      </w:pPr>
      <w:r>
        <w:rPr>
          <w:rFonts w:ascii="Times New Roman" w:cs="Times New Roman" w:eastAsia="Times New Roman" w:hAnsi="Times New Roman"/>
          <w:sz w:val="24"/>
          <w:szCs w:val="24"/>
        </w:rPr>
        <w:t xml:space="preserve">McADAM, Doug; TARROW, Sidney; TILLY, Charles. Dynamics of contention. Cambridge: Cambridge University Press, 2001.</w:t>
      </w:r>
    </w:p>
    <w:p>
      <w:pPr>
        <w:spacing w:after="160" w:line="300"/>
        <w:jc w:val="both"/>
      </w:pPr>
      <w:r>
        <w:rPr>
          <w:rFonts w:ascii="Times New Roman" w:cs="Times New Roman" w:eastAsia="Times New Roman" w:hAnsi="Times New Roman"/>
          <w:sz w:val="24"/>
          <w:szCs w:val="24"/>
        </w:rPr>
        <w:t xml:space="preserve">NUNES, Felipe; MELO, Carlos Ranulfo. Impeachment, political crisis and democracy in Brazil. Revista de Ciencia Política, v. 37, n. 2, p. 281-304, 2017.</w:t>
      </w:r>
    </w:p>
    <w:p>
      <w:pPr>
        <w:spacing w:after="160" w:line="300"/>
        <w:jc w:val="both"/>
      </w:pPr>
      <w:r>
        <w:rPr>
          <w:rFonts w:ascii="Times New Roman" w:cs="Times New Roman" w:eastAsia="Times New Roman" w:hAnsi="Times New Roman"/>
          <w:sz w:val="24"/>
          <w:szCs w:val="24"/>
        </w:rPr>
        <w:t xml:space="preserve">ORTELLADO, Pablo et al. Nova direita nas ruas? Uma análise do descompasso entre manifestantes e os convocantes dos protestos antigoverno de 2015. 2016. [periódico, volume e página a confirmar]</w:t>
      </w:r>
    </w:p>
    <w:p>
      <w:pPr>
        <w:spacing w:after="160" w:line="300"/>
        <w:jc w:val="both"/>
      </w:pPr>
      <w:r>
        <w:rPr>
          <w:rFonts w:ascii="Times New Roman" w:cs="Times New Roman" w:eastAsia="Times New Roman" w:hAnsi="Times New Roman"/>
          <w:sz w:val="24"/>
          <w:szCs w:val="24"/>
        </w:rPr>
        <w:t xml:space="preserve">PEREZ, Olívia. Sistematização crítica das interpretações acadêmicas brasileiras sobre as Jornadas de Junho de 2013. Izquierdas, 2024. [volume e página a confirmar]</w:t>
      </w:r>
    </w:p>
    <w:p>
      <w:pPr>
        <w:spacing w:after="160" w:line="300"/>
        <w:jc w:val="both"/>
      </w:pPr>
      <w:r>
        <w:rPr>
          <w:rFonts w:ascii="Times New Roman" w:cs="Times New Roman" w:eastAsia="Times New Roman" w:hAnsi="Times New Roman"/>
          <w:sz w:val="24"/>
          <w:szCs w:val="24"/>
        </w:rPr>
        <w:t xml:space="preserve">PIVEN, Frances Fox; CLOWARD, Richard A. Poor people's movements. New York: Pantheon, 1977.</w:t>
      </w:r>
    </w:p>
    <w:p>
      <w:pPr>
        <w:spacing w:after="160" w:line="300"/>
        <w:jc w:val="both"/>
      </w:pPr>
      <w:r>
        <w:rPr>
          <w:rFonts w:ascii="Times New Roman" w:cs="Times New Roman" w:eastAsia="Times New Roman" w:hAnsi="Times New Roman"/>
          <w:sz w:val="24"/>
          <w:szCs w:val="24"/>
        </w:rPr>
        <w:t xml:space="preserve">RAZOVICH, Natalia. Calle tomada: la paradoja de la indignación en Brasil y la disputa por la sociedad. 2019. [periódico, volume e página a confirmar]</w:t>
      </w:r>
    </w:p>
    <w:p>
      <w:pPr>
        <w:spacing w:after="160" w:line="300"/>
        <w:jc w:val="both"/>
      </w:pPr>
      <w:r>
        <w:rPr>
          <w:rFonts w:ascii="Times New Roman" w:cs="Times New Roman" w:eastAsia="Times New Roman" w:hAnsi="Times New Roman"/>
          <w:sz w:val="24"/>
          <w:szCs w:val="24"/>
        </w:rPr>
        <w:t xml:space="preserve">SAAD-FILHO, Alfredo. Mass protests under 'left neoliberalism': Brazil, June-July 2013. Critical Sociology, v. 39, n. 5, p. 657-669, 2013.</w:t>
      </w:r>
    </w:p>
    <w:p>
      <w:pPr>
        <w:spacing w:after="160" w:line="300"/>
        <w:jc w:val="both"/>
      </w:pPr>
      <w:r>
        <w:rPr>
          <w:rFonts w:ascii="Times New Roman" w:cs="Times New Roman" w:eastAsia="Times New Roman" w:hAnsi="Times New Roman"/>
          <w:sz w:val="24"/>
          <w:szCs w:val="24"/>
        </w:rPr>
        <w:t xml:space="preserve">SCARTEZINI, Natália. A fascistização da indignação: as manifestações de 2015 no Brasil. 2016. [periódico, volume e página a confirmar]</w:t>
      </w:r>
    </w:p>
    <w:p>
      <w:pPr>
        <w:spacing w:after="160" w:line="300"/>
        <w:jc w:val="both"/>
      </w:pPr>
      <w:r>
        <w:rPr>
          <w:rFonts w:ascii="Times New Roman" w:cs="Times New Roman" w:eastAsia="Times New Roman" w:hAnsi="Times New Roman"/>
          <w:sz w:val="24"/>
          <w:szCs w:val="24"/>
        </w:rPr>
        <w:t xml:space="preserve">SINGER, André. Brasil, junho de 2013: classes e ideologias cruzadas. Novos Estudos Cebrap, n. 97, p. 23-40, 2013.</w:t>
      </w:r>
    </w:p>
    <w:p>
      <w:pPr>
        <w:spacing w:after="160" w:line="300"/>
        <w:jc w:val="both"/>
      </w:pPr>
      <w:r>
        <w:rPr>
          <w:rFonts w:ascii="Times New Roman" w:cs="Times New Roman" w:eastAsia="Times New Roman" w:hAnsi="Times New Roman"/>
          <w:sz w:val="24"/>
          <w:szCs w:val="24"/>
        </w:rPr>
        <w:t xml:space="preserve">SNOW, David A.; BENFORD, Robert D. Ideology, frame resonance, and participant mobilization. International Social Movement Research, v. 1, p. 197-217, 1988.</w:t>
      </w:r>
    </w:p>
    <w:p>
      <w:pPr>
        <w:spacing w:after="160" w:line="300"/>
        <w:jc w:val="both"/>
      </w:pPr>
      <w:r>
        <w:rPr>
          <w:rFonts w:ascii="Times New Roman" w:cs="Times New Roman" w:eastAsia="Times New Roman" w:hAnsi="Times New Roman"/>
          <w:sz w:val="24"/>
          <w:szCs w:val="24"/>
        </w:rPr>
        <w:t xml:space="preserve">SØRBØE, Celina Myrann. Urban uprisings between revolutionary openings and reactionary outcomes: making sense of the 2013 'June Days' in Brazil. Urban Geography, 2022. [volume e página a confirmar]</w:t>
      </w:r>
    </w:p>
    <w:p>
      <w:pPr>
        <w:spacing w:after="160" w:line="300"/>
        <w:jc w:val="both"/>
      </w:pPr>
      <w:r>
        <w:rPr>
          <w:rFonts w:ascii="Times New Roman" w:cs="Times New Roman" w:eastAsia="Times New Roman" w:hAnsi="Times New Roman"/>
          <w:sz w:val="24"/>
          <w:szCs w:val="24"/>
        </w:rPr>
        <w:t xml:space="preserve">TARROW, Sidney. Power in movement. Cambridge: Cambridge University Press, 1994.</w:t>
      </w:r>
    </w:p>
    <w:p>
      <w:pPr>
        <w:spacing w:after="160" w:line="300"/>
        <w:jc w:val="both"/>
      </w:pPr>
      <w:r>
        <w:rPr>
          <w:rFonts w:ascii="Times New Roman" w:cs="Times New Roman" w:eastAsia="Times New Roman" w:hAnsi="Times New Roman"/>
          <w:sz w:val="24"/>
          <w:szCs w:val="24"/>
        </w:rPr>
        <w:t xml:space="preserve">TILLY, Charles. Contentious performances. Cambridge: Cambridge University Press, 2008.</w:t>
      </w:r>
    </w:p>
    <w:p>
      <w:pPr>
        <w:spacing w:after="160" w:line="300"/>
        <w:jc w:val="both"/>
      </w:pPr>
      <w:r>
        <w:rPr>
          <w:rFonts w:ascii="Times New Roman" w:cs="Times New Roman" w:eastAsia="Times New Roman" w:hAnsi="Times New Roman"/>
          <w:sz w:val="24"/>
          <w:szCs w:val="24"/>
        </w:rPr>
        <w:t xml:space="preserve">VAN EVERA, Stephen. Guide to methods for students of political science. Ithaca: Cornell University Press, 1997.</w:t>
      </w:r>
    </w:p>
    <w:p>
      <w:pPr>
        <w:spacing w:after="160" w:line="300"/>
        <w:jc w:val="both"/>
      </w:pPr>
      <w:r>
        <w:rPr>
          <w:rFonts w:ascii="Times New Roman" w:cs="Times New Roman" w:eastAsia="Times New Roman" w:hAnsi="Times New Roman"/>
          <w:sz w:val="24"/>
          <w:szCs w:val="24"/>
        </w:rPr>
        <w:t xml:space="preserve">VICINO, Thomas J.; FAHLBERG, Anjuli. The politics of contested urban space: the 2013 protest movement in Brazil. Journal of Urban Affairs, v. 39, n. 7, p. 1001-1016, 2017.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2026-07-10T03:57:22.635Z</dcterms:created>
  <dcterms:modified xsi:type="dcterms:W3CDTF">2026-07-10T03:57:22.649Z</dcterms:modified>
</cp:coreProperties>
</file>

<file path=docProps/custom.xml><?xml version="1.0" encoding="utf-8"?>
<Properties xmlns="http://schemas.openxmlformats.org/officeDocument/2006/custom-properties" xmlns:vt="http://schemas.openxmlformats.org/officeDocument/2006/docPropsVTypes"/>
</file>