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jc w:val="center"/>
      </w:pPr>
      <w:r>
        <w:rPr>
          <w:rFonts w:ascii="Times New Roman" w:cs="Times New Roman" w:eastAsia="Times New Roman" w:hAnsi="Times New Roman"/>
          <w:b/>
          <w:bCs/>
          <w:sz w:val="32"/>
          <w:szCs w:val="32"/>
        </w:rPr>
        <w:t xml:space="preserve">Vulnerabilidade das elites e resultado institucional nos ciclos de protesto no Brasil</w:t>
      </w:r>
    </w:p>
    <w:p>
      <w:pPr>
        <w:spacing w:after="60"/>
        <w:jc w:val="center"/>
      </w:pPr>
      <w:r>
        <w:rPr>
          <w:rFonts w:ascii="Times New Roman" w:cs="Times New Roman" w:eastAsia="Times New Roman" w:hAnsi="Times New Roman"/>
          <w:i/>
          <w:iCs/>
          <w:sz w:val="26"/>
          <w:szCs w:val="26"/>
        </w:rPr>
        <w:t xml:space="preserve">Uma análise comparativa a partir do triângulo EOP–DOS–Análise de Conjuntura</w:t>
      </w:r>
    </w:p>
    <w:p>
      <w:pPr>
        <w:spacing w:after="80"/>
      </w:pPr>
      <w:r>
        <w:t xml:space="preserve"/>
      </w:r>
    </w:p>
    <w:p>
      <w:pPr>
        <w:spacing w:after="400"/>
        <w:jc w:val="center"/>
      </w:pPr>
      <w:r>
        <w:rPr>
          <w:rFonts w:ascii="Times New Roman" w:cs="Times New Roman" w:eastAsia="Times New Roman" w:hAnsi="Times New Roman"/>
          <w:sz w:val="24"/>
          <w:szCs w:val="24"/>
        </w:rPr>
        <w:t xml:space="preserve">Gustavo Paccelli da Costa</w:t>
      </w:r>
    </w:p>
    <w:p>
      <w:pPr>
        <w:pStyle w:val="Heading1"/>
        <w:spacing w:after="200" w:before="480"/>
      </w:pPr>
      <w:r>
        <w:rPr>
          <w:rFonts w:ascii="Times New Roman" w:cs="Times New Roman" w:eastAsia="Times New Roman" w:hAnsi="Times New Roman"/>
          <w:b/>
          <w:bCs/>
          <w:sz w:val="28"/>
          <w:szCs w:val="28"/>
        </w:rPr>
        <w:t xml:space="preserve">Resumo</w:t>
      </w:r>
    </w:p>
    <w:p>
      <w:pPr>
        <w:spacing w:after="200" w:line="360"/>
        <w:jc w:val="both"/>
      </w:pPr>
      <w:r>
        <w:rPr>
          <w:rFonts w:ascii="Times New Roman" w:cs="Times New Roman" w:eastAsia="Times New Roman" w:hAnsi="Times New Roman"/>
          <w:sz w:val="24"/>
          <w:szCs w:val="24"/>
        </w:rPr>
        <w:t xml:space="preserve">Este artigo examina empiricamente a hipótese H1.2 do quadro analítico desenvolvido em Costa (2025): quanto maior a vulnerabilidade das elites governantes — medida pela erosão da aprovação presidencial, pela deserção parlamentar e pela reconfiguração das alianças estratégicas —, maior a probabilidade de que uma mobilização de massa produza resultado institucional. Argumento, contudo, que a vulnerabilidade política constitui condição necessária mas não suficiente: a conversão dessa vulnerabilidade em resultado institucional depende da configuração concomitante da estrutura de oportunidades discursivas (DOS), que determina quais enquadramentos encontram ressonância na esfera pública e, assim, conferem legitimidade à ação coletiva. Para demonstrar esse argumento, o artigo desenvolve uma análise comparativa dos três principais ciclos de protesto de massa no Brasil democrático — o Fora Collor (1992), as manifestações de Junho de 2013 e o ciclo pelo impeachment de Dilma Rousseff (2015–2016) —, a partir do material empírico sistematizado por Costa (2024). Os três casos exibem trajetórias distintas de vulnerabilidade e configurações discursivas contrastantes, o que permite identificar o mecanismo pelo qual a DOS opera como variável moderadora entre a abertura da EOP e o resultado institucional do ciclo contencioso.</w:t>
      </w:r>
    </w:p>
    <w:p>
      <w:pPr>
        <w:spacing w:after="80"/>
      </w:pPr>
      <w:r>
        <w:t xml:space="preserve"/>
      </w:r>
    </w:p>
    <w:p>
      <w:pPr>
        <w:spacing w:after="200" w:line="360"/>
        <w:jc w:val="both"/>
        <w:rPr>
          <w:i/>
          <w:iCs/>
        </w:rPr>
      </w:pPr>
      <w:r>
        <w:rPr>
          <w:rFonts w:ascii="Times New Roman" w:cs="Times New Roman" w:eastAsia="Times New Roman" w:hAnsi="Times New Roman"/>
          <w:i/>
          <w:iCs/>
          <w:sz w:val="24"/>
          <w:szCs w:val="24"/>
        </w:rPr>
        <w:t xml:space="preserve">Palavras-chave: vulnerabilidade das elites; estrutura de oportunidades políticas; estrutura de oportunidades discursivas; ciclos de protesto; impeachment; Brasil.</w:t>
      </w:r>
    </w:p>
    <w:p>
      <w:pPr>
        <w:pStyle w:val="Heading1"/>
        <w:spacing w:after="200" w:before="480"/>
      </w:pPr>
      <w:r>
        <w:rPr>
          <w:rFonts w:ascii="Times New Roman" w:cs="Times New Roman" w:eastAsia="Times New Roman" w:hAnsi="Times New Roman"/>
          <w:b/>
          <w:bCs/>
          <w:sz w:val="28"/>
          <w:szCs w:val="28"/>
        </w:rPr>
        <w:t xml:space="preserve">1. Introdução</w:t>
      </w:r>
    </w:p>
    <w:p>
      <w:pPr>
        <w:spacing w:after="200" w:line="360"/>
        <w:jc w:val="both"/>
      </w:pPr>
      <w:r>
        <w:rPr>
          <w:rFonts w:ascii="Times New Roman" w:cs="Times New Roman" w:eastAsia="Times New Roman" w:hAnsi="Times New Roman"/>
          <w:sz w:val="24"/>
          <w:szCs w:val="24"/>
        </w:rPr>
        <w:t xml:space="preserve">Por que alguns ciclos de protesto de massa produzem mudanças institucionais enquanto outros se dissipam sem resultado definido? Essa questão está no centro do debate contemporâneo sobre os efeitos políticos da ação coletiva e permanece em aberto mesmo após décadas de acumulação teórica e empírica no campo dos movimentos sociais. A Teoria do Processo Político (TPP) oferece uma resposta parcial: as condições do ambiente político — abertura do sistema, estabilidade das elites, presença de aliados, capacidade repressiva do Estado — condicionam as possibilidades de ação coletiva e, por extensão, sua eficácia (TARROW, 1994; McADAM, 1982). A vulnerabilidade das elites governantes, em particular, tem sido identificada como um dos fatores mais relevantes para explicar por que mobilizações que ocorrem em momentos de crise política tendem a produzir resultados mais expressivos do que aquelas que surgem em períodos de estabilidade (KWAK, 2021; GLEDITSCH et al., 2010).</w:t>
      </w:r>
    </w:p>
    <w:p>
      <w:pPr>
        <w:spacing w:after="200" w:line="360"/>
        <w:jc w:val="both"/>
      </w:pPr>
      <w:r>
        <w:rPr>
          <w:rFonts w:ascii="Times New Roman" w:cs="Times New Roman" w:eastAsia="Times New Roman" w:hAnsi="Times New Roman"/>
          <w:sz w:val="24"/>
          <w:szCs w:val="24"/>
        </w:rPr>
        <w:t xml:space="preserve">Contudo, a relação entre vulnerabilidade das elites e resultado institucional não é direta. Os ciclos de protesto no Brasil democrático oferecem um campo privilegiado para examinar esse problema, precisamente porque os três momentos mais significativos de mobilização de massa — o Fora Collor (1992), as manifestações de Junho de 2013 e o ciclo pelo impeachment de Dilma Rousseff (2015–2016) — apresentam configurações muito distintas de vulnerabilidade e resultados institucionais igualmente distintos. O Fora Collor e o ciclo do impeachment de Dilma produziram, ambos, a deposição do presidente. Junho de 2013, por contraste, gerou a maior mobilização de massa da história política brasileira contemporânea sem produzir qualquer resultado institucional definido. O que explica essa diferença?</w:t>
      </w:r>
    </w:p>
    <w:p>
      <w:pPr>
        <w:spacing w:after="200" w:line="360"/>
        <w:jc w:val="both"/>
      </w:pPr>
      <w:r>
        <w:rPr>
          <w:rFonts w:ascii="Times New Roman" w:cs="Times New Roman" w:eastAsia="Times New Roman" w:hAnsi="Times New Roman"/>
          <w:sz w:val="24"/>
          <w:szCs w:val="24"/>
        </w:rPr>
        <w:t xml:space="preserve">A hipótese central deste artigo — que denominamos H1.2 no quadro analítico desenvolvido em Costa (2025) — é que a vulnerabilidade das elites cria a janela de oportunidade política, mas a estrutura de oportunidades discursivas (DOS) determina se essa janela é efetivamente explorada. Quando a vulnerabilidade das elites coincide com uma DOS convergente — em que um master frame ressoa amplamente na esfera pública e encontra amplificação nos meios de comunicação de massa —, a mobilização tende a produzir resultado institucional. Quando a DOS é fragmentada, a vulnerabilidade não se converte em resultado, porque os atores mobilizados não conseguem articular suas demandas em torno de um enquadramento capaz de orientar a ação coletiva em direção a um objetivo comum. E quando a DOS é deliberadamente construída de forma assimétrica — favorecendo sistematicamente um dos campos em disputa —, o resultado institucional tende a favorecer esse campo, independentemente da correlação de forças nas ruas.</w:t>
      </w:r>
    </w:p>
    <w:p>
      <w:pPr>
        <w:spacing w:after="200" w:line="360"/>
        <w:jc w:val="both"/>
      </w:pPr>
      <w:r>
        <w:rPr>
          <w:rFonts w:ascii="Times New Roman" w:cs="Times New Roman" w:eastAsia="Times New Roman" w:hAnsi="Times New Roman"/>
          <w:sz w:val="24"/>
          <w:szCs w:val="24"/>
        </w:rPr>
        <w:t xml:space="preserve">Para demonstrar esse argumento, o artigo mobiliza o rico material empírico sistematizado por Costa (2024) em sua investigação doutoral sobre as estruturas de mobilização e as oportunidades políticas nos ciclos de protesto brasileiros contemporâneos. A análise baseia-se em três dimensões de evidência: (a) os indicadores de vulnerabilidade das elites em cada ciclo — dados de aprovação presidencial, trajetória das alianças parlamentares e posição dos aliados estratégicos; (b) os indicadores de configuração da DOS em cada momento — padrão de cobertura midiática, frames dominantes na esfera pública e dinâmica de legitimação discursiva dos campos em disputa; e (c) a reconstrução processual do mecanismo que conecta vulnerabilidade e DOS ao resultado institucional em cada ciclo, com atenção particular aos pontos de inflexão em que a janela de oportunidade se abriu ou se fechou.</w:t>
      </w:r>
    </w:p>
    <w:p>
      <w:pPr>
        <w:pStyle w:val="Heading1"/>
        <w:spacing w:after="200" w:before="480"/>
      </w:pPr>
      <w:r>
        <w:rPr>
          <w:rFonts w:ascii="Times New Roman" w:cs="Times New Roman" w:eastAsia="Times New Roman" w:hAnsi="Times New Roman"/>
          <w:b/>
          <w:bCs/>
          <w:sz w:val="28"/>
          <w:szCs w:val="28"/>
        </w:rPr>
        <w:t xml:space="preserve">2. Vulnerabilidade das elites, DOS e resultado institucional: o quadro analítico</w:t>
      </w:r>
    </w:p>
    <w:p>
      <w:pPr>
        <w:spacing w:after="200" w:line="360"/>
        <w:jc w:val="both"/>
      </w:pPr>
      <w:r>
        <w:rPr>
          <w:rFonts w:ascii="Times New Roman" w:cs="Times New Roman" w:eastAsia="Times New Roman" w:hAnsi="Times New Roman"/>
          <w:sz w:val="24"/>
          <w:szCs w:val="24"/>
        </w:rPr>
        <w:t xml:space="preserve">A noção de vulnerabilidade das elites é operacionalizada na TPP a partir de pelo menos quatro dimensões mensuráveis: a erosão da aprovação popular do governo, a deserção de aliados parlamentares e de coalizão, a desarticulação dos apoios estratégicos extrainstitucionais — empresariado, imprensa, judiciário — e a emergência de dissidências internas às elites governantes (McADAM; TARROW; TILLY, 2001). Cada uma dessas dimensões reduz o custo de protestar ao aumentar a percepção de que a janela de oportunidade está aberta e de que a ação coletiva tem chances de produzir efeito.</w:t>
      </w:r>
    </w:p>
    <w:p>
      <w:pPr>
        <w:spacing w:after="200" w:line="360"/>
        <w:jc w:val="both"/>
      </w:pPr>
      <w:r>
        <w:rPr>
          <w:rFonts w:ascii="Times New Roman" w:cs="Times New Roman" w:eastAsia="Times New Roman" w:hAnsi="Times New Roman"/>
          <w:sz w:val="24"/>
          <w:szCs w:val="24"/>
        </w:rPr>
        <w:t xml:space="preserve">A revisão comparativa de Gleditsch et al. (2010) demonstrou que a vulnerabilidade do incumbente — medida pela probabilidade de perda irregular do poder — é um preditor significativo da probabilidade de mobilização contenciosa e de seus efeitos políticos em democracias presidencialistas. O estudo de Kwak (2021) sobre os protestos das velas na Coreia do Sul (2016–17) identificou empiricamente três condições habilitadoras que converteram a vulnerabilidade presidencial em impeachment: liberdades políticas formais garantidas, alinhamento de elites parlamentares com os manifestantes e baixo risco de repressão estatal. O estudo de Hatab (2023) sobre o Paraguai demonstrou, em sentido contrário, que a vulnerabilidade do presidente Lugo existia mas a mobilização não ocorreu em sua defesa — e que essa ausência se explica, em parte, pela fraqueza dos enquadramentos mobilizados pelos movimentos sociais, incapazes de construir ressonância junto ao público mais amplo.</w:t>
      </w:r>
    </w:p>
    <w:p>
      <w:pPr>
        <w:spacing w:after="200" w:line="360"/>
        <w:jc w:val="both"/>
      </w:pPr>
      <w:r>
        <w:rPr>
          <w:rFonts w:ascii="Times New Roman" w:cs="Times New Roman" w:eastAsia="Times New Roman" w:hAnsi="Times New Roman"/>
          <w:sz w:val="24"/>
          <w:szCs w:val="24"/>
        </w:rPr>
        <w:t xml:space="preserve">É precisamente nesse ponto que a estrutura de oportunidades discursivas (DOS) entra como variável moderadora. Koopmans e Statham (1999) definiram a DOS como o conjunto de ideias, valores e narrativas presentes na cultura política que são percebidos como 'sensatos', 'realistas' e 'legítimos' — e que, quando ressonantes com as demandas dos movimentos, facilitam a recepção de seus enquadramentos na esfera pública. Ferree (2003) distinguiu entre a ressonância cultural de um frame — sua aceitação pelo público — e o sucesso político do movimento, argumentando que os dois não coincidem necessariamente. McCammon et al. (2007) demonstraram empiricamente que os movimentos que constroem frames alinhados com a DOS vigente têm maior probabilidade de produzir resultados políticos concretos, mesmo quando enfrentam condições de EOP desfavoráveis.</w:t>
      </w:r>
    </w:p>
    <w:p>
      <w:pPr>
        <w:spacing w:after="200" w:line="360"/>
        <w:jc w:val="both"/>
      </w:pPr>
      <w:r>
        <w:rPr>
          <w:rFonts w:ascii="Times New Roman" w:cs="Times New Roman" w:eastAsia="Times New Roman" w:hAnsi="Times New Roman"/>
          <w:sz w:val="24"/>
          <w:szCs w:val="24"/>
        </w:rPr>
        <w:t xml:space="preserve">A proposição que orienta este artigo integra essas duas dimensões: a vulnerabilidade das elites (EOP) e a configuração da DOS operam em paralelo e com efeitos recíprocos na determinação do resultado institucional dos ciclos de protesto. Quando ambas apontam na mesma direção — vulnerabilidade alta e DOS convergente —, as condições para o resultado institucional são maximizadas. Quando a DOS é fragmentada, a vulnerabilidade não se converte em resultado porque os atores não conseguem articular um objetivo comum. E quando a DOS é hegemonizada por um campo específico, o resultado institucional tende a favorecer esse campo mesmo quando a vulnerabilidade das elites é produto de disputas mais amplas. Os três ciclos brasileiros analisados neste artigo exemplificam cada um desses padrões com precisão analítica.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EEDFE" w:val="clear"/>
            <w:tcMar>
              <w:top w:type="dxa" w:w="120"/>
              <w:left w:type="dxa" w:w="180"/>
              <w:bottom w:type="dxa" w:w="120"/>
              <w:right w:type="dxa" w:w="160"/>
            </w:tcMar>
          </w:tcPr>
          <w:p>
            <w:pPr>
              <w:spacing w:after="60"/>
            </w:pPr>
            <w:r>
              <w:rPr>
                <w:rFonts w:ascii="Times New Roman" w:cs="Times New Roman" w:eastAsia="Times New Roman" w:hAnsi="Times New Roman"/>
                <w:b/>
                <w:bCs/>
                <w:color w:val="3C3489"/>
                <w:sz w:val="20"/>
                <w:szCs w:val="20"/>
              </w:rPr>
              <w:t xml:space="preserve">Hipótese H1.2 (Costa, 2025)</w:t>
            </w:r>
          </w:p>
          <w:p>
            <w:pPr>
              <w:spacing w:after="0" w:line="300"/>
              <w:jc w:val="both"/>
            </w:pPr>
            <w:r>
              <w:rPr>
                <w:rFonts w:ascii="Times New Roman" w:cs="Times New Roman" w:eastAsia="Times New Roman" w:hAnsi="Times New Roman"/>
                <w:i/>
                <w:iCs/>
                <w:sz w:val="20"/>
                <w:szCs w:val="20"/>
              </w:rPr>
              <w:t xml:space="preserve">Quanto maior a vulnerabilidade do governo — medida pela erosão de aprovação presidencial, pela deserção de aliados parlamentares e pela reconfiguração das alianças estratégicas —, maior a probabilidade de que a mobilização produza resultado institucional. Essa probabilidade é, contudo, moderada pela configuração da DOS: sem um frame de legitimação disponível e ressonante, a vulnerabilidade da elite não se converte automaticamente em mudança institucional.</w:t>
            </w:r>
          </w:p>
        </w:tc>
      </w:tr>
    </w:tbl>
    <w:p>
      <w:pPr>
        <w:spacing w:after="80"/>
      </w:pPr>
      <w:r>
        <w:t xml:space="preserve"/>
      </w:r>
    </w:p>
    <w:p>
      <w:pPr>
        <w:pStyle w:val="Heading1"/>
        <w:spacing w:after="200" w:before="480"/>
      </w:pPr>
      <w:r>
        <w:rPr>
          <w:rFonts w:ascii="Times New Roman" w:cs="Times New Roman" w:eastAsia="Times New Roman" w:hAnsi="Times New Roman"/>
          <w:b/>
          <w:bCs/>
          <w:sz w:val="28"/>
          <w:szCs w:val="28"/>
        </w:rPr>
        <w:t xml:space="preserve">3. Estratégia metodológica</w:t>
      </w:r>
    </w:p>
    <w:p>
      <w:pPr>
        <w:spacing w:after="200" w:line="360"/>
        <w:jc w:val="both"/>
      </w:pPr>
      <w:r>
        <w:rPr>
          <w:rFonts w:ascii="Times New Roman" w:cs="Times New Roman" w:eastAsia="Times New Roman" w:hAnsi="Times New Roman"/>
          <w:sz w:val="24"/>
          <w:szCs w:val="24"/>
        </w:rPr>
        <w:t xml:space="preserve">O artigo adota uma estratégia de análise comparativa de casos históricos combinada com process tracing analítico (BENGTSSON; RUONAVAARA, 2017; MAHONEY, 2001). A escolha dos três ciclos brasileiros como unidades de análise decorre de suas propriedades comparativas: os três partilham o mesmo contexto político-institucional (democracia presidencialista, sistema proporcional de lista aberta, mídia televisiva concentrada), o mesmo tipo de variável dependente (mobilização de massa em torno de crise de governabilidade presidencial) e diferem significativamente em suas configurações de vulnerabilidade das elites, DOS e resultado institucional. Essa combinação de 'most similar systems' no plano estrutural e 'most different systems' no plano das configurações de EOP e DOS permite isolar analiticamente os fatores que explicam a variação nos resultados.</w:t>
      </w:r>
    </w:p>
    <w:p>
      <w:pPr>
        <w:spacing w:after="200" w:line="360"/>
        <w:jc w:val="both"/>
      </w:pPr>
      <w:r>
        <w:rPr>
          <w:rFonts w:ascii="Times New Roman" w:cs="Times New Roman" w:eastAsia="Times New Roman" w:hAnsi="Times New Roman"/>
          <w:sz w:val="24"/>
          <w:szCs w:val="24"/>
        </w:rPr>
        <w:t xml:space="preserve">O process tracing é aplicado para rastrear o mecanismo que conecta a vulnerabilidade das elites ao resultado institucional em cada caso, com atenção especial ao papel mediador da DOS. Para cada ciclo, são identificados: (a) os indicadores objetivos de vulnerabilidade das elites — dados de aprovação presidencial do Datafolha/Ibope, trajetória das votações no Congresso e posicionamento público de aliados estratégicos; (b) os indicadores de configuração da DOS — padrão de cobertura midiática nos principais veículos, frames dominantes nas revistas semanais e dinâmica de legitimação discursiva dos campos; e (c) os pontos de inflexão em que a janela de oportunidade se abriu, se manteve ou se fechou, e como a DOS condicionou sua exploração pelos atores.</w:t>
      </w:r>
    </w:p>
    <w:p>
      <w:pPr>
        <w:spacing w:after="200" w:line="360"/>
        <w:jc w:val="both"/>
      </w:pPr>
      <w:r>
        <w:rPr>
          <w:rFonts w:ascii="Times New Roman" w:cs="Times New Roman" w:eastAsia="Times New Roman" w:hAnsi="Times New Roman"/>
          <w:sz w:val="24"/>
          <w:szCs w:val="24"/>
        </w:rPr>
        <w:t xml:space="preserve">A base empírica primária é a tese de doutorado de Costa (2024), que combina análise documental extensiva, mapeamento longitudinal de dados de aprovação presidencial, análise de cobertura midiática e reconstrução das trajetórias dos principais atores coletivos nos três ciclos. Dados secundários são incorporados a partir de Singer (2013), Alonso (2017), Gohn (2018), Tatagiba (2018) e Fontes, Ferracioli e Sampaio (2016) para complementar a análise discursiva.</w:t>
      </w:r>
    </w:p>
    <w:p>
      <w:pPr>
        <w:pStyle w:val="Heading1"/>
        <w:spacing w:after="200" w:before="480"/>
      </w:pPr>
      <w:r>
        <w:rPr>
          <w:rFonts w:ascii="Times New Roman" w:cs="Times New Roman" w:eastAsia="Times New Roman" w:hAnsi="Times New Roman"/>
          <w:b/>
          <w:bCs/>
          <w:sz w:val="28"/>
          <w:szCs w:val="28"/>
        </w:rPr>
        <w:t xml:space="preserve">4. Os três ciclos: vulnerabilidade, DOS e resultado institucional</w:t>
      </w:r>
    </w:p>
    <w:p>
      <w:pPr>
        <w:pStyle w:val="Heading2"/>
        <w:spacing w:after="160" w:before="320"/>
      </w:pPr>
      <w:r>
        <w:rPr>
          <w:rFonts w:ascii="Times New Roman" w:cs="Times New Roman" w:eastAsia="Times New Roman" w:hAnsi="Times New Roman"/>
          <w:b/>
          <w:bCs/>
          <w:sz w:val="26"/>
          <w:szCs w:val="26"/>
        </w:rPr>
        <w:t xml:space="preserve">4.1 Fora Collor (1992): vulnerabilidade acelerada, DOS convergente, resultado máximo</w:t>
      </w:r>
    </w:p>
    <w:p>
      <w:pPr>
        <w:pStyle w:val="Heading3"/>
        <w:spacing w:after="120" w:before="240"/>
      </w:pPr>
      <w:r>
        <w:rPr>
          <w:rFonts w:ascii="Times New Roman" w:cs="Times New Roman" w:eastAsia="Times New Roman" w:hAnsi="Times New Roman"/>
          <w:b/>
          <w:bCs/>
          <w:sz w:val="24"/>
          <w:szCs w:val="24"/>
        </w:rPr>
        <w:t xml:space="preserve">4.1.1 A trajetória de vulnerabilidade</w:t>
      </w:r>
    </w:p>
    <w:p>
      <w:pPr>
        <w:spacing w:after="200" w:line="360"/>
        <w:jc w:val="both"/>
      </w:pPr>
      <w:r>
        <w:rPr>
          <w:rFonts w:ascii="Times New Roman" w:cs="Times New Roman" w:eastAsia="Times New Roman" w:hAnsi="Times New Roman"/>
          <w:sz w:val="24"/>
          <w:szCs w:val="24"/>
        </w:rPr>
        <w:t xml:space="preserve">Fernando Collor de Mello assumiu a presidência em março de 1990 com 71% de aprovação popular — índice que refletia tanto o entusiasmo com a primeira eleição presidencial direta em três décadas quanto o perfil de outsider anticorrupção que havia construído ao longo da campanha (COSTA, 2024; RODRIGUES, 2000). Essa aprovação inicial representava uma EOP substancialmente fechada para qualquer ação contenciosa contra o governo: as elites eram coesas em torno do presidente eleito, a base parlamentar ainda estava sendo construída e a opinião pública era favorável.</w:t>
      </w:r>
    </w:p>
    <w:p>
      <w:pPr>
        <w:spacing w:after="200" w:line="360"/>
        <w:jc w:val="both"/>
      </w:pPr>
      <w:r>
        <w:rPr>
          <w:rFonts w:ascii="Times New Roman" w:cs="Times New Roman" w:eastAsia="Times New Roman" w:hAnsi="Times New Roman"/>
          <w:sz w:val="24"/>
          <w:szCs w:val="24"/>
        </w:rPr>
        <w:t xml:space="preserve">A erosão dessa base começou já em 1991, com os sucessivos fracassos dos planos econômicos — o Plano Collor I e o Plano Collor II não conseguiram estabilizar a inflação nem retomar o crescimento, gerando frustração nas camadas médias que haviam apoiado o presidente. O caso Rosane Collor, envolvendo irregularidades na administração da Legião Brasileira de Assistência, e a emergência da 'República de Alagoas' — expressão que designava as redes de clientelismo que cercavam o presidente — começaram a configurar um ambiente de desconfiança crescente. Costa (2024) documenta que esse processo de erosão da confiança se acelerou no primeiro semestre de 1992, quando as denúncias do irmão do presidente, Pedro Collor, sobre o esquema de corrupção gerenciado pelo tesoureiro de campanha Paulo César Farias, foram veiculadas pela revista Veja em maio daquele ano.</w:t>
      </w:r>
    </w:p>
    <w:p>
      <w:pPr>
        <w:spacing w:after="200" w:line="360"/>
        <w:jc w:val="both"/>
      </w:pPr>
      <w:r>
        <w:rPr>
          <w:rFonts w:ascii="Times New Roman" w:cs="Times New Roman" w:eastAsia="Times New Roman" w:hAnsi="Times New Roman"/>
          <w:sz w:val="24"/>
          <w:szCs w:val="24"/>
        </w:rPr>
        <w:t xml:space="preserve">O impacto das denúncias sobre a aprovação presidencial foi imediato e dramático. Os dados do Datafolha registraram a queda mais acentuada da aprovação presidencial da história do período democrático brasileiro: de índices superiores a 50% no início de 1992 para menos de 15% em agosto do mesmo ano, quando a Comissão Parlamentar Mista de Inquérito (CPMI) iniciou seus trabalhos (COSTA, 2024). Essa queda de aprovação traduzia-se diretamente em vulnerabilidade política: os partidos que compunham a chamada 'frente parlamentar democratizante' — PMDB, PSDB, PDT, PT, PSB —, que haviam sustentado posição ambivalente diante do governo, passaram a articular abertamente a criação da CPMI e, subsequentemente, a votação pelo impeachment.</w:t>
      </w:r>
    </w:p>
    <w:p>
      <w:pPr>
        <w:spacing w:after="200" w:line="360"/>
        <w:jc w:val="both"/>
      </w:pPr>
      <w:r>
        <w:rPr>
          <w:rFonts w:ascii="Times New Roman" w:cs="Times New Roman" w:eastAsia="Times New Roman" w:hAnsi="Times New Roman"/>
          <w:sz w:val="24"/>
          <w:szCs w:val="24"/>
        </w:rPr>
        <w:t xml:space="preserve">A deserção das elites parlamentares foi acompanhada pela ruptura dos apoios estratégicos extrainstitucionais. O empresariado, que havia apoiado a abertura econômica proposta por Collor, distanciou-se progressivamente à medida que os planos de estabilização fracassavam e os escândalos de corrupção se acumulavam. A Ordem dos Advogados do Brasil (OAB) emitiu notas públicas em favor do processo de impeachment. E a grande imprensa — especialmente a revista Veja e as Organizações Globo, que haviam apoiado a candidatura de Collor em 1989 — operou a inversão discursiva decisiva ao transformar o presidente de 'caçador de marajás' em protagonista do esquema de corrupção que ele havia prometido combater. Essa convergência de deserções institucionais e midiáticas configurou a EOP mais desfavorável possível a um presidente brasileiro no período democrático.</w:t>
      </w:r>
    </w:p>
    <w:p>
      <w:pPr>
        <w:pStyle w:val="Heading3"/>
        <w:spacing w:after="120" w:before="240"/>
      </w:pPr>
      <w:r>
        <w:rPr>
          <w:rFonts w:ascii="Times New Roman" w:cs="Times New Roman" w:eastAsia="Times New Roman" w:hAnsi="Times New Roman"/>
          <w:b/>
          <w:bCs/>
          <w:sz w:val="24"/>
          <w:szCs w:val="24"/>
        </w:rPr>
        <w:t xml:space="preserve">4.1.2 A DOS convergente e o mecanismo de conversão</w:t>
      </w:r>
    </w:p>
    <w:p>
      <w:pPr>
        <w:spacing w:after="200" w:line="360"/>
        <w:jc w:val="both"/>
      </w:pPr>
      <w:r>
        <w:rPr>
          <w:rFonts w:ascii="Times New Roman" w:cs="Times New Roman" w:eastAsia="Times New Roman" w:hAnsi="Times New Roman"/>
          <w:sz w:val="24"/>
          <w:szCs w:val="24"/>
        </w:rPr>
        <w:t xml:space="preserve">O aspecto mais analiticamente relevante do ciclo Collor é a convergência entre a abertura da EOP e a configuração da DOS. O frame da 'ética na política' — produzido pelo Movimento pela Ética na Política (MEP) e amplamente adotado pelo movimento estudantil, pelos sindicatos, pela Igreja Católica e pelos partidos de oposição — era altamente ressonante no contexto político de 1992 por uma razão estrutural: ele se articulava diretamente com o imaginário normativo construído ao longo do processo constituinte de 1987-88.</w:t>
      </w:r>
    </w:p>
    <w:p>
      <w:pPr>
        <w:spacing w:after="200" w:line="360"/>
        <w:jc w:val="both"/>
      </w:pPr>
      <w:r>
        <w:rPr>
          <w:rFonts w:ascii="Times New Roman" w:cs="Times New Roman" w:eastAsia="Times New Roman" w:hAnsi="Times New Roman"/>
          <w:sz w:val="24"/>
          <w:szCs w:val="24"/>
        </w:rPr>
        <w:t xml:space="preserve">A Constituição de 1988, promulgada apenas quatro anos antes das manifestações, havia codificado um conjunto de expectativas sobre os comportamentos adequados dos governantes democráticos — transparência, responsabilidade, respeito aos direitos sociais — que forneciam a gramática normativa dentro da qual as acusações contra Collor podiam ser enquadradas como violação de um pacto constitucional recém-conquistado (COSTA, 2024; SALLUM JR., 2015). Esse frame não era apenas politicamente eficaz: era culturalmente inteligível para públicos muito diversos, do movimento estudantil às camadas médias urbanas, passando pelos trabalhadores sindicalizados e pelos setores empresariais descontentes com a condução econômica do governo.</w:t>
      </w:r>
    </w:p>
    <w:p>
      <w:pPr>
        <w:spacing w:after="200" w:line="360"/>
        <w:jc w:val="both"/>
      </w:pPr>
      <w:r>
        <w:rPr>
          <w:rFonts w:ascii="Times New Roman" w:cs="Times New Roman" w:eastAsia="Times New Roman" w:hAnsi="Times New Roman"/>
          <w:sz w:val="24"/>
          <w:szCs w:val="24"/>
        </w:rPr>
        <w:t xml:space="preserve">Costa (2024) documenta como a minissérie 'Anos Rebeldes', exibida pela Rede Globo entre julho e agosto de 1992, desempenhou papel relevante na configuração da DOS nesse momento. A série, que tematizava a resistência juvenil à ditadura militar, foi ao ar exatamente quando a CPMI intensificava suas atividades, produzindo o que parte da literatura chamou de 'fusão da memória' (KORNIS, 2000) entre a luta dos jovens dos anos 1960 e a mobilização dos 'caras pintadas'. Essa fusão ampliou a ressonância emocional do frame da ética na política ao conectá-lo à memória da resistência democrática, tornando o engajamento nas manifestações uma forma de participação na narrativa fundadora da democracia brasileira.</w:t>
      </w:r>
    </w:p>
    <w:p>
      <w:pPr>
        <w:spacing w:after="200" w:line="360"/>
        <w:jc w:val="both"/>
      </w:pPr>
      <w:r>
        <w:rPr>
          <w:rFonts w:ascii="Times New Roman" w:cs="Times New Roman" w:eastAsia="Times New Roman" w:hAnsi="Times New Roman"/>
          <w:sz w:val="24"/>
          <w:szCs w:val="24"/>
        </w:rPr>
        <w:t xml:space="preserve">O mecanismo de conversão da vulnerabilidade em resultado institucional pode ser reconstituído em três etapas. Primeiro, as denúncias de Pedro Collor abriram simultaneamente a EOP — ao acelerar a erosão da aprovação e provocar a deserção parlamentar — e a DOS — ao fornecer um evento focal em torno do qual o frame da ética na política pôde ser articulado com concretude. Segundo, a inversão midiática — especialmente a da Veja, que passou de apoiadora a acusadora do presidente — amplificou o frame anticorrupção e legitimou discursivamente a demanda pelo impeachment como solução adequada à crise. Terceiro, a coalizão multisetorial articulada pelo MEP — que reunia atores com agendas distintas sob o guarda-chuva de um frame convergente — foi capaz de pressionar o Congresso a avançar com o processo de impeachment, que foi aprovado em 29 de setembro de 1992 por 441 votos a favor e apenas 38 contra.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60"/>
            </w:tcMar>
          </w:tcPr>
          <w:p>
            <w:pPr>
              <w:spacing w:after="60"/>
            </w:pPr>
            <w:r>
              <w:rPr>
                <w:rFonts w:ascii="Times New Roman" w:cs="Times New Roman" w:eastAsia="Times New Roman" w:hAnsi="Times New Roman"/>
                <w:b/>
                <w:bCs/>
                <w:color w:val="0F6E56"/>
                <w:sz w:val="20"/>
                <w:szCs w:val="20"/>
              </w:rPr>
              <w:t xml:space="preserve">Evidência empírica — Fora Collor</w:t>
            </w:r>
          </w:p>
          <w:p>
            <w:pPr>
              <w:spacing w:after="0" w:line="300"/>
              <w:jc w:val="both"/>
            </w:pPr>
            <w:r>
              <w:rPr>
                <w:rFonts w:ascii="Times New Roman" w:cs="Times New Roman" w:eastAsia="Times New Roman" w:hAnsi="Times New Roman"/>
                <w:i/>
                <w:iCs/>
                <w:sz w:val="20"/>
                <w:szCs w:val="20"/>
              </w:rPr>
              <w:t xml:space="preserve">Aprovação: 71% (posse) → 15% (ago/1992). Votação no impeachment: 441×38. Cobertura midiática: Veja opera inversão de 'caçador de marajás' para 'chefe de esquema de corrupção'. Frame convergente: 'ética na política' alinhada ao ethos constitucional de 1988. Estruturas de mobilização: MEP, UNE, CUT, OAB, CNBB, partidos de oposição. Padrão: EOP aberta + DOS convergente = resultado institucional máximo.</w:t>
            </w:r>
          </w:p>
        </w:tc>
      </w:tr>
    </w:tbl>
    <w:p>
      <w:pPr>
        <w:spacing w:after="80"/>
      </w:pPr>
      <w:r>
        <w:t xml:space="preserve"/>
      </w:r>
    </w:p>
    <w:p>
      <w:pPr>
        <w:pStyle w:val="Heading2"/>
        <w:spacing w:after="160" w:before="320"/>
      </w:pPr>
      <w:r>
        <w:rPr>
          <w:rFonts w:ascii="Times New Roman" w:cs="Times New Roman" w:eastAsia="Times New Roman" w:hAnsi="Times New Roman"/>
          <w:b/>
          <w:bCs/>
          <w:sz w:val="26"/>
          <w:szCs w:val="26"/>
        </w:rPr>
        <w:t xml:space="preserve">4.2 Junho de 2013: vulnerabilidade relativa, DOS fragmentada, resultado indeterminado</w:t>
      </w:r>
    </w:p>
    <w:p>
      <w:pPr>
        <w:pStyle w:val="Heading3"/>
        <w:spacing w:after="120" w:before="240"/>
      </w:pPr>
      <w:r>
        <w:rPr>
          <w:rFonts w:ascii="Times New Roman" w:cs="Times New Roman" w:eastAsia="Times New Roman" w:hAnsi="Times New Roman"/>
          <w:b/>
          <w:bCs/>
          <w:sz w:val="24"/>
          <w:szCs w:val="24"/>
        </w:rPr>
        <w:t xml:space="preserve">4.2.1 A configuração de vulnerabilidade — paradoxo da EOP</w:t>
      </w:r>
    </w:p>
    <w:p>
      <w:pPr>
        <w:spacing w:after="200" w:line="360"/>
        <w:jc w:val="both"/>
      </w:pPr>
      <w:r>
        <w:rPr>
          <w:rFonts w:ascii="Times New Roman" w:cs="Times New Roman" w:eastAsia="Times New Roman" w:hAnsi="Times New Roman"/>
          <w:sz w:val="24"/>
          <w:szCs w:val="24"/>
        </w:rPr>
        <w:t xml:space="preserve">O contexto político no qual eclodiu o ciclo de Junho de 2013 difere substancialmente do de 1992 em uma dimensão crucial: a presidente Dilma Rousseff não estava em situação de vulnerabilidade aguda no sentido clássico da TPP quando as manifestações tiveram início. Os dados do Datafolha registravam, em março de 2013, 65% de avaliação positiva (Ótimo/Bom), 27% Regular e apenas 7% Ruim/Péssimo — o melhor índice desde abril de 2012 (COSTA, 2024). O desemprego estava na casa de 6%, a inflação havia sido contida pela política de afrouxamento monetário iniciada em agosto de 2011, e o programa Bolsa Família continuava a produzir inclusão social nas camadas de menor renda.</w:t>
      </w:r>
    </w:p>
    <w:p>
      <w:pPr>
        <w:spacing w:after="200" w:line="360"/>
        <w:jc w:val="both"/>
      </w:pPr>
      <w:r>
        <w:rPr>
          <w:rFonts w:ascii="Times New Roman" w:cs="Times New Roman" w:eastAsia="Times New Roman" w:hAnsi="Times New Roman"/>
          <w:sz w:val="24"/>
          <w:szCs w:val="24"/>
        </w:rPr>
        <w:t xml:space="preserve">O que existia não era vulnerabilidade presidencial clássica, mas o que se pode chamar de vulnerabilidade latente: uma tensão acumulada entre o modelo de desenvolvimento inclusivo promovido pelos governos petistas e suas contradições estruturais, que Costa (2024) sintetiza como 'a criação de elementos civilizatórios sem uma modificação nos padrões de exploração existentes na sociedade'. Essa tensão se manifestava na deterioração dos serviços urbanos, nas contradições da política para os grandes eventos (Copa de 2014 e Olimpíadas de 2016) e no esgotamento de um ciclo de participação institucional que havia incorporado os movimentos sociais tradicionais ao Estado sem criar espaço para as novas formas de ativismo autonomista.</w:t>
      </w:r>
    </w:p>
    <w:p>
      <w:pPr>
        <w:spacing w:after="200" w:line="360"/>
        <w:jc w:val="both"/>
      </w:pPr>
      <w:r>
        <w:rPr>
          <w:rFonts w:ascii="Times New Roman" w:cs="Times New Roman" w:eastAsia="Times New Roman" w:hAnsi="Times New Roman"/>
          <w:sz w:val="24"/>
          <w:szCs w:val="24"/>
        </w:rPr>
        <w:t xml:space="preserve">A EOP de Junho de 2013 era, paradoxalmente, uma EOP de excesso: a ampliação dos canais de participação institucional nos governos petistas havia saturado esses canais com os atores tradicionais — sindicatos, MST, partidos —, deixando de fora os coletivos autonomistas, os movimentos identitários e as redes cívicas de classe média que não se reconheciam no modelo participativo disponível. Essa exclusão relativa criava uma demanda por novas formas de ação política que o evento-gatilho — o aumento de R$ 0,20 nas tarifas de transporte e, sobretudo, a repressão policial do dia 13 de junho — iria acionar com uma eficácia que nenhum ator havia previsto.</w:t>
      </w:r>
    </w:p>
    <w:p>
      <w:pPr>
        <w:spacing w:after="200" w:line="360"/>
        <w:jc w:val="both"/>
      </w:pPr>
      <w:r>
        <w:rPr>
          <w:rFonts w:ascii="Times New Roman" w:cs="Times New Roman" w:eastAsia="Times New Roman" w:hAnsi="Times New Roman"/>
          <w:sz w:val="24"/>
          <w:szCs w:val="24"/>
        </w:rPr>
        <w:t xml:space="preserve">A repressão policial à manifestação do dia 13 de junho em São Paulo produziu o evento bifuncional que abre simultaneamente EOP e DOS: do ponto de vista da EOP, a violência policial tornou politicamente custosa a repressão continuada e gerou solidariedade ampliada com os manifestantes; do ponto de vista da DOS, a cobertura em tempo real produzida pela Mídia Ninja e por outros coletivos midiativistas desautorizou a narrativa da grande imprensa — que havia chamado os manifestantes de 'vândalos' e 'baderneiros' — e abriu o espaço discursivo para uma multiplicidade de enquadramentos antes marginalizados (COSTA, 2024). A aprovação de Dilma, que estava em 57% em 7 de junho, despencou para 30% em 28 de junho — queda de 27 pontos percentuais em três semanas, a mais rápida registrada até então no período democrático.</w:t>
      </w:r>
    </w:p>
    <w:p>
      <w:pPr>
        <w:pStyle w:val="Heading3"/>
        <w:spacing w:after="120" w:before="240"/>
      </w:pPr>
      <w:r>
        <w:rPr>
          <w:rFonts w:ascii="Times New Roman" w:cs="Times New Roman" w:eastAsia="Times New Roman" w:hAnsi="Times New Roman"/>
          <w:b/>
          <w:bCs/>
          <w:sz w:val="24"/>
          <w:szCs w:val="24"/>
        </w:rPr>
        <w:t xml:space="preserve">4.2.2 A DOS fragmentada e a inviabilidade do resultado institucional</w:t>
      </w:r>
    </w:p>
    <w:p>
      <w:pPr>
        <w:spacing w:after="200" w:line="360"/>
        <w:jc w:val="both"/>
      </w:pPr>
      <w:r>
        <w:rPr>
          <w:rFonts w:ascii="Times New Roman" w:cs="Times New Roman" w:eastAsia="Times New Roman" w:hAnsi="Times New Roman"/>
          <w:sz w:val="24"/>
          <w:szCs w:val="24"/>
        </w:rPr>
        <w:t xml:space="preserve">Se a queda de aprovação de Dilma tivesse sido acompanhada de uma DOS convergente — como ocorreu em 1992 —, o ciclo de Junho de 2013 poderia ter produzido resultado institucional. O que impediu esse desfecho foi precisamente a fragmentação da DOS: a abertura caótica do espaço discursivo produziu uma multiplicidade de frames incompatíveis que coexistiram no mesmo ciclo sem que qualquer um deles conseguisse se tornar hegemônico.</w:t>
      </w:r>
    </w:p>
    <w:p>
      <w:pPr>
        <w:spacing w:after="200" w:line="360"/>
        <w:jc w:val="both"/>
      </w:pPr>
      <w:r>
        <w:rPr>
          <w:rFonts w:ascii="Times New Roman" w:cs="Times New Roman" w:eastAsia="Times New Roman" w:hAnsi="Times New Roman"/>
          <w:sz w:val="24"/>
          <w:szCs w:val="24"/>
        </w:rPr>
        <w:t xml:space="preserve">Costa (2024), a partir dos dados de Singer (2013), documenta que a composição ideológica dos manifestantes no auge do ciclo — dia 20 de junho, com cerca de 1 milhão de pessoas nas ruas do país — era: centro (31%), esquerda e centro-esquerda (36%), direita e centro-direita (21%). Essa heterogeneidade expressava a fragmentação da DOS: o frame dos direitos urbanos e do transporte como bem público (MPL), o frame anticorrupção como problema sistêmico (apropriado tanto pela esquerda quanto pela direita nascente), o frame do aprofundamento democrático (coletivos autonomistas) e o frame moralizador antipetista (redes cívicas conservadoras) circulavam simultaneamente no espaço público sem que qualquer ator tivesse capacidade de articulá-los em torno de um objetivo comum.</w:t>
      </w:r>
    </w:p>
    <w:p>
      <w:pPr>
        <w:spacing w:after="200" w:line="360"/>
        <w:jc w:val="both"/>
      </w:pPr>
      <w:r>
        <w:rPr>
          <w:rFonts w:ascii="Times New Roman" w:cs="Times New Roman" w:eastAsia="Times New Roman" w:hAnsi="Times New Roman"/>
          <w:sz w:val="24"/>
          <w:szCs w:val="24"/>
        </w:rPr>
        <w:t xml:space="preserve">A resposta do governo a esse momento é exemplar da inadequação da leitura conjuntural dos atores diante de uma DOS fragmentada. A presidente Dilma Rousseff respondeu com a proposta de cinco pactos — responsabilidade fiscal, reforma política, combate à corrupção, melhorias em saúde, transporte e educação —, numa tentativa de reter os manifestantes dentro do espaço discursivo das políticas públicas tradicionais. O presidente do Senado, Renan Calheiros, reconheceu a legitimidade das manifestações e prometeu reformas. O presidente da Câmara, Henrique Eduardo Alves, evocou a imagem da 'Casa do Povo' e propôs ações legislativas em resposta às ruas. Nenhuma dessas respostas capturou o caráter genuinamente contingente do momento porque todas pressupunham que havia um master frame articulável — e não havia (COSTA, 2024; BARROS; BARBOSA, 2020).</w:t>
      </w:r>
    </w:p>
    <w:p>
      <w:pPr>
        <w:spacing w:after="200" w:line="360"/>
        <w:jc w:val="both"/>
      </w:pPr>
      <w:r>
        <w:rPr>
          <w:rFonts w:ascii="Times New Roman" w:cs="Times New Roman" w:eastAsia="Times New Roman" w:hAnsi="Times New Roman"/>
          <w:sz w:val="24"/>
          <w:szCs w:val="24"/>
        </w:rPr>
        <w:t xml:space="preserve">A ausência de um master frame convergente é o fator decisivo para compreender por que Junho de 2013 não produziu resultado institucional apesar da queda de aprovação presidencial. A EOP havia se aberto — a vulnerabilidade relativa de Dilma era real —, mas a DOS permaneceu fragmentada, inviabilizando a articulação de qualquer demanda específica que pudesse ser convertida em objetivo político claro. O ciclo produziu o que Costa (2024) denomina resultado 'inacabado': uma mobilização histórica em termos de escala, com impacto real sobre o sistema político, mas sem consequências institucionais definidas — e com o legado discursivo de ter legitimado frames conservadores que viriam a organizar o ciclo seguinte.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EEDFE" w:val="clear"/>
            <w:tcMar>
              <w:top w:type="dxa" w:w="120"/>
              <w:left w:type="dxa" w:w="180"/>
              <w:bottom w:type="dxa" w:w="120"/>
              <w:right w:type="dxa" w:w="160"/>
            </w:tcMar>
          </w:tcPr>
          <w:p>
            <w:pPr>
              <w:spacing w:after="60"/>
            </w:pPr>
            <w:r>
              <w:rPr>
                <w:rFonts w:ascii="Times New Roman" w:cs="Times New Roman" w:eastAsia="Times New Roman" w:hAnsi="Times New Roman"/>
                <w:b/>
                <w:bCs/>
                <w:color w:val="534AB7"/>
                <w:sz w:val="20"/>
                <w:szCs w:val="20"/>
              </w:rPr>
              <w:t xml:space="preserve">Evidência empírica — Junho de 2013</w:t>
            </w:r>
          </w:p>
          <w:p>
            <w:pPr>
              <w:spacing w:after="0" w:line="300"/>
              <w:jc w:val="both"/>
            </w:pPr>
            <w:r>
              <w:rPr>
                <w:rFonts w:ascii="Times New Roman" w:cs="Times New Roman" w:eastAsia="Times New Roman" w:hAnsi="Times New Roman"/>
                <w:i/>
                <w:iCs/>
                <w:sz w:val="20"/>
                <w:szCs w:val="20"/>
              </w:rPr>
              <w:t xml:space="preserve">Aprovação: 65% (mar/2013) → 30% (28/jun/2013). Composição dos manifestantes: centro 31%, esquerda/centro-esquerda 36%, direita/centro-direita 21%. Frames em disputa: direitos urbanos (MPL), anticorrupção sistêmica, aprofundamento democrático, moralismo antipetista. Sem master frame convergente → sem resultado institucional. Legado: legitimação discursiva de frames conservadores que organizarão o ciclo seguinte.</w:t>
            </w:r>
          </w:p>
        </w:tc>
      </w:tr>
    </w:tbl>
    <w:p>
      <w:pPr>
        <w:spacing w:after="80"/>
      </w:pPr>
      <w:r>
        <w:t xml:space="preserve"/>
      </w:r>
    </w:p>
    <w:p>
      <w:pPr>
        <w:pStyle w:val="Heading2"/>
        <w:spacing w:after="160" w:before="320"/>
      </w:pPr>
      <w:r>
        <w:rPr>
          <w:rFonts w:ascii="Times New Roman" w:cs="Times New Roman" w:eastAsia="Times New Roman" w:hAnsi="Times New Roman"/>
          <w:b/>
          <w:bCs/>
          <w:sz w:val="26"/>
          <w:szCs w:val="26"/>
        </w:rPr>
        <w:t xml:space="preserve">4.3 Ciclo do impeachment (2015–2016): vulnerabilidade construída, DOS hegemonizada, resultado direcional</w:t>
      </w:r>
    </w:p>
    <w:p>
      <w:pPr>
        <w:pStyle w:val="Heading3"/>
        <w:spacing w:after="120" w:before="240"/>
      </w:pPr>
      <w:r>
        <w:rPr>
          <w:rFonts w:ascii="Times New Roman" w:cs="Times New Roman" w:eastAsia="Times New Roman" w:hAnsi="Times New Roman"/>
          <w:b/>
          <w:bCs/>
          <w:sz w:val="24"/>
          <w:szCs w:val="24"/>
        </w:rPr>
        <w:t xml:space="preserve">4.3.1 A construção deliberada da vulnerabilidade</w:t>
      </w:r>
    </w:p>
    <w:p>
      <w:pPr>
        <w:spacing w:after="200" w:line="360"/>
        <w:jc w:val="both"/>
      </w:pPr>
      <w:r>
        <w:rPr>
          <w:rFonts w:ascii="Times New Roman" w:cs="Times New Roman" w:eastAsia="Times New Roman" w:hAnsi="Times New Roman"/>
          <w:sz w:val="24"/>
          <w:szCs w:val="24"/>
        </w:rPr>
        <w:t xml:space="preserve">O ciclo pelo impeachment de Dilma Rousseff apresenta uma dinâmica analiticamente distinta dos dois anteriores: a vulnerabilidade presidencial não emergiu de forma espontânea a partir de uma crise repentina, mas foi construída deliberadamente ao longo de um período de aproximadamente dois anos, com a confluência de fatores estruturais, conjunturais e discursivos que se reforçaram mutuamente.</w:t>
      </w:r>
    </w:p>
    <w:p>
      <w:pPr>
        <w:spacing w:after="200" w:line="360"/>
        <w:jc w:val="both"/>
      </w:pPr>
      <w:r>
        <w:rPr>
          <w:rFonts w:ascii="Times New Roman" w:cs="Times New Roman" w:eastAsia="Times New Roman" w:hAnsi="Times New Roman"/>
          <w:sz w:val="24"/>
          <w:szCs w:val="24"/>
        </w:rPr>
        <w:t xml:space="preserve">O ponto de partida é a eleição de 2014. Dilma Rousseff foi reeleita em outubro daquele ano com 51,6% dos votos válidos no segundo turno — a margem mais estreita da história do período democrático. A disputa acirrada com Aécio Neves (PSDB) polarizou o eleitorado e produziu um congresso significativamente mais conservador, com a bancada ruralista, o 'centrão' e os partidos de direita fortalecidos. Esse resultado eleitoral configurou uma EOP estruturalmente mais hostil para o segundo mandato de Dilma do que qualquer momento anterior de seu governo.</w:t>
      </w:r>
    </w:p>
    <w:p>
      <w:pPr>
        <w:spacing w:after="200" w:line="360"/>
        <w:jc w:val="both"/>
      </w:pPr>
      <w:r>
        <w:rPr>
          <w:rFonts w:ascii="Times New Roman" w:cs="Times New Roman" w:eastAsia="Times New Roman" w:hAnsi="Times New Roman"/>
          <w:sz w:val="24"/>
          <w:szCs w:val="24"/>
        </w:rPr>
        <w:t xml:space="preserve">A essa vulnerabilidade estrutural somaram-se, ao longo de 2015, três processos simultâneos que aceleraram a erosão da base governamental. O primeiro foi a crise econômica severa: após crescimento de 2,1% ao ano no primeiro mandato — já abaixo da média regional —, o PIB contraiu 3,5% em 2015, a inflação ultrapassou o teto da meta (10,67% no ano), o desemprego subiu aceleradamente e a taxa de juros alcançou 14,25% ao ano. Corsi (2016) documenta que a deterioração dos indicadores econômicos foi o principal fator de queda da aprovação presidencial ao longo de 2015: de 40% de avaliação positiva em janeiro para 13% em dezembro — queda de 27 pontos em doze meses, o índice mais baixo registrado para qualquer presidente no período democrático (COSTA, 2024).</w:t>
      </w:r>
    </w:p>
    <w:p>
      <w:pPr>
        <w:spacing w:after="200" w:line="360"/>
        <w:jc w:val="both"/>
      </w:pPr>
      <w:r>
        <w:rPr>
          <w:rFonts w:ascii="Times New Roman" w:cs="Times New Roman" w:eastAsia="Times New Roman" w:hAnsi="Times New Roman"/>
          <w:sz w:val="24"/>
          <w:szCs w:val="24"/>
        </w:rPr>
        <w:t xml:space="preserve">O segundo processo foi a Operação Lava Jato. As investigações sobre irregularidades na Petrobras, iniciadas em março de 2014, expandiram-se ao longo de 2015 para atingir empreiteiras, partidos da coalizão governista e, eventualmente, figuras próximas ao núcleo do governo. Costa (2024) documenta como a cobertura da Lava Jato pelos principais veículos de comunicação — Veja, O Globo e TV Globo — operou um enquadramento sistemático que atribuía ao PT a responsabilidade pelas irregularidades, construindo a figura do juiz Sérgio Moro como 'herói da República' e promovendo o impeachment como solução adequada à crise de corrupção.</w:t>
      </w:r>
    </w:p>
    <w:p>
      <w:pPr>
        <w:spacing w:after="200" w:line="360"/>
        <w:jc w:val="both"/>
      </w:pPr>
      <w:r>
        <w:rPr>
          <w:rFonts w:ascii="Times New Roman" w:cs="Times New Roman" w:eastAsia="Times New Roman" w:hAnsi="Times New Roman"/>
          <w:sz w:val="24"/>
          <w:szCs w:val="24"/>
        </w:rPr>
        <w:t xml:space="preserve">O terceiro processo foi a deserção do PMDB. A publicação do documento 'Uma Ponte para o Futuro', em outubro de 2015, pelo partido do vice-presidente Michel Temer, representou a sinalização pública do desembarque do principal parceiro da coalizão. Em dezembro do mesmo ano, o presidente da Câmara, Eduardo Cunha — que havia sido eleito com apoio do governo —, anunciou a abertura do processo de impeachment, utilizando como base jurídica as 'pedaladas fiscais'. A combinação de crise econômica, escândalos de corrupção, deserção parlamentar e isolamento político configurava a EOP mais desfavorável para um presidente desde o caso Collor.</w:t>
      </w:r>
    </w:p>
    <w:p>
      <w:pPr>
        <w:pStyle w:val="Heading3"/>
        <w:spacing w:after="120" w:before="240"/>
      </w:pPr>
      <w:r>
        <w:rPr>
          <w:rFonts w:ascii="Times New Roman" w:cs="Times New Roman" w:eastAsia="Times New Roman" w:hAnsi="Times New Roman"/>
          <w:b/>
          <w:bCs/>
          <w:sz w:val="24"/>
          <w:szCs w:val="24"/>
        </w:rPr>
        <w:t xml:space="preserve">4.3.2 A DOS hegemonizada e o resultado direcional</w:t>
      </w:r>
    </w:p>
    <w:p>
      <w:pPr>
        <w:spacing w:after="200" w:line="360"/>
        <w:jc w:val="both"/>
      </w:pPr>
      <w:r>
        <w:rPr>
          <w:rFonts w:ascii="Times New Roman" w:cs="Times New Roman" w:eastAsia="Times New Roman" w:hAnsi="Times New Roman"/>
          <w:sz w:val="24"/>
          <w:szCs w:val="24"/>
        </w:rPr>
        <w:t xml:space="preserve">O que distingue o ciclo do impeachment de Dilma dos dois anteriores — e o torna o caso mais analiticamente rico para a hipótese H1.2 — é que a DOS não apenas era favorável à mobilização pró-impeachment: ela havia sido deliberadamente construída ao longo de anos, muito antes de a EOP se abrir, por uma rede articulada de atores com capacidade de produção discursiva.</w:t>
      </w:r>
    </w:p>
    <w:p>
      <w:pPr>
        <w:spacing w:after="200" w:line="360"/>
        <w:jc w:val="both"/>
      </w:pPr>
      <w:r>
        <w:rPr>
          <w:rFonts w:ascii="Times New Roman" w:cs="Times New Roman" w:eastAsia="Times New Roman" w:hAnsi="Times New Roman"/>
          <w:sz w:val="24"/>
          <w:szCs w:val="24"/>
        </w:rPr>
        <w:t xml:space="preserve">Costa (2024), a partir de Fontes, Ferracioli e Sampaio (2016), demonstra que a cobertura da Operação Lava Jato pelas principais revistas semanais brasileiras era sistematicamente concentrada na categoria 'projeto de poder do PT' como causa e na 'confiança em Moro e Janot' como solução — sem pluralidade de enquadramentos, sem espaço para interpretações que contextualizassem a corrupção como problema estrutural do sistema político brasileiro como um todo. A Veja operava o que Santos (2018) descreve como um master frame que 'atribuía ao PT a responsabilidade pela corrupção e promovia o impeachment como alternativa', possibilitando 'a recuperação e fortalecimento da identidade da direita brasileira' (COSTA, 2024, p. 180).</w:t>
      </w:r>
    </w:p>
    <w:p>
      <w:pPr>
        <w:spacing w:after="200" w:line="360"/>
        <w:jc w:val="both"/>
      </w:pPr>
      <w:r>
        <w:rPr>
          <w:rFonts w:ascii="Times New Roman" w:cs="Times New Roman" w:eastAsia="Times New Roman" w:hAnsi="Times New Roman"/>
          <w:sz w:val="24"/>
          <w:szCs w:val="24"/>
        </w:rPr>
        <w:t xml:space="preserve">Os grupos organizadores das manifestações pró-impeachment — MBL (Movimento Brasil Livre), Vem Pra Rua e Revoltados Online — operavam a partir de redes de think tanks de orientação liberal-conservadora, como o Instituto Millenium e o Instituto Liberal, que forneciam quadros interpretativos, financiamento e conexões com o empresariado desembarcado do governo. A TV Globo cobriu os protestos de domingo com flashes ao vivo na programação dominical, funcionando como chamamento efetivo às ruas e conferindo legitimidade midiática massiva às manifestações pró-impeachment. Essa estrutura de amplificação discursiva não havia sido construída em semanas, mas ao longo de pelo menos dois anos de trabalho deliberado de produção narrativa.</w:t>
      </w:r>
    </w:p>
    <w:p>
      <w:pPr>
        <w:spacing w:after="200" w:line="360"/>
        <w:jc w:val="both"/>
      </w:pPr>
      <w:r>
        <w:rPr>
          <w:rFonts w:ascii="Times New Roman" w:cs="Times New Roman" w:eastAsia="Times New Roman" w:hAnsi="Times New Roman"/>
          <w:sz w:val="24"/>
          <w:szCs w:val="24"/>
        </w:rPr>
        <w:t xml:space="preserve">A DOS hegemonizada produziu uma assimetria discursiva estrutural entre os campos em disputa. Como documentado por Becker et al. (2017, apud COSTA, 2024), a cobertura midiática dos protestos pró-impeachment (verde-amarelos) era sistematicamente mais favorável — descrita como 'pacífica e representativa dos brasileiros' — do que a dos protestos contrários ao impeachment (vermelhos), que recebiam tratamento depreciativo ou eram simplesmente minimizados. Essa assimetria discursiva tornou mais custosa para o campo lulista a tarefa de construir frames capazes de mobilizar públicos mais amplos, porque os canais de amplificação disponíveis eram controlados pelo campo adversário.</w:t>
      </w:r>
    </w:p>
    <w:p>
      <w:pPr>
        <w:spacing w:after="200" w:line="360"/>
        <w:jc w:val="both"/>
      </w:pPr>
      <w:r>
        <w:rPr>
          <w:rFonts w:ascii="Times New Roman" w:cs="Times New Roman" w:eastAsia="Times New Roman" w:hAnsi="Times New Roman"/>
          <w:sz w:val="24"/>
          <w:szCs w:val="24"/>
        </w:rPr>
        <w:t xml:space="preserve">O resultado foi que a vulnerabilidade política de Dilma — real e expressiva — foi explorada de forma eficaz pelo campo que havia construído previamente a DOS favorável. O impeachment foi aprovado pela Câmara dos Deputados em 17 de abril de 2016 por 367 votos a favor e 137 contra. Mas, diferentemente do caso Collor — em que o resultado refletia uma convergência ampla entre esquerda, centro e direita em torno de um frame compartilhado de defesa da democracia —, o impeachment de Dilma foi produzido por uma coalizão ideologicamente coesa e discursivamente articulada, cuja vitória resultou em uma reconfiguração do sistema político brasileiro em direção conservadora.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AECE7" w:val="clear"/>
            <w:tcMar>
              <w:top w:type="dxa" w:w="120"/>
              <w:left w:type="dxa" w:w="180"/>
              <w:bottom w:type="dxa" w:w="120"/>
              <w:right w:type="dxa" w:w="160"/>
            </w:tcMar>
          </w:tcPr>
          <w:p>
            <w:pPr>
              <w:spacing w:after="60"/>
            </w:pPr>
            <w:r>
              <w:rPr>
                <w:rFonts w:ascii="Times New Roman" w:cs="Times New Roman" w:eastAsia="Times New Roman" w:hAnsi="Times New Roman"/>
                <w:b/>
                <w:bCs/>
                <w:color w:val="993C1D"/>
                <w:sz w:val="20"/>
                <w:szCs w:val="20"/>
              </w:rPr>
              <w:t xml:space="preserve">Evidência empírica — Ciclo do impeachment</w:t>
            </w:r>
          </w:p>
          <w:p>
            <w:pPr>
              <w:spacing w:after="0" w:line="300"/>
              <w:jc w:val="both"/>
            </w:pPr>
            <w:r>
              <w:rPr>
                <w:rFonts w:ascii="Times New Roman" w:cs="Times New Roman" w:eastAsia="Times New Roman" w:hAnsi="Times New Roman"/>
                <w:i/>
                <w:iCs/>
                <w:sz w:val="20"/>
                <w:szCs w:val="20"/>
              </w:rPr>
              <w:t xml:space="preserve">Aprovação: 40% (jan/2015) → 13% (dez/2015) → 10% (abr/2016). PIB 2015: -3,5%. Inflação 2015: 10,67%. Votação na Câmara: 367×137. Cobertura midiática: assimétrica (Veja + Globo + think tanks). Frame hegemônico: 'PT = corrupção; impeachment = solução'. Padrão: DOS hegemonizada construída deliberadamente → resultado institucional direcional (favorecendo o campo que controlava a DOS).</w:t>
            </w:r>
          </w:p>
        </w:tc>
      </w:tr>
    </w:tbl>
    <w:p>
      <w:pPr>
        <w:spacing w:after="80"/>
      </w:pPr>
      <w:r>
        <w:t xml:space="preserve"/>
      </w:r>
    </w:p>
    <w:p>
      <w:pPr>
        <w:pStyle w:val="Heading1"/>
        <w:spacing w:after="200" w:before="480"/>
      </w:pPr>
      <w:r>
        <w:rPr>
          <w:rFonts w:ascii="Times New Roman" w:cs="Times New Roman" w:eastAsia="Times New Roman" w:hAnsi="Times New Roman"/>
          <w:b/>
          <w:bCs/>
          <w:sz w:val="28"/>
          <w:szCs w:val="28"/>
        </w:rPr>
        <w:t xml:space="preserve">5. Síntese comparativa: o mecanismo em três padrões</w:t>
      </w:r>
    </w:p>
    <w:p>
      <w:pPr>
        <w:spacing w:after="200" w:line="360"/>
        <w:jc w:val="both"/>
      </w:pPr>
      <w:r>
        <w:rPr>
          <w:rFonts w:ascii="Times New Roman" w:cs="Times New Roman" w:eastAsia="Times New Roman" w:hAnsi="Times New Roman"/>
          <w:sz w:val="24"/>
          <w:szCs w:val="24"/>
        </w:rPr>
        <w:t xml:space="preserve">A análise dos três ciclos permite identificar o mecanismo central da hipótese H1.2 com precisão empírica. A vulnerabilidade das elites é condição necessária para que a mobilização produza resultado institucional: em nenhum dos dois casos de impeachment o presidente possuía EOP favorável no sentido de aprovação alta e base parlamentar coesa. Mas a vulnerabilidade não é condição suficiente: Junho de 2013 demonstra que uma queda de aprovação de 27 pontos em três semanas — comparable à do ciclo Collor — não produziu qualquer resultado institucional, precisamente porque a DOS permaneceu fragmentada.</w:t>
      </w:r>
    </w:p>
    <w:p>
      <w:pPr>
        <w:spacing w:after="200" w:line="360"/>
        <w:jc w:val="both"/>
      </w:pPr>
      <w:r>
        <w:rPr>
          <w:rFonts w:ascii="Times New Roman" w:cs="Times New Roman" w:eastAsia="Times New Roman" w:hAnsi="Times New Roman"/>
          <w:sz w:val="24"/>
          <w:szCs w:val="24"/>
        </w:rPr>
        <w:t xml:space="preserve">O mecanismo que conecta vulnerabilidade a resultado opera em duas etapas. Na primeira, a abertura da EOP — erosão de aprovação, deserção parlamentar, isolamento estratégico — cria o espaço político para que a mobilização se expanda e coloque pressão sobre o sistema. Na segunda etapa, a configuração da DOS determina se essa pressão é convertida em resultado: uma DOS convergente permite que os atores mobilizados articulem suas demandas em torno de um objetivo comum, construindo uma coalizão suficientemente ampla para pressionar o Congresso ou o sistema político em direção à mudança. Uma DOS fragmentada impede essa articulação, mesmo quando a pressão das ruas é historicamente inédita.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c>
          <w:tcPr>
            <w:tcW w:type="dxa" w:w="2258"/>
            <w:tcBorders>
              <w:top w:val="single" w:color="CCCCCC" w:sz="1"/>
              <w:left w:val="single" w:color="CCCCCC" w:sz="1"/>
              <w:bottom w:val="single" w:color="CCCCCC" w:sz="1"/>
              <w:right w:val="single" w:color="CCCCCC" w:sz="1"/>
            </w:tcBorders>
            <w:shd w:fill="3C3489" w:val="clear"/>
            <w:tcMar>
              <w:top w:type="dxa" w:w="60"/>
              <w:left w:type="dxa" w:w="100"/>
              <w:bottom w:type="dxa" w:w="60"/>
              <w:right w:type="dxa" w:w="80"/>
            </w:tcMar>
          </w:tcPr>
          <w:p>
            <w:r>
              <w:rPr>
                <w:rFonts w:ascii="Times New Roman" w:cs="Times New Roman" w:eastAsia="Times New Roman" w:hAnsi="Times New Roman"/>
                <w:b/>
                <w:bCs/>
                <w:color w:val="3C3489"/>
                <w:sz w:val="20"/>
                <w:szCs w:val="20"/>
              </w:rPr>
              <w:t xml:space="preserve">Dimensão analítica</w:t>
            </w:r>
          </w:p>
        </w:tc>
        <w:tc>
          <w:tcPr>
            <w:tcW w:type="dxa" w:w="2256"/>
            <w:tcBorders>
              <w:top w:val="single" w:color="CCCCCC" w:sz="1"/>
              <w:left w:val="single" w:color="CCCCCC" w:sz="1"/>
              <w:bottom w:val="single" w:color="CCCCCC" w:sz="1"/>
              <w:right w:val="single" w:color="CCCCCC" w:sz="1"/>
            </w:tcBorders>
            <w:shd w:fill="085041" w:val="clear"/>
            <w:tcMar>
              <w:top w:type="dxa" w:w="80"/>
              <w:left w:type="dxa" w:w="100"/>
              <w:bottom w:type="dxa" w:w="80"/>
              <w:right w:type="dxa" w:w="80"/>
            </w:tcMar>
          </w:tcPr>
          <w:p>
            <w:pPr>
              <w:jc w:val="center"/>
            </w:pPr>
            <w:r>
              <w:rPr>
                <w:rFonts w:ascii="Times New Roman" w:cs="Times New Roman" w:eastAsia="Times New Roman" w:hAnsi="Times New Roman"/>
                <w:b/>
                <w:bCs/>
                <w:color w:val="FFFFFF"/>
                <w:sz w:val="20"/>
                <w:szCs w:val="20"/>
              </w:rPr>
              <w:t xml:space="preserve">Fora Collor (1992)</w:t>
            </w:r>
          </w:p>
        </w:tc>
        <w:tc>
          <w:tcPr>
            <w:tcW w:type="dxa" w:w="2256"/>
            <w:tcBorders>
              <w:top w:val="single" w:color="CCCCCC" w:sz="1"/>
              <w:left w:val="single" w:color="CCCCCC" w:sz="1"/>
              <w:bottom w:val="single" w:color="CCCCCC" w:sz="1"/>
              <w:right w:val="single" w:color="CCCCCC" w:sz="1"/>
            </w:tcBorders>
            <w:shd w:fill="3C3489" w:val="clear"/>
            <w:tcMar>
              <w:top w:type="dxa" w:w="80"/>
              <w:left w:type="dxa" w:w="100"/>
              <w:bottom w:type="dxa" w:w="80"/>
              <w:right w:type="dxa" w:w="80"/>
            </w:tcMar>
          </w:tcPr>
          <w:p>
            <w:pPr>
              <w:jc w:val="center"/>
            </w:pPr>
            <w:r>
              <w:rPr>
                <w:rFonts w:ascii="Times New Roman" w:cs="Times New Roman" w:eastAsia="Times New Roman" w:hAnsi="Times New Roman"/>
                <w:b/>
                <w:bCs/>
                <w:color w:val="FFFFFF"/>
                <w:sz w:val="20"/>
                <w:szCs w:val="20"/>
              </w:rPr>
              <w:t xml:space="preserve">Junho de 2013</w:t>
            </w:r>
          </w:p>
        </w:tc>
        <w:tc>
          <w:tcPr>
            <w:tcW w:type="dxa" w:w="2256"/>
            <w:tcBorders>
              <w:top w:val="single" w:color="CCCCCC" w:sz="1"/>
              <w:left w:val="single" w:color="CCCCCC" w:sz="1"/>
              <w:bottom w:val="single" w:color="CCCCCC" w:sz="1"/>
              <w:right w:val="single" w:color="CCCCCC" w:sz="1"/>
            </w:tcBorders>
            <w:shd w:fill="712B13" w:val="clear"/>
            <w:tcMar>
              <w:top w:type="dxa" w:w="80"/>
              <w:left w:type="dxa" w:w="100"/>
              <w:bottom w:type="dxa" w:w="80"/>
              <w:right w:type="dxa" w:w="80"/>
            </w:tcMar>
          </w:tcPr>
          <w:p>
            <w:pPr>
              <w:jc w:val="center"/>
            </w:pPr>
            <w:r>
              <w:rPr>
                <w:rFonts w:ascii="Times New Roman" w:cs="Times New Roman" w:eastAsia="Times New Roman" w:hAnsi="Times New Roman"/>
                <w:b/>
                <w:bCs/>
                <w:color w:val="FFFFFF"/>
                <w:sz w:val="20"/>
                <w:szCs w:val="20"/>
              </w:rPr>
              <w:t xml:space="preserve">Impeachment Dilma (2015–16)</w:t>
            </w:r>
          </w:p>
        </w:tc>
      </w:tr>
      <w:tr>
        <w:tc>
          <w:tcPr>
            <w:tcW w:type="dxa" w:w="2258"/>
            <w:tcBorders>
              <w:top w:val="single" w:color="CCCCCC" w:sz="1"/>
              <w:left w:val="single" w:color="CCCCCC" w:sz="1"/>
              <w:bottom w:val="single" w:color="CCCCCC" w:sz="1"/>
              <w:right w:val="single" w:color="CCCCCC" w:sz="1"/>
            </w:tcBorders>
            <w:shd w:fill="E1F5EE" w:val="clear"/>
            <w:tcMar>
              <w:top w:type="dxa" w:w="60"/>
              <w:left w:type="dxa" w:w="100"/>
              <w:bottom w:type="dxa" w:w="60"/>
              <w:right w:type="dxa" w:w="80"/>
            </w:tcMar>
          </w:tcPr>
          <w:p>
            <w:r>
              <w:rPr>
                <w:rFonts w:ascii="Times New Roman" w:cs="Times New Roman" w:eastAsia="Times New Roman" w:hAnsi="Times New Roman"/>
                <w:b/>
                <w:bCs/>
                <w:color w:val="3C3489"/>
                <w:sz w:val="20"/>
                <w:szCs w:val="20"/>
              </w:rPr>
              <w:t xml:space="preserve">Aprovação presidencial (início do ciclo)</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line="280"/>
              <w:jc w:val="both"/>
            </w:pPr>
            <w:r>
              <w:rPr>
                <w:rFonts w:ascii="Times New Roman" w:cs="Times New Roman" w:eastAsia="Times New Roman" w:hAnsi="Times New Roman"/>
                <w:sz w:val="20"/>
                <w:szCs w:val="20"/>
              </w:rPr>
              <w:t xml:space="preserve">71% (posse) → 9% (pré-CPI)</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line="280"/>
              <w:jc w:val="both"/>
            </w:pPr>
            <w:r>
              <w:rPr>
                <w:rFonts w:ascii="Times New Roman" w:cs="Times New Roman" w:eastAsia="Times New Roman" w:hAnsi="Times New Roman"/>
                <w:sz w:val="20"/>
                <w:szCs w:val="20"/>
              </w:rPr>
              <w:t xml:space="preserve">65% (mar/2013) → 30% (jun/2013)</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line="280"/>
              <w:jc w:val="both"/>
            </w:pPr>
            <w:r>
              <w:rPr>
                <w:rFonts w:ascii="Times New Roman" w:cs="Times New Roman" w:eastAsia="Times New Roman" w:hAnsi="Times New Roman"/>
                <w:sz w:val="20"/>
                <w:szCs w:val="20"/>
              </w:rPr>
              <w:t xml:space="preserve">40% (jan/2015) → 13% (dez/2015)</w:t>
            </w:r>
          </w:p>
        </w:tc>
      </w:tr>
      <w:tr>
        <w:tc>
          <w:tcPr>
            <w:tcW w:type="dxa" w:w="2258"/>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Times New Roman" w:cs="Times New Roman" w:eastAsia="Times New Roman" w:hAnsi="Times New Roman"/>
                <w:b/>
                <w:bCs/>
                <w:color w:val="3C3489"/>
                <w:sz w:val="20"/>
                <w:szCs w:val="20"/>
              </w:rPr>
              <w:t xml:space="preserve">Deserção parlamentar</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line="280"/>
              <w:jc w:val="both"/>
            </w:pPr>
            <w:r>
              <w:rPr>
                <w:rFonts w:ascii="Times New Roman" w:cs="Times New Roman" w:eastAsia="Times New Roman" w:hAnsi="Times New Roman"/>
                <w:sz w:val="20"/>
                <w:szCs w:val="20"/>
              </w:rPr>
              <w:t xml:space="preserve">PMDB, PSDB, PDT viram oposição; frente parlamentar democratizante</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line="280"/>
              <w:jc w:val="both"/>
            </w:pPr>
            <w:r>
              <w:rPr>
                <w:rFonts w:ascii="Times New Roman" w:cs="Times New Roman" w:eastAsia="Times New Roman" w:hAnsi="Times New Roman"/>
                <w:sz w:val="20"/>
                <w:szCs w:val="20"/>
              </w:rPr>
              <w:t xml:space="preserve">Base parlamentar sustenta voto de confiança; derrota na pauta</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line="280"/>
              <w:jc w:val="both"/>
            </w:pPr>
            <w:r>
              <w:rPr>
                <w:rFonts w:ascii="Times New Roman" w:cs="Times New Roman" w:eastAsia="Times New Roman" w:hAnsi="Times New Roman"/>
                <w:sz w:val="20"/>
                <w:szCs w:val="20"/>
              </w:rPr>
              <w:t xml:space="preserve">PMDB declara independência (set/2015); Cunha anuncia impeachment (dez/2015)</w:t>
            </w:r>
          </w:p>
        </w:tc>
      </w:tr>
      <w:tr>
        <w:tc>
          <w:tcPr>
            <w:tcW w:type="dxa" w:w="2258"/>
            <w:tcBorders>
              <w:top w:val="single" w:color="CCCCCC" w:sz="1"/>
              <w:left w:val="single" w:color="CCCCCC" w:sz="1"/>
              <w:bottom w:val="single" w:color="CCCCCC" w:sz="1"/>
              <w:right w:val="single" w:color="CCCCCC" w:sz="1"/>
            </w:tcBorders>
            <w:shd w:fill="E1F5EE" w:val="clear"/>
            <w:tcMar>
              <w:top w:type="dxa" w:w="60"/>
              <w:left w:type="dxa" w:w="100"/>
              <w:bottom w:type="dxa" w:w="60"/>
              <w:right w:type="dxa" w:w="80"/>
            </w:tcMar>
          </w:tcPr>
          <w:p>
            <w:r>
              <w:rPr>
                <w:rFonts w:ascii="Times New Roman" w:cs="Times New Roman" w:eastAsia="Times New Roman" w:hAnsi="Times New Roman"/>
                <w:b/>
                <w:bCs/>
                <w:color w:val="3C3489"/>
                <w:sz w:val="20"/>
                <w:szCs w:val="20"/>
              </w:rPr>
              <w:t xml:space="preserve">Aliados estratégicos</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line="280"/>
              <w:jc w:val="both"/>
            </w:pPr>
            <w:r>
              <w:rPr>
                <w:rFonts w:ascii="Times New Roman" w:cs="Times New Roman" w:eastAsia="Times New Roman" w:hAnsi="Times New Roman"/>
                <w:sz w:val="20"/>
                <w:szCs w:val="20"/>
              </w:rPr>
              <w:t xml:space="preserve">OAB, CNBB, CUT, UNE, imprensa (inversão)</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line="280"/>
              <w:jc w:val="both"/>
            </w:pPr>
            <w:r>
              <w:rPr>
                <w:rFonts w:ascii="Times New Roman" w:cs="Times New Roman" w:eastAsia="Times New Roman" w:hAnsi="Times New Roman"/>
                <w:sz w:val="20"/>
                <w:szCs w:val="20"/>
              </w:rPr>
              <w:t xml:space="preserve">Isolamento: nenhum aliado institucional relevante ativa oportunidade</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line="280"/>
              <w:jc w:val="both"/>
            </w:pPr>
            <w:r>
              <w:rPr>
                <w:rFonts w:ascii="Times New Roman" w:cs="Times New Roman" w:eastAsia="Times New Roman" w:hAnsi="Times New Roman"/>
                <w:sz w:val="20"/>
                <w:szCs w:val="20"/>
              </w:rPr>
              <w:t xml:space="preserve">Judiciário (Lava Jato), Globo, empresariado, PSDB</w:t>
            </w:r>
          </w:p>
        </w:tc>
      </w:tr>
      <w:tr>
        <w:tc>
          <w:tcPr>
            <w:tcW w:type="dxa" w:w="2258"/>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Times New Roman" w:cs="Times New Roman" w:eastAsia="Times New Roman" w:hAnsi="Times New Roman"/>
                <w:b/>
                <w:bCs/>
                <w:color w:val="3C3489"/>
                <w:sz w:val="20"/>
                <w:szCs w:val="20"/>
              </w:rPr>
              <w:t xml:space="preserve">Configuração da DOS</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line="280"/>
              <w:jc w:val="both"/>
            </w:pPr>
            <w:r>
              <w:rPr>
                <w:rFonts w:ascii="Times New Roman" w:cs="Times New Roman" w:eastAsia="Times New Roman" w:hAnsi="Times New Roman"/>
                <w:sz w:val="20"/>
                <w:szCs w:val="20"/>
              </w:rPr>
              <w:t xml:space="preserve">Convergente: 'ética na política' + CF88 + inversão da Veja</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line="280"/>
              <w:jc w:val="both"/>
            </w:pPr>
            <w:r>
              <w:rPr>
                <w:rFonts w:ascii="Times New Roman" w:cs="Times New Roman" w:eastAsia="Times New Roman" w:hAnsi="Times New Roman"/>
                <w:sz w:val="20"/>
                <w:szCs w:val="20"/>
              </w:rPr>
              <w:t xml:space="preserve">Fragmentada: múltiplos frames sem master frame</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line="280"/>
              <w:jc w:val="both"/>
            </w:pPr>
            <w:r>
              <w:rPr>
                <w:rFonts w:ascii="Times New Roman" w:cs="Times New Roman" w:eastAsia="Times New Roman" w:hAnsi="Times New Roman"/>
                <w:sz w:val="20"/>
                <w:szCs w:val="20"/>
              </w:rPr>
              <w:t xml:space="preserve">Hegemonizada: anticorrupção/antipetismo + cobertura assimétrica</w:t>
            </w:r>
          </w:p>
        </w:tc>
      </w:tr>
      <w:tr>
        <w:tc>
          <w:tcPr>
            <w:tcW w:type="dxa" w:w="2258"/>
            <w:tcBorders>
              <w:top w:val="single" w:color="CCCCCC" w:sz="1"/>
              <w:left w:val="single" w:color="CCCCCC" w:sz="1"/>
              <w:bottom w:val="single" w:color="CCCCCC" w:sz="1"/>
              <w:right w:val="single" w:color="CCCCCC" w:sz="1"/>
            </w:tcBorders>
            <w:shd w:fill="E1F5EE" w:val="clear"/>
            <w:tcMar>
              <w:top w:type="dxa" w:w="60"/>
              <w:left w:type="dxa" w:w="100"/>
              <w:bottom w:type="dxa" w:w="60"/>
              <w:right w:type="dxa" w:w="80"/>
            </w:tcMar>
          </w:tcPr>
          <w:p>
            <w:r>
              <w:rPr>
                <w:rFonts w:ascii="Times New Roman" w:cs="Times New Roman" w:eastAsia="Times New Roman" w:hAnsi="Times New Roman"/>
                <w:b/>
                <w:bCs/>
                <w:color w:val="3C3489"/>
                <w:sz w:val="20"/>
                <w:szCs w:val="20"/>
              </w:rPr>
              <w:t xml:space="preserve">Evento-gatilho da vulnerabilidade</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line="280"/>
              <w:jc w:val="both"/>
            </w:pPr>
            <w:r>
              <w:rPr>
                <w:rFonts w:ascii="Times New Roman" w:cs="Times New Roman" w:eastAsia="Times New Roman" w:hAnsi="Times New Roman"/>
                <w:sz w:val="20"/>
                <w:szCs w:val="20"/>
              </w:rPr>
              <w:t xml:space="preserve">Denúncias de Pedro Collor + caso Rosane Collor (mai/1992)</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line="280"/>
              <w:jc w:val="both"/>
            </w:pPr>
            <w:r>
              <w:rPr>
                <w:rFonts w:ascii="Times New Roman" w:cs="Times New Roman" w:eastAsia="Times New Roman" w:hAnsi="Times New Roman"/>
                <w:sz w:val="20"/>
                <w:szCs w:val="20"/>
              </w:rPr>
              <w:t xml:space="preserve">R$ 0,20 nas passagens + repressão policial (13/06/2013)</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line="280"/>
              <w:jc w:val="both"/>
            </w:pPr>
            <w:r>
              <w:rPr>
                <w:rFonts w:ascii="Times New Roman" w:cs="Times New Roman" w:eastAsia="Times New Roman" w:hAnsi="Times New Roman"/>
                <w:sz w:val="20"/>
                <w:szCs w:val="20"/>
              </w:rPr>
              <w:t xml:space="preserve">Delação Petrobras + Operação Lava Jato + crise fiscal (2014–15)</w:t>
            </w:r>
          </w:p>
        </w:tc>
      </w:tr>
      <w:tr>
        <w:tc>
          <w:tcPr>
            <w:tcW w:type="dxa" w:w="2258"/>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Times New Roman" w:cs="Times New Roman" w:eastAsia="Times New Roman" w:hAnsi="Times New Roman"/>
                <w:b/>
                <w:bCs/>
                <w:color w:val="3C3489"/>
                <w:sz w:val="20"/>
                <w:szCs w:val="20"/>
              </w:rPr>
              <w:t xml:space="preserve">Resultado institucional</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line="280"/>
              <w:jc w:val="both"/>
            </w:pPr>
            <w:r>
              <w:rPr>
                <w:rFonts w:ascii="Times New Roman" w:cs="Times New Roman" w:eastAsia="Times New Roman" w:hAnsi="Times New Roman"/>
                <w:sz w:val="20"/>
                <w:szCs w:val="20"/>
              </w:rPr>
              <w:t xml:space="preserve">Impeachment aprovado (29/09/1992)</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line="280"/>
              <w:jc w:val="both"/>
            </w:pPr>
            <w:r>
              <w:rPr>
                <w:rFonts w:ascii="Times New Roman" w:cs="Times New Roman" w:eastAsia="Times New Roman" w:hAnsi="Times New Roman"/>
                <w:sz w:val="20"/>
                <w:szCs w:val="20"/>
              </w:rPr>
              <w:t xml:space="preserve">Sem resultado institucional — ciclo inacabado</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line="280"/>
              <w:jc w:val="both"/>
            </w:pPr>
            <w:r>
              <w:rPr>
                <w:rFonts w:ascii="Times New Roman" w:cs="Times New Roman" w:eastAsia="Times New Roman" w:hAnsi="Times New Roman"/>
                <w:sz w:val="20"/>
                <w:szCs w:val="20"/>
              </w:rPr>
              <w:t xml:space="preserve">Impeachment aprovado (17/04/2016)</w:t>
            </w:r>
          </w:p>
        </w:tc>
      </w:tr>
      <w:tr>
        <w:tc>
          <w:tcPr>
            <w:tcW w:type="dxa" w:w="2258"/>
            <w:tcBorders>
              <w:top w:val="single" w:color="CCCCCC" w:sz="1"/>
              <w:left w:val="single" w:color="CCCCCC" w:sz="1"/>
              <w:bottom w:val="single" w:color="CCCCCC" w:sz="1"/>
              <w:right w:val="single" w:color="CCCCCC" w:sz="1"/>
            </w:tcBorders>
            <w:shd w:fill="E1F5EE" w:val="clear"/>
            <w:tcMar>
              <w:top w:type="dxa" w:w="60"/>
              <w:left w:type="dxa" w:w="100"/>
              <w:bottom w:type="dxa" w:w="60"/>
              <w:right w:type="dxa" w:w="80"/>
            </w:tcMar>
          </w:tcPr>
          <w:p>
            <w:r>
              <w:rPr>
                <w:rFonts w:ascii="Times New Roman" w:cs="Times New Roman" w:eastAsia="Times New Roman" w:hAnsi="Times New Roman"/>
                <w:b/>
                <w:bCs/>
                <w:color w:val="3C3489"/>
                <w:sz w:val="20"/>
                <w:szCs w:val="20"/>
              </w:rPr>
              <w:t xml:space="preserve">Padrão EOP+DOS</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line="280"/>
              <w:jc w:val="both"/>
            </w:pPr>
            <w:r>
              <w:rPr>
                <w:rFonts w:ascii="Times New Roman" w:cs="Times New Roman" w:eastAsia="Times New Roman" w:hAnsi="Times New Roman"/>
                <w:sz w:val="20"/>
                <w:szCs w:val="20"/>
              </w:rPr>
              <w:t xml:space="preserve">Convergência — reforço mútuo</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line="280"/>
              <w:jc w:val="both"/>
            </w:pPr>
            <w:r>
              <w:rPr>
                <w:rFonts w:ascii="Times New Roman" w:cs="Times New Roman" w:eastAsia="Times New Roman" w:hAnsi="Times New Roman"/>
                <w:sz w:val="20"/>
                <w:szCs w:val="20"/>
              </w:rPr>
              <w:t xml:space="preserve">Abertura caótica — divergência interna</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pPr>
              <w:spacing w:line="280"/>
              <w:jc w:val="both"/>
            </w:pPr>
            <w:r>
              <w:rPr>
                <w:rFonts w:ascii="Times New Roman" w:cs="Times New Roman" w:eastAsia="Times New Roman" w:hAnsi="Times New Roman"/>
                <w:sz w:val="20"/>
                <w:szCs w:val="20"/>
              </w:rPr>
              <w:t xml:space="preserve">Construção deliberada + assimetria discursiva</w:t>
            </w:r>
          </w:p>
        </w:tc>
      </w:tr>
    </w:tbl>
    <w:p>
      <w:pPr>
        <w:spacing w:after="80"/>
      </w:pPr>
      <w:r>
        <w:t xml:space="preserve"/>
      </w:r>
    </w:p>
    <w:p>
      <w:pPr>
        <w:spacing w:after="200" w:line="360"/>
        <w:jc w:val="both"/>
        <w:rPr>
          <w:i/>
          <w:iCs/>
          <w:sz w:val="20"/>
          <w:szCs w:val="20"/>
        </w:rPr>
      </w:pPr>
      <w:r>
        <w:rPr>
          <w:rFonts w:ascii="Times New Roman" w:cs="Times New Roman" w:eastAsia="Times New Roman" w:hAnsi="Times New Roman"/>
          <w:i/>
          <w:iCs/>
          <w:sz w:val="20"/>
          <w:szCs w:val="20"/>
        </w:rPr>
        <w:t xml:space="preserve">Nota: Dados de aprovação do Datafolha/Ibope, sistematizados em Costa (2024). Dados econômicos de Corsi (2016). Dados de cobertura midiática de Fontes, Ferracioli e Sampaio (2016) e Santos (2018) apud Costa (2024).</w:t>
      </w:r>
    </w:p>
    <w:p>
      <w:pPr>
        <w:spacing w:after="80"/>
      </w:pPr>
      <w:r>
        <w:t xml:space="preserve"/>
      </w:r>
    </w:p>
    <w:p>
      <w:pPr>
        <w:spacing w:after="200" w:line="360"/>
        <w:jc w:val="both"/>
      </w:pPr>
      <w:r>
        <w:rPr>
          <w:rFonts w:ascii="Times New Roman" w:cs="Times New Roman" w:eastAsia="Times New Roman" w:hAnsi="Times New Roman"/>
          <w:sz w:val="24"/>
          <w:szCs w:val="24"/>
        </w:rPr>
        <w:t xml:space="preserve">Um aspecto adicional merece destaque: a assimetria de capacidade de construção de DOS entre os campos. O ciclo Collor produziu uma inversão midiática que beneficiou o campo democratizante — mas essa inversão foi em grande medida reativa ao escândalo, não resultado de trabalho estratégico prévio. O ciclo do impeachment, ao contrário, demonstra que atores com maior capacidade estratégica podem construir deliberadamente condições discursivas favoráveis antes que a janela de oportunidade política se abra: a DOS antipetista foi construída ao longo de 2013-2014, e quando a vulnerabilidade de Dilma se tornou aguda em 2015, o frame já estava disponível, legitimado e amplificado pelos canais midiáticos hegemônicos. Essa 'construção antecipada da DOS' representa uma sofisticação estratégica que a análise de conjuntura tradicional brasileira não tem ferramentas adequadas para mapear — e que o triângulo EOP–DOS–Conjuntura propõe precisamente suprir.</w:t>
      </w:r>
    </w:p>
    <w:p>
      <w:pPr>
        <w:pStyle w:val="Heading1"/>
        <w:spacing w:after="200" w:before="480"/>
      </w:pPr>
      <w:r>
        <w:rPr>
          <w:rFonts w:ascii="Times New Roman" w:cs="Times New Roman" w:eastAsia="Times New Roman" w:hAnsi="Times New Roman"/>
          <w:b/>
          <w:bCs/>
          <w:sz w:val="28"/>
          <w:szCs w:val="28"/>
        </w:rPr>
        <w:t xml:space="preserve">6. Discussão: implicações para a hipótese e para a análise de conjuntura</w:t>
      </w:r>
    </w:p>
    <w:p>
      <w:pPr>
        <w:spacing w:after="200" w:line="360"/>
        <w:jc w:val="both"/>
      </w:pPr>
      <w:r>
        <w:rPr>
          <w:rFonts w:ascii="Times New Roman" w:cs="Times New Roman" w:eastAsia="Times New Roman" w:hAnsi="Times New Roman"/>
          <w:sz w:val="24"/>
          <w:szCs w:val="24"/>
        </w:rPr>
        <w:t xml:space="preserve">Os achados do estudo de caso permitem refinar a hipótese H1.2 em dois sentidos importantes. Primeiro, é necessário distinguir entre vulnerabilidade objetiva — a queda de aprovação e a deserção parlamentar mensuráveis — e vulnerabilidade percebida e enquadrada discursivamente. O caso de Junho de 2013 demonstra que uma vulnerabilidade objetiva significativa pode não se converter em resultado institucional se não houver um enquadramento discursivo capaz de articular essa vulnerabilidade como justificativa legítima para a mudança. Em sentido inverso, o caso bielorrusso analisado por Stykow (2022) demonstra que a vulnerabilidade percebida pelo público não é suficiente se não houver deserção das elites internas — o que no caso brasileiro corresponde ao papel do PMDB no ciclo do impeachment.</w:t>
      </w:r>
    </w:p>
    <w:p>
      <w:pPr>
        <w:spacing w:after="200" w:line="360"/>
        <w:jc w:val="both"/>
      </w:pPr>
      <w:r>
        <w:rPr>
          <w:rFonts w:ascii="Times New Roman" w:cs="Times New Roman" w:eastAsia="Times New Roman" w:hAnsi="Times New Roman"/>
          <w:sz w:val="24"/>
          <w:szCs w:val="24"/>
        </w:rPr>
        <w:t xml:space="preserve">Segundo, a análise revela que o resultado institucional não é apenas uma função da magnitude da vulnerabilidade e da ressonância da DOS, mas também de sua configuração temporal: quando a DOS é construída antes da abertura da EOP, o campo que a controla tem vantagem estratégica significativa na exploração da janela de oportunidade. Isso implica que a análise de conjuntura deve incorporar não apenas o mapeamento do presente imediato, mas a reconstrução histórica de como as condições discursivas foram sendo configuradas nos ciclos anteriores — o que Jatobá (2025) chama de 'linhas de fratura' e Vandenberghe (2025) denomina 'temporalidades múltiplas' da conjuntura.</w:t>
      </w:r>
    </w:p>
    <w:p>
      <w:pPr>
        <w:spacing w:after="200" w:line="360"/>
        <w:jc w:val="both"/>
      </w:pPr>
      <w:r>
        <w:rPr>
          <w:rFonts w:ascii="Times New Roman" w:cs="Times New Roman" w:eastAsia="Times New Roman" w:hAnsi="Times New Roman"/>
          <w:sz w:val="24"/>
          <w:szCs w:val="24"/>
        </w:rPr>
        <w:t xml:space="preserve">Para a análise de conjuntura brasileira, o achado mais relevante é que a DOS não é uma variável contextual passiva: é um campo de disputa ativo que os atores buscam controlar estrategicamente. Uma análise de conjuntura que se limite ao mapeamento das condições de EOP — aprovação presidencial, correlação de forças parlamentares, aliados disponíveis — sem mapear sistematicamente quais frames estão disponíveis e ressonantes na esfera pública, e quais atores controlam os canais de amplificação discursiva, produzirá diagnósticos incompletos. Os três ciclos brasileiros demonstram que essa incompletude não é apenas analítica: tem consequências práticas para os atores que se orientam pela análise de conjuntura como instrumento estratégico. A esquerda organizada subestimou sistematicamente a construção da DOS conservadora nos ciclos de 2013-2016 — e pagou o preço político dessa leitura incompleta.</w:t>
      </w:r>
    </w:p>
    <w:p>
      <w:pPr>
        <w:pStyle w:val="Heading1"/>
        <w:spacing w:after="200" w:before="480"/>
      </w:pPr>
      <w:r>
        <w:rPr>
          <w:rFonts w:ascii="Times New Roman" w:cs="Times New Roman" w:eastAsia="Times New Roman" w:hAnsi="Times New Roman"/>
          <w:b/>
          <w:bCs/>
          <w:sz w:val="28"/>
          <w:szCs w:val="28"/>
        </w:rPr>
        <w:t xml:space="preserve">7. Considerações finais</w:t>
      </w:r>
    </w:p>
    <w:p>
      <w:pPr>
        <w:spacing w:after="200" w:line="360"/>
        <w:jc w:val="both"/>
      </w:pPr>
      <w:r>
        <w:rPr>
          <w:rFonts w:ascii="Times New Roman" w:cs="Times New Roman" w:eastAsia="Times New Roman" w:hAnsi="Times New Roman"/>
          <w:sz w:val="24"/>
          <w:szCs w:val="24"/>
        </w:rPr>
        <w:t xml:space="preserve">Este artigo demonstrou empiricamente que a vulnerabilidade das elites governantes — medida pela erosão de aprovação, deserção parlamentar e reconfiguração das alianças estratégicas — é condição necessária mas não suficiente para que um ciclo de protesto de massa produza resultado institucional no contexto das democracias presidencialistas. A condição moderadora decisiva é a configuração da estrutura de oportunidades discursivas: quando a DOS é convergente, a vulnerabilidade das elites se converte em resultado; quando é fragmentada, o ciclo permanece inacabado; quando é hegemonizada por um campo específico, o resultado favorece esse campo mesmo quando a mobilização é ampla e heterogênea.</w:t>
      </w:r>
    </w:p>
    <w:p>
      <w:pPr>
        <w:spacing w:after="200" w:line="360"/>
        <w:jc w:val="both"/>
      </w:pPr>
      <w:r>
        <w:rPr>
          <w:rFonts w:ascii="Times New Roman" w:cs="Times New Roman" w:eastAsia="Times New Roman" w:hAnsi="Times New Roman"/>
          <w:sz w:val="24"/>
          <w:szCs w:val="24"/>
        </w:rPr>
        <w:t xml:space="preserve">A comparação entre o Fora Collor, Junho de 2013 e o ciclo do impeachment de Dilma Rousseff fornece evidência sólida para esse argumento. Os três casos partilham o mesmo contexto institucional e o mesmo tipo de variável dependente, mas diferem significativamente em suas configurações de EOP e DOS — e os resultados variam de forma consistente com as previsões da hipótese H1.2.</w:t>
      </w:r>
    </w:p>
    <w:p>
      <w:pPr>
        <w:spacing w:after="200" w:line="360"/>
        <w:jc w:val="both"/>
      </w:pPr>
      <w:r>
        <w:rPr>
          <w:rFonts w:ascii="Times New Roman" w:cs="Times New Roman" w:eastAsia="Times New Roman" w:hAnsi="Times New Roman"/>
          <w:sz w:val="24"/>
          <w:szCs w:val="24"/>
        </w:rPr>
        <w:t xml:space="preserve">Como agenda de pesquisa, o artigo sugere três encaminhamentos. O primeiro é a ampliação da base comparativa, incorporando casos como os protestos das velas na Coreia do Sul (2016-17) — que Kwak (2021) analisa com resultado positivo de impeachment em configuração análoga ao caso Collor — e o caso paraguaio de 2012, em que a vulnerabilidade existia mas o resultado foi o inverso. O segundo é a operacionalização sistemática de indicadores de DOS através de análise de conteúdo midiático longitudinal, que permitiria medir a evolução da ressonância dos frames ao longo do tempo e testar a hipótese da 'construção antecipada da DOS' de forma mais rigorosa. O terceiro é a incorporação do triângulo EOP–DOS–Conjuntura como instrumento de diagnóstico prospectivo para atores políticos — desenvolvendo, a partir dos achados analíticos, protocolos práticos de análise de conjuntura que integrem sistematicamente a dimensão discursiva ao mapeamento das oportunidades políticas.</w:t>
      </w:r>
    </w:p>
    <w:p>
      <w:pPr>
        <w:pStyle w:val="Heading1"/>
        <w:spacing w:after="200" w:before="480"/>
      </w:pPr>
      <w:r>
        <w:rPr>
          <w:rFonts w:ascii="Times New Roman" w:cs="Times New Roman" w:eastAsia="Times New Roman" w:hAnsi="Times New Roman"/>
          <w:b/>
          <w:bCs/>
          <w:sz w:val="28"/>
          <w:szCs w:val="28"/>
        </w:rPr>
        <w:t xml:space="preserve">Referências</w:t>
      </w:r>
    </w:p>
    <w:p>
      <w:pPr>
        <w:spacing w:after="160" w:line="320"/>
        <w:ind w:left="720" w:hanging="720"/>
        <w:jc w:val="both"/>
      </w:pPr>
      <w:r>
        <w:rPr>
          <w:rFonts w:ascii="Times New Roman" w:cs="Times New Roman" w:eastAsia="Times New Roman" w:hAnsi="Times New Roman"/>
          <w:sz w:val="22"/>
          <w:szCs w:val="22"/>
        </w:rPr>
        <w:t xml:space="preserve">ALONSO, Angela. A política das ruas: protestos em São Paulo de Dilma a Temer. Novos Estudos CEBRAP, São Paulo, n. especial, p. 49-58, jun. 2017.</w:t>
      </w:r>
    </w:p>
    <w:p>
      <w:pPr>
        <w:spacing w:after="160" w:line="320"/>
        <w:ind w:left="720" w:hanging="720"/>
        <w:jc w:val="both"/>
      </w:pPr>
      <w:r>
        <w:rPr>
          <w:rFonts w:ascii="Times New Roman" w:cs="Times New Roman" w:eastAsia="Times New Roman" w:hAnsi="Times New Roman"/>
          <w:sz w:val="22"/>
          <w:szCs w:val="22"/>
        </w:rPr>
        <w:t xml:space="preserve">ALONSO, Angela. Treze: a política de rua de Lula a Dilma. São Paulo: Companhia das Letras, 2023.</w:t>
      </w:r>
    </w:p>
    <w:p>
      <w:pPr>
        <w:spacing w:after="160" w:line="320"/>
        <w:ind w:left="720" w:hanging="720"/>
        <w:jc w:val="both"/>
      </w:pPr>
      <w:r>
        <w:rPr>
          <w:rFonts w:ascii="Times New Roman" w:cs="Times New Roman" w:eastAsia="Times New Roman" w:hAnsi="Times New Roman"/>
          <w:sz w:val="22"/>
          <w:szCs w:val="22"/>
        </w:rPr>
        <w:t xml:space="preserve">BARROS, A. R.; BARBOSA, S. Respostas dos representantes políticos aos protestos de 2013: análise do discurso dos presidentes da República, do Senado e da Câmara dos Deputados. Sociedade e Cultura, Goiânia, v. 23, 2020.</w:t>
      </w:r>
    </w:p>
    <w:p>
      <w:pPr>
        <w:spacing w:after="160" w:line="320"/>
        <w:ind w:left="720" w:hanging="720"/>
        <w:jc w:val="both"/>
      </w:pPr>
      <w:r>
        <w:rPr>
          <w:rFonts w:ascii="Times New Roman" w:cs="Times New Roman" w:eastAsia="Times New Roman" w:hAnsi="Times New Roman"/>
          <w:sz w:val="22"/>
          <w:szCs w:val="22"/>
        </w:rPr>
        <w:t xml:space="preserve">BENGTSSON, Bo; RUONAVAARA, Hannu. Comparative process tracing. Philosophy of the Social Sciences, v. 47, n. 1, p. 44-66, 2017.</w:t>
      </w:r>
    </w:p>
    <w:p>
      <w:pPr>
        <w:spacing w:after="160" w:line="320"/>
        <w:ind w:left="720" w:hanging="720"/>
        <w:jc w:val="both"/>
      </w:pPr>
      <w:r>
        <w:rPr>
          <w:rFonts w:ascii="Times New Roman" w:cs="Times New Roman" w:eastAsia="Times New Roman" w:hAnsi="Times New Roman"/>
          <w:sz w:val="22"/>
          <w:szCs w:val="22"/>
        </w:rPr>
        <w:t xml:space="preserve">CORSI, Francisco Luiz. A política econômica do governo Dilma: baixo crescimento e recessão. Marília: Oficina Universitária; São Paulo: Cultura Acadêmica, 2016.</w:t>
      </w:r>
    </w:p>
    <w:p>
      <w:pPr>
        <w:spacing w:after="160" w:line="320"/>
        <w:ind w:left="720" w:hanging="720"/>
        <w:jc w:val="both"/>
      </w:pPr>
      <w:r>
        <w:rPr>
          <w:rFonts w:ascii="Times New Roman" w:cs="Times New Roman" w:eastAsia="Times New Roman" w:hAnsi="Times New Roman"/>
          <w:sz w:val="22"/>
          <w:szCs w:val="22"/>
        </w:rPr>
        <w:t xml:space="preserve">COSTA, Gustavo Paccelli da. Estruturas de mobilização e oportunidades políticas: análise dos ciclos de protestos no Brasil contemporâneo. 2024. 233 f. Tese (Doutorado em Ciências Sociais) – PPGCS, Universidade Federal de Juiz de Fora, Juiz de Fora, 2024.</w:t>
      </w:r>
    </w:p>
    <w:p>
      <w:pPr>
        <w:spacing w:after="160" w:line="320"/>
        <w:ind w:left="720" w:hanging="720"/>
        <w:jc w:val="both"/>
      </w:pPr>
      <w:r>
        <w:rPr>
          <w:rFonts w:ascii="Times New Roman" w:cs="Times New Roman" w:eastAsia="Times New Roman" w:hAnsi="Times New Roman"/>
          <w:sz w:val="22"/>
          <w:szCs w:val="22"/>
        </w:rPr>
        <w:t xml:space="preserve">COSTA, Gustavo Paccelli da. Teoria do processo político na análise de conjuntura de ciclos de protesto contemporâneos. Artigo em elaboração, 2025.</w:t>
      </w:r>
    </w:p>
    <w:p>
      <w:pPr>
        <w:spacing w:after="160" w:line="320"/>
        <w:ind w:left="720" w:hanging="720"/>
        <w:jc w:val="both"/>
      </w:pPr>
      <w:r>
        <w:rPr>
          <w:rFonts w:ascii="Times New Roman" w:cs="Times New Roman" w:eastAsia="Times New Roman" w:hAnsi="Times New Roman"/>
          <w:sz w:val="22"/>
          <w:szCs w:val="22"/>
        </w:rPr>
        <w:t xml:space="preserve">FERREE, Myra Marx. Resonance and radicalism: feminist framing in the abortion debates of the United States and Germany. American Journal of Sociology, v. 109, n. 2, p. 304-344, 2003.</w:t>
      </w:r>
    </w:p>
    <w:p>
      <w:pPr>
        <w:spacing w:after="160" w:line="320"/>
        <w:ind w:left="720" w:hanging="720"/>
        <w:jc w:val="both"/>
      </w:pPr>
      <w:r>
        <w:rPr>
          <w:rFonts w:ascii="Times New Roman" w:cs="Times New Roman" w:eastAsia="Times New Roman" w:hAnsi="Times New Roman"/>
          <w:sz w:val="22"/>
          <w:szCs w:val="22"/>
        </w:rPr>
        <w:t xml:space="preserve">FONTES, G. S.; FERRACIOLI, P.; SAMPAIO, R. Petrolão na mídia: o enquadramento de 18 meses da Operação Lava Jato nas revistas impressas. Revista Agenda Política, v. 4, n. 3, p. 237-269, set./dez. 2016.</w:t>
      </w:r>
    </w:p>
    <w:p>
      <w:pPr>
        <w:spacing w:after="160" w:line="320"/>
        <w:ind w:left="720" w:hanging="720"/>
        <w:jc w:val="both"/>
      </w:pPr>
      <w:r>
        <w:rPr>
          <w:rFonts w:ascii="Times New Roman" w:cs="Times New Roman" w:eastAsia="Times New Roman" w:hAnsi="Times New Roman"/>
          <w:sz w:val="22"/>
          <w:szCs w:val="22"/>
        </w:rPr>
        <w:t xml:space="preserve">GLEDITSCH, K. S. et al. Political opportunity structures, democracy, and civil war. Journal of Peace Research, v. 47, n. 3, p. 299-310, 2010.</w:t>
      </w:r>
    </w:p>
    <w:p>
      <w:pPr>
        <w:spacing w:after="160" w:line="320"/>
        <w:ind w:left="720" w:hanging="720"/>
        <w:jc w:val="both"/>
      </w:pPr>
      <w:r>
        <w:rPr>
          <w:rFonts w:ascii="Times New Roman" w:cs="Times New Roman" w:eastAsia="Times New Roman" w:hAnsi="Times New Roman"/>
          <w:sz w:val="22"/>
          <w:szCs w:val="22"/>
        </w:rPr>
        <w:t xml:space="preserve">GOHN, Maria da Glória. Movimentos e mobilizações sociais no Brasil: de 2013 aos dias atuais. Saúde em Debate, v. 42, n. esp. 2, out. 2018.</w:t>
      </w:r>
    </w:p>
    <w:p>
      <w:pPr>
        <w:spacing w:after="160" w:line="320"/>
        <w:ind w:left="720" w:hanging="720"/>
        <w:jc w:val="both"/>
      </w:pPr>
      <w:r>
        <w:rPr>
          <w:rFonts w:ascii="Times New Roman" w:cs="Times New Roman" w:eastAsia="Times New Roman" w:hAnsi="Times New Roman"/>
          <w:sz w:val="22"/>
          <w:szCs w:val="22"/>
        </w:rPr>
        <w:t xml:space="preserve">HATAB, Sema. The rise and fall of political outsiders: Political opportunity structure and (de-)mobilization in Paraguay (2008–2012). International Journal of Comparative Sociology, v. 64, 2023.</w:t>
      </w:r>
    </w:p>
    <w:p>
      <w:pPr>
        <w:spacing w:after="160" w:line="320"/>
        <w:ind w:left="720" w:hanging="720"/>
        <w:jc w:val="both"/>
      </w:pPr>
      <w:r>
        <w:rPr>
          <w:rFonts w:ascii="Times New Roman" w:cs="Times New Roman" w:eastAsia="Times New Roman" w:hAnsi="Times New Roman"/>
          <w:sz w:val="22"/>
          <w:szCs w:val="22"/>
        </w:rPr>
        <w:t xml:space="preserve">JATOBÁ, Daniel. Análise de conjuntura: o que é e como se faz? Juiz de Fora, 16 jun. 2025.</w:t>
      </w:r>
    </w:p>
    <w:p>
      <w:pPr>
        <w:spacing w:after="160" w:line="320"/>
        <w:ind w:left="720" w:hanging="720"/>
        <w:jc w:val="both"/>
      </w:pPr>
      <w:r>
        <w:rPr>
          <w:rFonts w:ascii="Times New Roman" w:cs="Times New Roman" w:eastAsia="Times New Roman" w:hAnsi="Times New Roman"/>
          <w:sz w:val="22"/>
          <w:szCs w:val="22"/>
        </w:rPr>
        <w:t xml:space="preserve">KOOPMANS, Ruud; STATHAM, Paul. Ethnic and civic conceptions of nationhood and the differential success of the extreme right in Germany and Italy. In: GIUGNI, M. et al. (Ed.). How Social Movements Matter. Minneapolis: University of Minnesota Press, 1999. p. 225-251.</w:t>
      </w:r>
    </w:p>
    <w:p>
      <w:pPr>
        <w:spacing w:after="160" w:line="320"/>
        <w:ind w:left="720" w:hanging="720"/>
        <w:jc w:val="both"/>
      </w:pPr>
      <w:r>
        <w:rPr>
          <w:rFonts w:ascii="Times New Roman" w:cs="Times New Roman" w:eastAsia="Times New Roman" w:hAnsi="Times New Roman"/>
          <w:sz w:val="22"/>
          <w:szCs w:val="22"/>
        </w:rPr>
        <w:t xml:space="preserve">KORNIS, Mônica Almeida. Anos rebeldes: o Brasil dos anos 60 no mundo da ficção televisiva. Acervo, Rio de Janeiro, v. 13, n. 2, 2000.</w:t>
      </w:r>
    </w:p>
    <w:p>
      <w:pPr>
        <w:spacing w:after="160" w:line="320"/>
        <w:ind w:left="720" w:hanging="720"/>
        <w:jc w:val="both"/>
      </w:pPr>
      <w:r>
        <w:rPr>
          <w:rFonts w:ascii="Times New Roman" w:cs="Times New Roman" w:eastAsia="Times New Roman" w:hAnsi="Times New Roman"/>
          <w:sz w:val="22"/>
          <w:szCs w:val="22"/>
        </w:rPr>
        <w:t xml:space="preserve">KWAK, Seohee. From collective action to impeachment: political opportunities of the Candlelight Protests in South Korea. Korea Observer, v. 52, n. 1, p. 125-152, 2021.</w:t>
      </w:r>
    </w:p>
    <w:p>
      <w:pPr>
        <w:spacing w:after="160" w:line="320"/>
        <w:ind w:left="720" w:hanging="720"/>
        <w:jc w:val="both"/>
      </w:pPr>
      <w:r>
        <w:rPr>
          <w:rFonts w:ascii="Times New Roman" w:cs="Times New Roman" w:eastAsia="Times New Roman" w:hAnsi="Times New Roman"/>
          <w:sz w:val="22"/>
          <w:szCs w:val="22"/>
        </w:rPr>
        <w:t xml:space="preserve">MAHONEY, James. Beyond correlational analysis: recent innovations in theory and method. Sociological Forum, v. 16, n. 3, p. 575-593, 2001.</w:t>
      </w:r>
    </w:p>
    <w:p>
      <w:pPr>
        <w:spacing w:after="160" w:line="320"/>
        <w:ind w:left="720" w:hanging="720"/>
        <w:jc w:val="both"/>
      </w:pPr>
      <w:r>
        <w:rPr>
          <w:rFonts w:ascii="Times New Roman" w:cs="Times New Roman" w:eastAsia="Times New Roman" w:hAnsi="Times New Roman"/>
          <w:sz w:val="22"/>
          <w:szCs w:val="22"/>
        </w:rPr>
        <w:t xml:space="preserve">McADAM, Doug; TARROW, Sidney; TILLY, Charles. Dynamics of Contention. Cambridge: Cambridge University Press, 2001.</w:t>
      </w:r>
    </w:p>
    <w:p>
      <w:pPr>
        <w:spacing w:after="160" w:line="320"/>
        <w:ind w:left="720" w:hanging="720"/>
        <w:jc w:val="both"/>
      </w:pPr>
      <w:r>
        <w:rPr>
          <w:rFonts w:ascii="Times New Roman" w:cs="Times New Roman" w:eastAsia="Times New Roman" w:hAnsi="Times New Roman"/>
          <w:sz w:val="22"/>
          <w:szCs w:val="22"/>
        </w:rPr>
        <w:t xml:space="preserve">McCAMMON, H. J.; MUSE, C. S.; NEWMAN, H. D.; TERRELL, T. M. Movement framing and discursive opportunity structures. American Sociological Review, v. 72, n. 5, p. 725-749, 2007.</w:t>
      </w:r>
    </w:p>
    <w:p>
      <w:pPr>
        <w:spacing w:after="160" w:line="320"/>
        <w:ind w:left="720" w:hanging="720"/>
        <w:jc w:val="both"/>
      </w:pPr>
      <w:r>
        <w:rPr>
          <w:rFonts w:ascii="Times New Roman" w:cs="Times New Roman" w:eastAsia="Times New Roman" w:hAnsi="Times New Roman"/>
          <w:sz w:val="22"/>
          <w:szCs w:val="22"/>
        </w:rPr>
        <w:t xml:space="preserve">MISCHE, Ann. De estudantes a cidadãos: redes de jovens e participação política. Revista Brasileira de Educação, n. 5/6, 1997.</w:t>
      </w:r>
    </w:p>
    <w:p>
      <w:pPr>
        <w:spacing w:after="160" w:line="320"/>
        <w:ind w:left="720" w:hanging="720"/>
        <w:jc w:val="both"/>
      </w:pPr>
      <w:r>
        <w:rPr>
          <w:rFonts w:ascii="Times New Roman" w:cs="Times New Roman" w:eastAsia="Times New Roman" w:hAnsi="Times New Roman"/>
          <w:sz w:val="22"/>
          <w:szCs w:val="22"/>
        </w:rPr>
        <w:t xml:space="preserve">MISCHE, Ann. Partisan publics: communication and contention across Brazilian youth activist networks. Princeton: Princeton University Press, 2008.</w:t>
      </w:r>
    </w:p>
    <w:p>
      <w:pPr>
        <w:spacing w:after="160" w:line="320"/>
        <w:ind w:left="720" w:hanging="720"/>
        <w:jc w:val="both"/>
      </w:pPr>
      <w:r>
        <w:rPr>
          <w:rFonts w:ascii="Times New Roman" w:cs="Times New Roman" w:eastAsia="Times New Roman" w:hAnsi="Times New Roman"/>
          <w:sz w:val="22"/>
          <w:szCs w:val="22"/>
        </w:rPr>
        <w:t xml:space="preserve">RODRIGUES, Alberto Tosi. Brasil de Fernando a Fernando. Ijuí: Editora Unijuí, 2000.</w:t>
      </w:r>
    </w:p>
    <w:p>
      <w:pPr>
        <w:spacing w:after="160" w:line="320"/>
        <w:ind w:left="720" w:hanging="720"/>
        <w:jc w:val="both"/>
      </w:pPr>
      <w:r>
        <w:rPr>
          <w:rFonts w:ascii="Times New Roman" w:cs="Times New Roman" w:eastAsia="Times New Roman" w:hAnsi="Times New Roman"/>
          <w:sz w:val="22"/>
          <w:szCs w:val="22"/>
        </w:rPr>
        <w:t xml:space="preserve">SALLUM JR., Brasílio. O imperador está nu: análise da crise do governo Collor. São Paulo: Editora Parma, 2015.</w:t>
      </w:r>
    </w:p>
    <w:p>
      <w:pPr>
        <w:spacing w:after="160" w:line="320"/>
        <w:ind w:left="720" w:hanging="720"/>
        <w:jc w:val="both"/>
      </w:pPr>
      <w:r>
        <w:rPr>
          <w:rFonts w:ascii="Times New Roman" w:cs="Times New Roman" w:eastAsia="Times New Roman" w:hAnsi="Times New Roman"/>
          <w:sz w:val="22"/>
          <w:szCs w:val="22"/>
        </w:rPr>
        <w:t xml:space="preserve">SINGER, André. Brasil, junho de 2013: classes e ideologias cruzadas. Novos Estudos CEBRAP, São Paulo, n. 97, p. 23-40, nov. 2013.</w:t>
      </w:r>
    </w:p>
    <w:p>
      <w:pPr>
        <w:spacing w:after="160" w:line="320"/>
        <w:ind w:left="720" w:hanging="720"/>
        <w:jc w:val="both"/>
      </w:pPr>
      <w:r>
        <w:rPr>
          <w:rFonts w:ascii="Times New Roman" w:cs="Times New Roman" w:eastAsia="Times New Roman" w:hAnsi="Times New Roman"/>
          <w:sz w:val="22"/>
          <w:szCs w:val="22"/>
        </w:rPr>
        <w:t xml:space="preserve">STYKOW, Petra. Making sense of a surprise: perspectives on the 2020 'Belarusian Revolution'. Nationalities Papers, v. 50, p. 1-18, 2022.</w:t>
      </w:r>
    </w:p>
    <w:p>
      <w:pPr>
        <w:spacing w:after="160" w:line="320"/>
        <w:ind w:left="720" w:hanging="720"/>
        <w:jc w:val="both"/>
      </w:pPr>
      <w:r>
        <w:rPr>
          <w:rFonts w:ascii="Times New Roman" w:cs="Times New Roman" w:eastAsia="Times New Roman" w:hAnsi="Times New Roman"/>
          <w:sz w:val="22"/>
          <w:szCs w:val="22"/>
        </w:rPr>
        <w:t xml:space="preserve">TATAGIBA, Luciana. Entre as ruas e as instituições: os protestos e o impeachment de Dilma Rousseff. Lusotopie, v. XVII, n. 1, 2018.</w:t>
      </w:r>
    </w:p>
    <w:p>
      <w:pPr>
        <w:spacing w:after="160" w:line="320"/>
        <w:ind w:left="720" w:hanging="720"/>
        <w:jc w:val="both"/>
      </w:pPr>
      <w:r>
        <w:rPr>
          <w:rFonts w:ascii="Times New Roman" w:cs="Times New Roman" w:eastAsia="Times New Roman" w:hAnsi="Times New Roman"/>
          <w:sz w:val="22"/>
          <w:szCs w:val="22"/>
        </w:rPr>
        <w:t xml:space="preserve">TARROW, Sidney. O poder em movimento: movimentos sociais e confronto político. Petrópolis: Vozes, 2009.</w:t>
      </w:r>
    </w:p>
    <w:p>
      <w:pPr>
        <w:spacing w:after="160" w:line="320"/>
        <w:ind w:left="720" w:hanging="720"/>
        <w:jc w:val="both"/>
      </w:pPr>
      <w:r>
        <w:rPr>
          <w:rFonts w:ascii="Times New Roman" w:cs="Times New Roman" w:eastAsia="Times New Roman" w:hAnsi="Times New Roman"/>
          <w:sz w:val="22"/>
          <w:szCs w:val="22"/>
        </w:rPr>
        <w:t xml:space="preserve">VANDENBERGHE, Frédéric. Conjunctural analysis. Revista Brasileira de Sociologia – RBS, v. 13, 2025.</w:t>
      </w:r>
    </w:p>
    <w:p>
      <w:pPr>
        <w:spacing w:after="8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2026-05-26T21:50:22.550Z</dcterms:created>
  <dcterms:modified xsi:type="dcterms:W3CDTF">2026-05-26T21:50:22.561Z</dcterms:modified>
</cp:coreProperties>
</file>

<file path=docProps/custom.xml><?xml version="1.0" encoding="utf-8"?>
<Properties xmlns="http://schemas.openxmlformats.org/officeDocument/2006/custom-properties" xmlns:vt="http://schemas.openxmlformats.org/officeDocument/2006/docPropsVTypes"/>
</file>